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5BF9F8B8"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5B2D71">
        <w:rPr>
          <w:spacing w:val="-3"/>
          <w:sz w:val="22"/>
          <w:szCs w:val="22"/>
        </w:rPr>
        <w:t>1</w:t>
      </w:r>
      <w:r w:rsidR="00930AEA">
        <w:rPr>
          <w:spacing w:val="-3"/>
          <w:sz w:val="22"/>
          <w:szCs w:val="22"/>
        </w:rPr>
        <w:t xml:space="preserve"> de </w:t>
      </w:r>
      <w:r w:rsidR="005B2D71">
        <w:rPr>
          <w:spacing w:val="-3"/>
          <w:sz w:val="22"/>
          <w:szCs w:val="22"/>
        </w:rPr>
        <w:t xml:space="preserve">marzo </w:t>
      </w:r>
      <w:r w:rsidR="004919DE">
        <w:rPr>
          <w:spacing w:val="-3"/>
          <w:sz w:val="22"/>
          <w:szCs w:val="22"/>
        </w:rPr>
        <w:t>de 202</w:t>
      </w:r>
      <w:r w:rsidR="005B2D71">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69AABE29" w:rsidR="00BE7481" w:rsidRDefault="0057300A" w:rsidP="00072F0F">
      <w:pPr>
        <w:suppressAutoHyphens/>
        <w:rPr>
          <w:rFonts w:cs="Arial"/>
          <w:b/>
          <w:sz w:val="22"/>
          <w:szCs w:val="22"/>
          <w:lang w:val="es-AR"/>
        </w:rPr>
      </w:pPr>
      <w:r>
        <w:rPr>
          <w:rFonts w:cs="Arial"/>
          <w:b/>
          <w:sz w:val="22"/>
          <w:szCs w:val="22"/>
          <w:lang w:val="es-AR"/>
        </w:rPr>
        <w:t xml:space="preserve">Chevron Argentina S.R.L </w:t>
      </w:r>
    </w:p>
    <w:p w14:paraId="564E21CE" w14:textId="77777777" w:rsidR="0057300A" w:rsidRPr="0057300A" w:rsidRDefault="0057300A" w:rsidP="0057300A">
      <w:pPr>
        <w:rPr>
          <w:rFonts w:cs="Arial"/>
          <w:bCs/>
          <w:spacing w:val="-3"/>
          <w:sz w:val="22"/>
          <w:szCs w:val="22"/>
          <w:lang w:val="es-AR"/>
        </w:rPr>
      </w:pPr>
    </w:p>
    <w:p w14:paraId="66DACA1A" w14:textId="77777777" w:rsidR="0057300A" w:rsidRPr="0057300A" w:rsidRDefault="0057300A" w:rsidP="0057300A">
      <w:pPr>
        <w:rPr>
          <w:rFonts w:cs="Arial"/>
          <w:bCs/>
          <w:spacing w:val="-3"/>
          <w:sz w:val="22"/>
          <w:szCs w:val="22"/>
          <w:lang w:val="es-AR"/>
        </w:rPr>
      </w:pPr>
      <w:r w:rsidRPr="0057300A">
        <w:rPr>
          <w:rFonts w:cs="Arial"/>
          <w:bCs/>
          <w:spacing w:val="-3"/>
          <w:sz w:val="22"/>
          <w:szCs w:val="22"/>
          <w:lang w:val="es-AR"/>
        </w:rPr>
        <w:t xml:space="preserve">Perón 925 - 4P - DA </w:t>
      </w:r>
    </w:p>
    <w:p w14:paraId="6E8B1B7F" w14:textId="77777777" w:rsidR="0057300A" w:rsidRPr="0057300A" w:rsidRDefault="0057300A" w:rsidP="0057300A">
      <w:pPr>
        <w:rPr>
          <w:rFonts w:cs="Arial"/>
          <w:bCs/>
          <w:spacing w:val="-3"/>
          <w:sz w:val="22"/>
          <w:szCs w:val="22"/>
          <w:lang w:val="es-AR"/>
        </w:rPr>
      </w:pPr>
      <w:r w:rsidRPr="0057300A">
        <w:rPr>
          <w:rFonts w:cs="Arial"/>
          <w:bCs/>
          <w:spacing w:val="-3"/>
          <w:sz w:val="22"/>
          <w:szCs w:val="22"/>
          <w:lang w:val="es-AR"/>
        </w:rPr>
        <w:t xml:space="preserve">Buenos Aires, Argentina </w:t>
      </w:r>
    </w:p>
    <w:p w14:paraId="41D14C86" w14:textId="728835F6" w:rsidR="002E77AC" w:rsidRPr="0057300A" w:rsidRDefault="0057300A" w:rsidP="0057300A">
      <w:pPr>
        <w:rPr>
          <w:rFonts w:cs="Arial"/>
          <w:bCs/>
          <w:spacing w:val="-3"/>
          <w:sz w:val="22"/>
          <w:szCs w:val="22"/>
          <w:lang w:val="en-US"/>
        </w:rPr>
      </w:pPr>
      <w:r w:rsidRPr="0057300A">
        <w:rPr>
          <w:rFonts w:cs="Arial"/>
          <w:bCs/>
          <w:spacing w:val="-3"/>
          <w:sz w:val="22"/>
          <w:szCs w:val="22"/>
          <w:lang w:val="en-US"/>
        </w:rPr>
        <w:t>Off: +54-011-4320-7400</w:t>
      </w:r>
    </w:p>
    <w:p w14:paraId="15BA1581" w14:textId="25D6E9F2" w:rsidR="008528DC" w:rsidRPr="0057300A" w:rsidRDefault="008528DC" w:rsidP="00072F0F">
      <w:pPr>
        <w:suppressAutoHyphens/>
        <w:rPr>
          <w:rFonts w:cs="Arial"/>
          <w:b/>
          <w:sz w:val="22"/>
          <w:szCs w:val="22"/>
          <w:lang w:val="en-US"/>
        </w:rPr>
      </w:pPr>
    </w:p>
    <w:p w14:paraId="0EB2E9CC" w14:textId="785B9FFF" w:rsidR="00903627" w:rsidRPr="0057300A" w:rsidRDefault="00875DA5" w:rsidP="00A952A0">
      <w:pPr>
        <w:rPr>
          <w:rFonts w:cs="Arial"/>
          <w:bCs/>
          <w:spacing w:val="-3"/>
          <w:sz w:val="22"/>
          <w:szCs w:val="22"/>
          <w:lang w:val="en-US"/>
        </w:rPr>
      </w:pPr>
      <w:r w:rsidRPr="0057300A">
        <w:rPr>
          <w:rFonts w:cs="Arial"/>
          <w:bCs/>
          <w:spacing w:val="-3"/>
          <w:sz w:val="22"/>
          <w:szCs w:val="22"/>
          <w:lang w:val="en-US"/>
        </w:rPr>
        <w:t xml:space="preserve">At’n.: </w:t>
      </w:r>
      <w:r w:rsidR="0057300A" w:rsidRPr="0057300A">
        <w:rPr>
          <w:rFonts w:cs="Arial"/>
          <w:bCs/>
          <w:spacing w:val="-3"/>
          <w:sz w:val="22"/>
          <w:szCs w:val="22"/>
          <w:lang w:val="en-US"/>
        </w:rPr>
        <w:t>Andrés Mazo</w:t>
      </w:r>
    </w:p>
    <w:p w14:paraId="27EDA7C2" w14:textId="61EBCBF4" w:rsidR="00325006" w:rsidRPr="0057300A" w:rsidRDefault="00325006" w:rsidP="00A952A0">
      <w:pPr>
        <w:rPr>
          <w:rFonts w:cs="Arial"/>
          <w:bCs/>
          <w:spacing w:val="-3"/>
          <w:sz w:val="22"/>
          <w:szCs w:val="22"/>
          <w:lang w:val="en-US"/>
        </w:rPr>
      </w:pPr>
      <w:r w:rsidRPr="0057300A">
        <w:rPr>
          <w:rFonts w:cs="Arial"/>
          <w:bCs/>
          <w:spacing w:val="-3"/>
          <w:sz w:val="22"/>
          <w:szCs w:val="22"/>
          <w:lang w:val="en-US"/>
        </w:rPr>
        <w:t>E-mail:</w:t>
      </w:r>
      <w:r w:rsidR="00C92E71" w:rsidRPr="0057300A">
        <w:rPr>
          <w:rFonts w:cs="Arial"/>
          <w:bCs/>
          <w:spacing w:val="-3"/>
          <w:sz w:val="22"/>
          <w:szCs w:val="22"/>
          <w:lang w:val="en-US"/>
        </w:rPr>
        <w:t xml:space="preserve"> </w:t>
      </w:r>
      <w:hyperlink r:id="rId11" w:history="1">
        <w:r w:rsidR="0057300A" w:rsidRPr="0057300A">
          <w:rPr>
            <w:rStyle w:val="Hipervnculo"/>
            <w:rFonts w:ascii="Arial" w:hAnsi="Arial" w:cs="Arial"/>
            <w:bCs/>
            <w:spacing w:val="-3"/>
            <w:sz w:val="22"/>
            <w:szCs w:val="22"/>
            <w:lang w:val="en-US"/>
          </w:rPr>
          <w:t>Andresmazo@chevron.com</w:t>
        </w:r>
      </w:hyperlink>
      <w:r w:rsidR="0057300A" w:rsidRPr="0057300A">
        <w:rPr>
          <w:rFonts w:cs="Arial"/>
          <w:bCs/>
          <w:spacing w:val="-3"/>
          <w:sz w:val="22"/>
          <w:szCs w:val="22"/>
          <w:lang w:val="en-US"/>
        </w:rPr>
        <w:t xml:space="preserve"> </w:t>
      </w:r>
    </w:p>
    <w:p w14:paraId="37E603F6" w14:textId="77777777" w:rsidR="00A66A00" w:rsidRPr="0057300A" w:rsidRDefault="00A66A00" w:rsidP="00A952A0">
      <w:pPr>
        <w:rPr>
          <w:rFonts w:cs="Arial"/>
          <w:bCs/>
          <w:sz w:val="22"/>
          <w:szCs w:val="22"/>
          <w:lang w:val="en-US" w:eastAsia="es-AR"/>
        </w:rPr>
      </w:pPr>
    </w:p>
    <w:p w14:paraId="25E66A02" w14:textId="12A2B275" w:rsidR="00346820" w:rsidRPr="0057300A" w:rsidRDefault="00346820" w:rsidP="00875DA5">
      <w:pPr>
        <w:rPr>
          <w:rFonts w:cs="Arial"/>
          <w:color w:val="242424"/>
          <w:sz w:val="22"/>
          <w:szCs w:val="22"/>
          <w:shd w:val="clear" w:color="auto" w:fill="FFFFFF"/>
          <w:lang w:val="en-US"/>
        </w:rPr>
      </w:pPr>
    </w:p>
    <w:p w14:paraId="5682EF6A" w14:textId="7F39D24E" w:rsidR="00072F0F" w:rsidRPr="00A66A00" w:rsidRDefault="00072F0F" w:rsidP="00072F0F">
      <w:pPr>
        <w:rPr>
          <w:rFonts w:cs="Arial"/>
          <w:spacing w:val="-3"/>
          <w:sz w:val="22"/>
          <w:szCs w:val="22"/>
          <w:lang w:val="es-AR"/>
        </w:rPr>
      </w:pPr>
      <w:r w:rsidRPr="00A66A00">
        <w:rPr>
          <w:rFonts w:cs="Arial"/>
          <w:spacing w:val="-3"/>
          <w:sz w:val="22"/>
          <w:szCs w:val="22"/>
          <w:lang w:val="es-AR"/>
        </w:rPr>
        <w:t xml:space="preserve">Ref.: </w:t>
      </w:r>
      <w:r w:rsidR="003A4414">
        <w:rPr>
          <w:rFonts w:cs="Arial"/>
          <w:spacing w:val="-3"/>
          <w:sz w:val="22"/>
          <w:szCs w:val="22"/>
          <w:lang w:val="es-AR"/>
        </w:rPr>
        <w:t xml:space="preserve">Cotización </w:t>
      </w:r>
      <w:r w:rsidR="006143FF">
        <w:rPr>
          <w:rFonts w:cs="Arial"/>
          <w:spacing w:val="-3"/>
          <w:sz w:val="22"/>
          <w:szCs w:val="22"/>
          <w:lang w:val="es-AR"/>
        </w:rPr>
        <w:t xml:space="preserve">Inhibidor </w:t>
      </w:r>
      <w:r w:rsidR="00930AEA">
        <w:rPr>
          <w:rFonts w:cs="Arial"/>
          <w:spacing w:val="-3"/>
          <w:sz w:val="22"/>
          <w:szCs w:val="22"/>
          <w:lang w:val="es-AR"/>
        </w:rPr>
        <w:t>de incrustaciones IC8210</w:t>
      </w:r>
    </w:p>
    <w:p w14:paraId="24985D8D" w14:textId="11189A3A" w:rsidR="00315727" w:rsidRDefault="00315727" w:rsidP="00315727">
      <w:pPr>
        <w:suppressAutoHyphens/>
        <w:ind w:left="567" w:hanging="567"/>
        <w:jc w:val="both"/>
        <w:rPr>
          <w:rFonts w:cs="Arial"/>
          <w:b/>
          <w:bCs/>
          <w:sz w:val="22"/>
          <w:szCs w:val="22"/>
          <w:lang w:val="es-AR"/>
        </w:rPr>
      </w:pPr>
    </w:p>
    <w:p w14:paraId="0449BE99" w14:textId="77777777" w:rsidR="00315727" w:rsidRPr="000A48F6"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009494A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cotización adjunta por la provisión de</w:t>
      </w:r>
      <w:r w:rsidR="003A4414">
        <w:rPr>
          <w:rFonts w:cs="Arial"/>
          <w:sz w:val="22"/>
          <w:szCs w:val="22"/>
        </w:rPr>
        <w:t xml:space="preserve"> </w:t>
      </w:r>
      <w:r w:rsidR="0057300A">
        <w:rPr>
          <w:rFonts w:cs="Arial"/>
          <w:sz w:val="22"/>
          <w:szCs w:val="22"/>
        </w:rPr>
        <w:t xml:space="preserve">inhibidor de </w:t>
      </w:r>
      <w:r w:rsidR="00930AEA">
        <w:rPr>
          <w:rFonts w:cs="Arial"/>
          <w:sz w:val="22"/>
          <w:szCs w:val="22"/>
        </w:rPr>
        <w:t>incrustaciones</w:t>
      </w:r>
      <w:r w:rsidR="0057300A">
        <w:rPr>
          <w:rFonts w:cs="Arial"/>
          <w:sz w:val="22"/>
          <w:szCs w:val="22"/>
        </w:rPr>
        <w:t xml:space="preserve"> denominado comercialmente </w:t>
      </w:r>
      <w:r w:rsidR="00930AEA">
        <w:rPr>
          <w:rFonts w:cs="Arial"/>
          <w:sz w:val="22"/>
          <w:szCs w:val="22"/>
        </w:rPr>
        <w:t>IC8210</w:t>
      </w:r>
      <w:r w:rsidR="0057300A">
        <w:rPr>
          <w:rFonts w:cs="Arial"/>
          <w:sz w:val="22"/>
          <w:szCs w:val="22"/>
        </w:rPr>
        <w:t>.</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6199C140"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3709DA">
        <w:rPr>
          <w:rFonts w:cs="Arial"/>
          <w:spacing w:val="-3"/>
          <w:sz w:val="20"/>
        </w:rPr>
        <w:t>Yacimiento El Trapial.</w:t>
      </w:r>
    </w:p>
    <w:p w14:paraId="71F72862" w14:textId="77777777" w:rsidR="00F866D9" w:rsidRPr="008528DC" w:rsidRDefault="00F866D9" w:rsidP="00315727">
      <w:pPr>
        <w:suppressAutoHyphens/>
        <w:ind w:left="2835" w:hanging="2835"/>
        <w:jc w:val="both"/>
        <w:rPr>
          <w:rFonts w:cs="Arial"/>
          <w:spacing w:val="-3"/>
          <w:sz w:val="20"/>
          <w:lang w:val="es-AR"/>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766A3E7B"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006F3064">
        <w:rPr>
          <w:rFonts w:cs="Arial"/>
          <w:spacing w:val="-3"/>
          <w:sz w:val="20"/>
        </w:rPr>
        <w:t>-Ejecución</w:t>
      </w:r>
      <w:r w:rsidRPr="00C37772">
        <w:rPr>
          <w:rFonts w:cs="Arial"/>
          <w:spacing w:val="-3"/>
          <w:sz w:val="20"/>
        </w:rPr>
        <w:t>:</w:t>
      </w:r>
      <w:r w:rsidRPr="00C37772">
        <w:rPr>
          <w:rFonts w:cs="Arial"/>
          <w:spacing w:val="-3"/>
          <w:sz w:val="20"/>
        </w:rPr>
        <w:tab/>
      </w:r>
      <w:r w:rsidR="003709DA">
        <w:rPr>
          <w:rFonts w:cs="Arial"/>
          <w:spacing w:val="-3"/>
          <w:sz w:val="20"/>
        </w:rPr>
        <w:t>Disponibilidad inmediata.</w:t>
      </w:r>
      <w:r w:rsidR="00EC67F6">
        <w:rPr>
          <w:rFonts w:cs="Arial"/>
          <w:spacing w:val="-3"/>
          <w:sz w:val="20"/>
        </w:rPr>
        <w:t xml:space="preserve"> </w:t>
      </w:r>
      <w:r w:rsidR="00F51AB7">
        <w:rPr>
          <w:rFonts w:cs="Arial"/>
          <w:spacing w:val="-3"/>
          <w:sz w:val="20"/>
        </w:rPr>
        <w:t xml:space="preserve"> </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554023F8" w:rsidR="0092342E" w:rsidRPr="00CB7CF5" w:rsidRDefault="0092342E" w:rsidP="00A952A0">
      <w:pPr>
        <w:suppressAutoHyphens/>
        <w:ind w:left="7089" w:hanging="3544"/>
        <w:jc w:val="both"/>
        <w:rPr>
          <w:rFonts w:cs="Arial"/>
          <w:b/>
          <w:spacing w:val="-3"/>
          <w:sz w:val="20"/>
          <w:lang w:val="es-AR"/>
        </w:rPr>
      </w:pPr>
      <w:r w:rsidRPr="00CB7CF5">
        <w:rPr>
          <w:rFonts w:cs="Arial"/>
          <w:b/>
          <w:bCs/>
          <w:spacing w:val="-3"/>
          <w:sz w:val="20"/>
          <w:lang w:val="es-AR"/>
        </w:rPr>
        <w:t>At’</w:t>
      </w:r>
      <w:r w:rsidR="00CB7CF5" w:rsidRPr="00CB7CF5">
        <w:rPr>
          <w:rFonts w:cs="Arial"/>
          <w:b/>
          <w:bCs/>
          <w:spacing w:val="-3"/>
          <w:sz w:val="20"/>
          <w:lang w:val="es-AR"/>
        </w:rPr>
        <w:t xml:space="preserve">n: </w:t>
      </w:r>
      <w:r w:rsidR="008540FE">
        <w:rPr>
          <w:rFonts w:cs="Arial"/>
          <w:b/>
          <w:bCs/>
          <w:spacing w:val="-3"/>
          <w:sz w:val="20"/>
          <w:lang w:val="es-AR"/>
        </w:rPr>
        <w:t>Jimmy Lopez</w:t>
      </w:r>
    </w:p>
    <w:p w14:paraId="3F30D6D9" w14:textId="6846D280" w:rsidR="00EB340B" w:rsidRPr="00CB7CF5" w:rsidRDefault="0092342E" w:rsidP="00EB340B">
      <w:pPr>
        <w:suppressAutoHyphens/>
        <w:ind w:left="2835" w:firstLine="709"/>
        <w:jc w:val="both"/>
        <w:rPr>
          <w:rFonts w:cs="Arial"/>
          <w:b/>
          <w:iCs/>
          <w:spacing w:val="-3"/>
          <w:sz w:val="20"/>
          <w:lang w:val="es-AR"/>
        </w:rPr>
      </w:pPr>
      <w:r w:rsidRPr="00CB7CF5">
        <w:rPr>
          <w:rFonts w:cs="Arial"/>
          <w:b/>
          <w:sz w:val="20"/>
          <w:lang w:val="es-AR"/>
        </w:rPr>
        <w:t xml:space="preserve">Email: </w:t>
      </w:r>
      <w:r w:rsidR="005214C4" w:rsidRPr="00CB7CF5">
        <w:rPr>
          <w:rFonts w:cs="Arial"/>
          <w:b/>
          <w:sz w:val="20"/>
          <w:lang w:val="es-AR"/>
        </w:rPr>
        <w:tab/>
      </w:r>
      <w:hyperlink r:id="rId12" w:history="1">
        <w:r w:rsidR="00C37772" w:rsidRPr="00C37772">
          <w:rPr>
            <w:rStyle w:val="Hipervnculo"/>
            <w:rFonts w:ascii="Arial" w:hAnsi="Arial" w:cs="Arial"/>
            <w:b/>
            <w:lang w:val="pt-BR"/>
          </w:rPr>
          <w:t>Comercial@pecomenergia.com.ar</w:t>
        </w:r>
      </w:hyperlink>
      <w:r w:rsidR="00EB340B" w:rsidRPr="00CB7CF5">
        <w:rPr>
          <w:rFonts w:cs="Arial"/>
          <w:b/>
          <w:iCs/>
          <w:sz w:val="20"/>
          <w:lang w:val="es-AR"/>
        </w:rPr>
        <w:t xml:space="preserve"> </w:t>
      </w:r>
    </w:p>
    <w:p w14:paraId="2E75213E" w14:textId="1B5F5E64" w:rsidR="00315727" w:rsidRPr="005B0FC0" w:rsidRDefault="008540FE" w:rsidP="005214C4">
      <w:pPr>
        <w:suppressAutoHyphens/>
        <w:ind w:left="4253" w:firstLine="1"/>
        <w:jc w:val="both"/>
        <w:rPr>
          <w:rStyle w:val="Hipervnculo"/>
          <w:rFonts w:ascii="Arial" w:hAnsi="Arial"/>
          <w:lang w:val="pt-BR"/>
        </w:rPr>
      </w:pPr>
      <w:hyperlink r:id="rId13" w:history="1">
        <w:r w:rsidRPr="004F6BD4">
          <w:rPr>
            <w:rStyle w:val="Hipervnculo"/>
            <w:rFonts w:ascii="Arial" w:hAnsi="Arial" w:cs="Arial"/>
            <w:b/>
            <w:lang w:val="pt-BR"/>
          </w:rPr>
          <w:t>Jimmy.Lopez@pecomenergia.com.ar</w:t>
        </w:r>
      </w:hyperlink>
      <w:r>
        <w:rPr>
          <w:rFonts w:cs="Arial"/>
          <w:b/>
          <w:sz w:val="20"/>
          <w:lang w:val="pt-BR"/>
        </w:rPr>
        <w:t xml:space="preserve"> </w:t>
      </w:r>
    </w:p>
    <w:p w14:paraId="0208E91C" w14:textId="32FD2C0C" w:rsidR="00315727" w:rsidRPr="00CB7CF5" w:rsidRDefault="00315727" w:rsidP="00275CCD">
      <w:pPr>
        <w:suppressAutoHyphens/>
        <w:jc w:val="both"/>
        <w:rPr>
          <w:rFonts w:cs="Arial"/>
          <w:spacing w:val="-3"/>
          <w:sz w:val="20"/>
          <w:lang w:val="es-AR"/>
        </w:rPr>
      </w:pPr>
    </w:p>
    <w:p w14:paraId="2AE39BA8" w14:textId="4610F2C7"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CB7CF5">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lang w:val="es-AR"/>
        </w:rPr>
      </w:pPr>
    </w:p>
    <w:p w14:paraId="7822F364" w14:textId="15366A0A" w:rsidR="00315727" w:rsidRDefault="00315727" w:rsidP="00315727">
      <w:pPr>
        <w:suppressAutoHyphens/>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lang w:val="es-AR"/>
        </w:rPr>
      </w:pPr>
    </w:p>
    <w:p w14:paraId="62DD0654"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tbl>
      <w:tblPr>
        <w:tblW w:w="6909" w:type="dxa"/>
        <w:jc w:val="center"/>
        <w:tblCellMar>
          <w:left w:w="70" w:type="dxa"/>
          <w:right w:w="70" w:type="dxa"/>
        </w:tblCellMar>
        <w:tblLook w:val="04A0" w:firstRow="1" w:lastRow="0" w:firstColumn="1" w:lastColumn="0" w:noHBand="0" w:noVBand="1"/>
      </w:tblPr>
      <w:tblGrid>
        <w:gridCol w:w="700"/>
        <w:gridCol w:w="2182"/>
        <w:gridCol w:w="1696"/>
        <w:gridCol w:w="801"/>
        <w:gridCol w:w="1530"/>
      </w:tblGrid>
      <w:tr w:rsidR="005C465F" w:rsidRPr="00344014" w14:paraId="749C71EC" w14:textId="61B8D285" w:rsidTr="005C465F">
        <w:trPr>
          <w:trHeight w:val="510"/>
          <w:jc w:val="center"/>
        </w:trPr>
        <w:tc>
          <w:tcPr>
            <w:tcW w:w="700" w:type="dxa"/>
            <w:tcBorders>
              <w:top w:val="single" w:sz="4" w:space="0" w:color="FFFFFF"/>
              <w:left w:val="single" w:sz="4" w:space="0" w:color="FFFFFF"/>
              <w:bottom w:val="single" w:sz="4" w:space="0" w:color="FFFFFF"/>
              <w:right w:val="single" w:sz="4" w:space="0" w:color="FFFFFF"/>
            </w:tcBorders>
            <w:shd w:val="clear" w:color="000000" w:fill="161616"/>
            <w:vAlign w:val="center"/>
            <w:hideMark/>
          </w:tcPr>
          <w:p w14:paraId="4984D1E9" w14:textId="77777777" w:rsidR="005C465F" w:rsidRPr="00344014" w:rsidRDefault="005C465F" w:rsidP="00E91999">
            <w:pPr>
              <w:jc w:val="center"/>
              <w:rPr>
                <w:rFonts w:cs="Arial"/>
                <w:color w:val="FFFFFF"/>
                <w:sz w:val="20"/>
                <w:lang w:val="es-AR" w:eastAsia="es-AR"/>
              </w:rPr>
            </w:pPr>
            <w:r w:rsidRPr="00344014">
              <w:rPr>
                <w:rFonts w:cs="Arial"/>
                <w:color w:val="FFFFFF"/>
                <w:sz w:val="20"/>
                <w:lang w:val="es-AR" w:eastAsia="es-AR"/>
              </w:rPr>
              <w:t>Ítem</w:t>
            </w:r>
          </w:p>
        </w:tc>
        <w:tc>
          <w:tcPr>
            <w:tcW w:w="2182" w:type="dxa"/>
            <w:tcBorders>
              <w:top w:val="single" w:sz="4" w:space="0" w:color="FFFFFF"/>
              <w:left w:val="nil"/>
              <w:bottom w:val="single" w:sz="4" w:space="0" w:color="FFFFFF"/>
              <w:right w:val="single" w:sz="4" w:space="0" w:color="FFFFFF"/>
            </w:tcBorders>
            <w:shd w:val="clear" w:color="000000" w:fill="161616"/>
            <w:vAlign w:val="center"/>
            <w:hideMark/>
          </w:tcPr>
          <w:p w14:paraId="0775A9C5" w14:textId="77777777" w:rsidR="005C465F" w:rsidRPr="00344014" w:rsidRDefault="005C465F" w:rsidP="00E91999">
            <w:pPr>
              <w:jc w:val="center"/>
              <w:rPr>
                <w:rFonts w:cs="Arial"/>
                <w:color w:val="FFFFFF"/>
                <w:sz w:val="20"/>
                <w:lang w:val="es-AR" w:eastAsia="es-AR"/>
              </w:rPr>
            </w:pPr>
            <w:r w:rsidRPr="00344014">
              <w:rPr>
                <w:rFonts w:cs="Arial"/>
                <w:color w:val="FFFFFF"/>
                <w:sz w:val="20"/>
                <w:lang w:val="es-AR" w:eastAsia="es-AR"/>
              </w:rPr>
              <w:t>Descripción</w:t>
            </w:r>
          </w:p>
        </w:tc>
        <w:tc>
          <w:tcPr>
            <w:tcW w:w="1696" w:type="dxa"/>
            <w:tcBorders>
              <w:top w:val="single" w:sz="4" w:space="0" w:color="FFFFFF"/>
              <w:left w:val="nil"/>
              <w:bottom w:val="single" w:sz="4" w:space="0" w:color="FFFFFF"/>
              <w:right w:val="single" w:sz="4" w:space="0" w:color="FFFFFF"/>
            </w:tcBorders>
            <w:shd w:val="clear" w:color="000000" w:fill="161616"/>
            <w:vAlign w:val="center"/>
            <w:hideMark/>
          </w:tcPr>
          <w:p w14:paraId="47FEA10A" w14:textId="77777777" w:rsidR="005C465F" w:rsidRPr="00344014" w:rsidRDefault="005C465F" w:rsidP="00E91999">
            <w:pPr>
              <w:jc w:val="center"/>
              <w:rPr>
                <w:rFonts w:cs="Arial"/>
                <w:color w:val="FFFFFF"/>
                <w:sz w:val="20"/>
                <w:lang w:val="es-AR" w:eastAsia="es-AR"/>
              </w:rPr>
            </w:pPr>
            <w:r w:rsidRPr="00344014">
              <w:rPr>
                <w:rFonts w:cs="Arial"/>
                <w:color w:val="FFFFFF"/>
                <w:sz w:val="20"/>
                <w:lang w:val="es-AR" w:eastAsia="es-AR"/>
              </w:rPr>
              <w:t>Denominación comercial</w:t>
            </w:r>
          </w:p>
        </w:tc>
        <w:tc>
          <w:tcPr>
            <w:tcW w:w="801" w:type="dxa"/>
            <w:tcBorders>
              <w:top w:val="single" w:sz="4" w:space="0" w:color="FFFFFF"/>
              <w:left w:val="nil"/>
              <w:bottom w:val="single" w:sz="4" w:space="0" w:color="FFFFFF"/>
              <w:right w:val="single" w:sz="4" w:space="0" w:color="FFFFFF"/>
            </w:tcBorders>
            <w:shd w:val="clear" w:color="000000" w:fill="161616"/>
            <w:vAlign w:val="center"/>
            <w:hideMark/>
          </w:tcPr>
          <w:p w14:paraId="0E74D880" w14:textId="77777777" w:rsidR="005C465F" w:rsidRPr="00344014" w:rsidRDefault="005C465F" w:rsidP="00E91999">
            <w:pPr>
              <w:jc w:val="center"/>
              <w:rPr>
                <w:rFonts w:cs="Arial"/>
                <w:color w:val="FFFFFF"/>
                <w:sz w:val="20"/>
                <w:lang w:val="es-AR" w:eastAsia="es-AR"/>
              </w:rPr>
            </w:pPr>
            <w:r w:rsidRPr="00344014">
              <w:rPr>
                <w:rFonts w:cs="Arial"/>
                <w:color w:val="FFFFFF"/>
                <w:sz w:val="20"/>
                <w:lang w:val="es-AR" w:eastAsia="es-AR"/>
              </w:rPr>
              <w:t>UM</w:t>
            </w:r>
          </w:p>
        </w:tc>
        <w:tc>
          <w:tcPr>
            <w:tcW w:w="1530" w:type="dxa"/>
            <w:tcBorders>
              <w:top w:val="single" w:sz="4" w:space="0" w:color="FFFFFF"/>
              <w:left w:val="single" w:sz="4" w:space="0" w:color="FFFFFF" w:themeColor="background1"/>
              <w:bottom w:val="single" w:sz="4" w:space="0" w:color="FFFFFF"/>
              <w:right w:val="single" w:sz="4" w:space="0" w:color="FFFFFF"/>
            </w:tcBorders>
            <w:shd w:val="clear" w:color="000000" w:fill="161616"/>
            <w:vAlign w:val="center"/>
            <w:hideMark/>
          </w:tcPr>
          <w:p w14:paraId="5FB14254" w14:textId="7FF63F79" w:rsidR="005C465F" w:rsidRDefault="005C465F" w:rsidP="00E91999">
            <w:pPr>
              <w:jc w:val="center"/>
              <w:rPr>
                <w:rFonts w:cs="Arial"/>
                <w:color w:val="FFFFFF"/>
                <w:sz w:val="20"/>
                <w:lang w:val="es-AR" w:eastAsia="es-AR"/>
              </w:rPr>
            </w:pPr>
            <w:r w:rsidRPr="00344014">
              <w:rPr>
                <w:rFonts w:cs="Arial"/>
                <w:color w:val="FFFFFF"/>
                <w:sz w:val="20"/>
                <w:lang w:val="es-AR" w:eastAsia="es-AR"/>
              </w:rPr>
              <w:t xml:space="preserve">Costo </w:t>
            </w:r>
            <w:r>
              <w:rPr>
                <w:rFonts w:cs="Arial"/>
                <w:color w:val="FFFFFF"/>
                <w:sz w:val="20"/>
                <w:lang w:val="es-AR" w:eastAsia="es-AR"/>
              </w:rPr>
              <w:t>unitario</w:t>
            </w:r>
          </w:p>
          <w:p w14:paraId="33A24E23" w14:textId="22B413FE" w:rsidR="005C465F" w:rsidRPr="00344014" w:rsidRDefault="005C465F" w:rsidP="00E91999">
            <w:pPr>
              <w:jc w:val="center"/>
              <w:rPr>
                <w:rFonts w:cs="Arial"/>
                <w:color w:val="FFFFFF"/>
                <w:sz w:val="20"/>
                <w:lang w:val="es-AR" w:eastAsia="es-AR"/>
              </w:rPr>
            </w:pPr>
            <w:r w:rsidRPr="00344014">
              <w:rPr>
                <w:rFonts w:cs="Arial"/>
                <w:color w:val="FFFFFF"/>
                <w:sz w:val="20"/>
                <w:lang w:val="es-AR" w:eastAsia="es-AR"/>
              </w:rPr>
              <w:t>[USD/</w:t>
            </w:r>
            <w:r>
              <w:rPr>
                <w:rFonts w:cs="Arial"/>
                <w:color w:val="FFFFFF"/>
                <w:sz w:val="20"/>
                <w:lang w:val="es-AR" w:eastAsia="es-AR"/>
              </w:rPr>
              <w:t>UM</w:t>
            </w:r>
            <w:r w:rsidRPr="00344014">
              <w:rPr>
                <w:rFonts w:cs="Arial"/>
                <w:color w:val="FFFFFF"/>
                <w:sz w:val="20"/>
                <w:lang w:val="es-AR" w:eastAsia="es-AR"/>
              </w:rPr>
              <w:t>]</w:t>
            </w:r>
          </w:p>
        </w:tc>
      </w:tr>
      <w:tr w:rsidR="005C465F" w:rsidRPr="00344014" w14:paraId="69F9D26E" w14:textId="338833FD" w:rsidTr="005C465F">
        <w:trPr>
          <w:trHeight w:val="585"/>
          <w:jc w:val="center"/>
        </w:trPr>
        <w:tc>
          <w:tcPr>
            <w:tcW w:w="700" w:type="dxa"/>
            <w:tcBorders>
              <w:top w:val="nil"/>
              <w:left w:val="single" w:sz="4" w:space="0" w:color="FFFFFF"/>
              <w:bottom w:val="single" w:sz="4" w:space="0" w:color="FFFFFF"/>
              <w:right w:val="single" w:sz="4" w:space="0" w:color="FFFFFF"/>
            </w:tcBorders>
            <w:shd w:val="clear" w:color="000000" w:fill="D9D9D9"/>
            <w:vAlign w:val="center"/>
            <w:hideMark/>
          </w:tcPr>
          <w:p w14:paraId="30CB6970" w14:textId="77777777" w:rsidR="005C465F" w:rsidRPr="00344014" w:rsidRDefault="005C465F" w:rsidP="00E91999">
            <w:pPr>
              <w:jc w:val="center"/>
              <w:rPr>
                <w:rFonts w:cs="Arial"/>
                <w:color w:val="000000"/>
                <w:sz w:val="20"/>
                <w:lang w:val="es-AR" w:eastAsia="es-AR"/>
              </w:rPr>
            </w:pPr>
            <w:r w:rsidRPr="00344014">
              <w:rPr>
                <w:rFonts w:cs="Arial"/>
                <w:color w:val="000000"/>
                <w:sz w:val="20"/>
                <w:lang w:val="es-AR" w:eastAsia="es-AR"/>
              </w:rPr>
              <w:t>1</w:t>
            </w:r>
          </w:p>
        </w:tc>
        <w:tc>
          <w:tcPr>
            <w:tcW w:w="2182" w:type="dxa"/>
            <w:tcBorders>
              <w:top w:val="nil"/>
              <w:left w:val="nil"/>
              <w:bottom w:val="single" w:sz="4" w:space="0" w:color="FFFFFF"/>
              <w:right w:val="single" w:sz="4" w:space="0" w:color="FFFFFF"/>
            </w:tcBorders>
            <w:shd w:val="clear" w:color="000000" w:fill="D9D9D9"/>
            <w:vAlign w:val="center"/>
            <w:hideMark/>
          </w:tcPr>
          <w:p w14:paraId="0698CD86" w14:textId="6B6B46A5" w:rsidR="005C465F" w:rsidRPr="00344014" w:rsidRDefault="00DD4C46" w:rsidP="00E91999">
            <w:pPr>
              <w:jc w:val="center"/>
              <w:rPr>
                <w:rFonts w:cs="Arial"/>
                <w:color w:val="000000"/>
                <w:sz w:val="20"/>
                <w:lang w:val="es-AR" w:eastAsia="es-AR"/>
              </w:rPr>
            </w:pPr>
            <w:r>
              <w:rPr>
                <w:rFonts w:cs="Arial"/>
                <w:color w:val="000000"/>
                <w:sz w:val="20"/>
                <w:lang w:val="es-AR" w:eastAsia="es-AR"/>
              </w:rPr>
              <w:t xml:space="preserve">Inhibidor de </w:t>
            </w:r>
            <w:r w:rsidR="00930AEA">
              <w:rPr>
                <w:rFonts w:cs="Arial"/>
                <w:color w:val="000000"/>
                <w:sz w:val="20"/>
                <w:lang w:val="es-AR" w:eastAsia="es-AR"/>
              </w:rPr>
              <w:t>incrustaciones</w:t>
            </w:r>
          </w:p>
        </w:tc>
        <w:tc>
          <w:tcPr>
            <w:tcW w:w="1696" w:type="dxa"/>
            <w:tcBorders>
              <w:top w:val="nil"/>
              <w:left w:val="nil"/>
              <w:bottom w:val="single" w:sz="4" w:space="0" w:color="FFFFFF"/>
              <w:right w:val="single" w:sz="4" w:space="0" w:color="FFFFFF"/>
            </w:tcBorders>
            <w:shd w:val="clear" w:color="000000" w:fill="D9D9D9"/>
            <w:vAlign w:val="center"/>
            <w:hideMark/>
          </w:tcPr>
          <w:p w14:paraId="2F114D5F" w14:textId="50B98807" w:rsidR="005C465F" w:rsidRPr="00344014" w:rsidRDefault="00930AEA" w:rsidP="00E91999">
            <w:pPr>
              <w:jc w:val="center"/>
              <w:rPr>
                <w:rFonts w:cs="Arial"/>
                <w:color w:val="000000"/>
                <w:sz w:val="20"/>
                <w:lang w:val="es-AR" w:eastAsia="es-AR"/>
              </w:rPr>
            </w:pPr>
            <w:r>
              <w:rPr>
                <w:rFonts w:cs="Arial"/>
                <w:color w:val="000000"/>
                <w:sz w:val="20"/>
                <w:lang w:val="es-AR" w:eastAsia="es-AR"/>
              </w:rPr>
              <w:t>IC8210</w:t>
            </w:r>
          </w:p>
        </w:tc>
        <w:tc>
          <w:tcPr>
            <w:tcW w:w="801" w:type="dxa"/>
            <w:tcBorders>
              <w:top w:val="nil"/>
              <w:left w:val="nil"/>
              <w:bottom w:val="single" w:sz="4" w:space="0" w:color="FFFFFF"/>
              <w:right w:val="single" w:sz="4" w:space="0" w:color="FFFFFF"/>
            </w:tcBorders>
            <w:shd w:val="clear" w:color="000000" w:fill="D9D9D9"/>
            <w:vAlign w:val="center"/>
            <w:hideMark/>
          </w:tcPr>
          <w:p w14:paraId="45D1F81F" w14:textId="392861F2" w:rsidR="005C465F" w:rsidRPr="00344014" w:rsidRDefault="005C465F" w:rsidP="00E91999">
            <w:pPr>
              <w:jc w:val="center"/>
              <w:rPr>
                <w:rFonts w:cs="Arial"/>
                <w:color w:val="000000"/>
                <w:sz w:val="20"/>
                <w:lang w:val="es-AR" w:eastAsia="es-AR"/>
              </w:rPr>
            </w:pPr>
            <w:r>
              <w:rPr>
                <w:rFonts w:cs="Arial"/>
                <w:color w:val="000000"/>
                <w:sz w:val="20"/>
                <w:lang w:val="es-AR" w:eastAsia="es-AR"/>
              </w:rPr>
              <w:t>Lts</w:t>
            </w:r>
          </w:p>
        </w:tc>
        <w:tc>
          <w:tcPr>
            <w:tcW w:w="1530" w:type="dxa"/>
            <w:tcBorders>
              <w:top w:val="nil"/>
              <w:left w:val="single" w:sz="4" w:space="0" w:color="FFFFFF" w:themeColor="background1"/>
              <w:bottom w:val="single" w:sz="4" w:space="0" w:color="FFFFFF"/>
              <w:right w:val="single" w:sz="4" w:space="0" w:color="FFFFFF"/>
            </w:tcBorders>
            <w:shd w:val="clear" w:color="000000" w:fill="D9D9D9"/>
            <w:vAlign w:val="center"/>
            <w:hideMark/>
          </w:tcPr>
          <w:p w14:paraId="2328A976" w14:textId="6B9E2C58" w:rsidR="005C465F" w:rsidRPr="00344014" w:rsidRDefault="001F3FD4" w:rsidP="00E91999">
            <w:pPr>
              <w:jc w:val="center"/>
              <w:rPr>
                <w:rFonts w:cs="Arial"/>
                <w:color w:val="000000"/>
                <w:sz w:val="20"/>
                <w:lang w:val="es-AR" w:eastAsia="es-AR"/>
              </w:rPr>
            </w:pPr>
            <w:r>
              <w:rPr>
                <w:rFonts w:cs="Arial"/>
                <w:color w:val="000000"/>
                <w:sz w:val="20"/>
                <w:lang w:val="es-AR" w:eastAsia="es-AR"/>
              </w:rPr>
              <w:t>1</w:t>
            </w:r>
            <w:r w:rsidR="00A866B7">
              <w:rPr>
                <w:rFonts w:cs="Arial"/>
                <w:color w:val="000000"/>
                <w:sz w:val="20"/>
                <w:lang w:val="es-AR" w:eastAsia="es-AR"/>
              </w:rPr>
              <w:t>2,27</w:t>
            </w:r>
          </w:p>
        </w:tc>
      </w:tr>
    </w:tbl>
    <w:p w14:paraId="300AB980" w14:textId="77777777" w:rsidR="002C3064" w:rsidRDefault="002C3064" w:rsidP="002C3064">
      <w:pPr>
        <w:autoSpaceDE w:val="0"/>
        <w:autoSpaceDN w:val="0"/>
        <w:adjustRightInd w:val="0"/>
        <w:jc w:val="both"/>
        <w:rPr>
          <w:b/>
          <w:bCs/>
          <w:sz w:val="22"/>
          <w:lang w:val="es-ES_tradnl"/>
        </w:rPr>
      </w:pPr>
    </w:p>
    <w:p w14:paraId="267B40CA" w14:textId="77777777" w:rsidR="002C3064" w:rsidRDefault="002C3064" w:rsidP="002C3064">
      <w:pPr>
        <w:rPr>
          <w:sz w:val="22"/>
          <w:lang w:val="es-ES_tradnl"/>
        </w:rPr>
      </w:pPr>
    </w:p>
    <w:p w14:paraId="0CACDE08" w14:textId="77777777" w:rsidR="007E1A2E" w:rsidRPr="002F559F" w:rsidRDefault="007E1A2E" w:rsidP="007E1A2E">
      <w:pPr>
        <w:pStyle w:val="Prrafodelista"/>
        <w:numPr>
          <w:ilvl w:val="0"/>
          <w:numId w:val="24"/>
        </w:numPr>
        <w:suppressAutoHyphens/>
        <w:spacing w:after="120"/>
        <w:ind w:left="426" w:hanging="426"/>
        <w:jc w:val="both"/>
        <w:rPr>
          <w:rFonts w:cs="Arial"/>
          <w:b/>
          <w:bCs/>
          <w:sz w:val="22"/>
          <w:lang w:val="es-AR"/>
        </w:rPr>
      </w:pPr>
      <w:r>
        <w:rPr>
          <w:rFonts w:cs="Arial"/>
          <w:b/>
          <w:sz w:val="22"/>
          <w:lang w:val="es-AR"/>
        </w:rPr>
        <w:t>MONITOREO DE PRECIOS</w:t>
      </w:r>
    </w:p>
    <w:p w14:paraId="5ECE8749" w14:textId="77777777" w:rsidR="007E1A2E" w:rsidRDefault="007E1A2E" w:rsidP="00FF25AC">
      <w:pPr>
        <w:pStyle w:val="Prrafodelista"/>
        <w:suppressAutoHyphens/>
        <w:spacing w:after="120" w:line="360" w:lineRule="auto"/>
        <w:ind w:left="426"/>
        <w:jc w:val="both"/>
        <w:rPr>
          <w:rFonts w:cs="Arial"/>
          <w:b/>
          <w:bCs/>
          <w:sz w:val="22"/>
          <w:lang w:val="es-AR"/>
        </w:rPr>
      </w:pPr>
    </w:p>
    <w:p w14:paraId="5C4F2183" w14:textId="2DDC0464" w:rsidR="00BC534D" w:rsidRPr="002F559F" w:rsidRDefault="00BC534D" w:rsidP="00C91F67">
      <w:pPr>
        <w:spacing w:line="360" w:lineRule="auto"/>
        <w:jc w:val="both"/>
        <w:rPr>
          <w:rFonts w:cs="Arial"/>
          <w:b/>
          <w:bCs/>
          <w:sz w:val="22"/>
          <w:lang w:val="es-AR"/>
        </w:rPr>
      </w:pPr>
      <w:r w:rsidRPr="00AF2E72">
        <w:rPr>
          <w:sz w:val="22"/>
          <w:szCs w:val="22"/>
          <w:lang w:val="es-AR"/>
        </w:rPr>
        <w:t xml:space="preserve">El monitoreo de precios y ajuste de tarifas se realizará </w:t>
      </w:r>
      <w:r w:rsidR="00AE7BB7">
        <w:rPr>
          <w:sz w:val="22"/>
          <w:szCs w:val="22"/>
          <w:lang w:val="es-AR"/>
        </w:rPr>
        <w:t xml:space="preserve">con fórmula de ajuste </w:t>
      </w:r>
      <w:r w:rsidR="00227FB9" w:rsidRPr="00227FB9">
        <w:rPr>
          <w:sz w:val="22"/>
          <w:szCs w:val="22"/>
          <w:lang w:val="es-AR"/>
        </w:rPr>
        <w:t>que forma parte del contrato de tratamiento de químicos</w:t>
      </w:r>
      <w:r w:rsidR="00227FB9">
        <w:rPr>
          <w:sz w:val="22"/>
          <w:szCs w:val="22"/>
          <w:lang w:val="es-AR"/>
        </w:rPr>
        <w:t xml:space="preserve"> </w:t>
      </w:r>
      <w:r w:rsidR="001003FA">
        <w:rPr>
          <w:sz w:val="22"/>
          <w:szCs w:val="22"/>
          <w:lang w:val="es-AR"/>
        </w:rPr>
        <w:t>vigente</w:t>
      </w:r>
      <w:r w:rsidR="00930AEA">
        <w:rPr>
          <w:sz w:val="22"/>
          <w:szCs w:val="22"/>
          <w:lang w:val="es-AR"/>
        </w:rPr>
        <w:t>.</w:t>
      </w:r>
    </w:p>
    <w:sectPr w:rsidR="00BC534D" w:rsidRPr="002F559F"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9E6E2" w14:textId="77777777" w:rsidR="008E5BF1" w:rsidRDefault="008E5BF1">
      <w:r>
        <w:separator/>
      </w:r>
    </w:p>
  </w:endnote>
  <w:endnote w:type="continuationSeparator" w:id="0">
    <w:p w14:paraId="14C4C3FE" w14:textId="77777777" w:rsidR="008E5BF1" w:rsidRDefault="008E5BF1">
      <w:r>
        <w:continuationSeparator/>
      </w:r>
    </w:p>
  </w:endnote>
  <w:endnote w:type="continuationNotice" w:id="1">
    <w:p w14:paraId="1698B70F" w14:textId="77777777" w:rsidR="008E5BF1" w:rsidRDefault="008E5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3666CCC7" w:rsidR="0009065C" w:rsidRPr="003E6CCA" w:rsidRDefault="00CB7CF5" w:rsidP="0009065C">
    <w:pPr>
      <w:pStyle w:val="Piedepgina"/>
      <w:tabs>
        <w:tab w:val="clear" w:pos="4419"/>
        <w:tab w:val="clear" w:pos="8838"/>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52731EA6">
              <wp:simplePos x="0" y="0"/>
              <wp:positionH relativeFrom="column">
                <wp:posOffset>-57120</wp:posOffset>
              </wp:positionH>
              <wp:positionV relativeFrom="paragraph">
                <wp:posOffset>147025</wp:posOffset>
              </wp:positionV>
              <wp:extent cx="6163546"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3546"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86601"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6pt" to="480.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" strokecolor="#002060" strokeweight="2pt"/>
          </w:pict>
        </mc:Fallback>
      </mc:AlternateContent>
    </w:r>
    <w:r w:rsidR="00C92E71">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A866B7">
      <w:rPr>
        <w:rFonts w:ascii="HelveticaNeueLT Std" w:hAnsi="HelveticaNeueLT Std" w:cs="Helvetica"/>
        <w:i/>
        <w:sz w:val="18"/>
        <w:lang w:val="es-ES_tradnl"/>
      </w:rPr>
      <w:t>1 de marzo de 2024</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06161B">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06161B">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B733B9F" w:rsidR="0009065C" w:rsidRPr="006758B9" w:rsidRDefault="0009065C" w:rsidP="0009065C">
    <w:pPr>
      <w:pStyle w:val="Piedepgina"/>
      <w:tabs>
        <w:tab w:val="right" w:pos="8931"/>
      </w:tabs>
      <w:ind w:right="-143"/>
      <w:rPr>
        <w:rFonts w:ascii="HelveticaNeueLT Std" w:hAnsi="HelveticaNeueLT Std" w:cs="Helvetica"/>
        <w:sz w:val="16"/>
        <w:lang w:val="es-ES_tradnl"/>
      </w:rPr>
    </w:pP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F291" w14:textId="77777777" w:rsidR="008E5BF1" w:rsidRDefault="008E5BF1">
      <w:r>
        <w:separator/>
      </w:r>
    </w:p>
  </w:footnote>
  <w:footnote w:type="continuationSeparator" w:id="0">
    <w:p w14:paraId="2DA6C047" w14:textId="77777777" w:rsidR="008E5BF1" w:rsidRDefault="008E5BF1">
      <w:r>
        <w:continuationSeparator/>
      </w:r>
    </w:p>
  </w:footnote>
  <w:footnote w:type="continuationNotice" w:id="1">
    <w:p w14:paraId="20A67B85" w14:textId="77777777" w:rsidR="008E5BF1" w:rsidRDefault="008E5B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0021E39E" w:rsidR="00B443AC" w:rsidRPr="00B443AC" w:rsidRDefault="002637E0"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Cliente: </w:t>
    </w:r>
    <w:r w:rsidR="00FF6D60">
      <w:rPr>
        <w:rFonts w:ascii="HelveticaNeueLT Std" w:hAnsi="HelveticaNeueLT Std" w:cs="Helvetica"/>
        <w:bCs/>
        <w:noProof/>
        <w:sz w:val="18"/>
        <w:szCs w:val="18"/>
        <w:lang w:val="pt-BR"/>
      </w:rPr>
      <w:t xml:space="preserve">Chevron Argentina S.R.L </w:t>
    </w:r>
  </w:p>
  <w:p w14:paraId="38238606" w14:textId="323DD771" w:rsidR="005D0B56" w:rsidRDefault="00B45372"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“Cotización </w:t>
    </w:r>
    <w:r w:rsidR="006143FF">
      <w:rPr>
        <w:rFonts w:ascii="HelveticaNeueLT Std" w:hAnsi="HelveticaNeueLT Std" w:cs="Helvetica"/>
        <w:bCs/>
        <w:noProof/>
        <w:sz w:val="18"/>
        <w:szCs w:val="18"/>
        <w:lang w:val="pt-BR"/>
      </w:rPr>
      <w:t xml:space="preserve">Inhibidor de </w:t>
    </w:r>
    <w:r w:rsidR="00930AEA">
      <w:rPr>
        <w:rFonts w:ascii="HelveticaNeueLT Std" w:hAnsi="HelveticaNeueLT Std" w:cs="Helvetica"/>
        <w:bCs/>
        <w:noProof/>
        <w:sz w:val="18"/>
        <w:szCs w:val="18"/>
        <w:lang w:val="pt-BR"/>
      </w:rPr>
      <w:t>incrustaciones</w:t>
    </w:r>
    <w:r w:rsidR="0099128A">
      <w:rPr>
        <w:rFonts w:ascii="HelveticaNeueLT Std" w:hAnsi="HelveticaNeueLT Std" w:cs="Helvetica"/>
        <w:bCs/>
        <w:noProof/>
        <w:sz w:val="18"/>
        <w:szCs w:val="18"/>
        <w:lang w:val="pt-BR"/>
      </w:rPr>
      <w:t xml:space="preserve"> </w:t>
    </w:r>
    <w:r w:rsidR="00930AEA">
      <w:rPr>
        <w:rFonts w:ascii="HelveticaNeueLT Std" w:hAnsi="HelveticaNeueLT Std" w:cs="Helvetica"/>
        <w:bCs/>
        <w:noProof/>
        <w:sz w:val="18"/>
        <w:szCs w:val="18"/>
        <w:lang w:val="pt-BR"/>
      </w:rPr>
      <w:t>IC8210</w:t>
    </w:r>
    <w:r w:rsidR="00DB1D2B">
      <w:rPr>
        <w:rFonts w:ascii="HelveticaNeueLT Std" w:hAnsi="HelveticaNeueLT Std" w:cs="Helvetica"/>
        <w:bCs/>
        <w:noProof/>
        <w:sz w:val="18"/>
        <w:szCs w:val="18"/>
        <w:lang w:val="pt-BR"/>
      </w:rPr>
      <w:t>”</w:t>
    </w:r>
  </w:p>
  <w:p w14:paraId="5FA05A6D" w14:textId="77777777" w:rsidR="005B2D71" w:rsidRPr="00A952A0" w:rsidRDefault="005B2D71" w:rsidP="005D0B56">
    <w:pPr>
      <w:rPr>
        <w:rFonts w:ascii="HelveticaNeueLT Std" w:hAnsi="HelveticaNeueLT Std" w:cs="Helvetica"/>
        <w:sz w:val="18"/>
        <w:szCs w:val="16"/>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2"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5"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9931062">
    <w:abstractNumId w:val="20"/>
  </w:num>
  <w:num w:numId="2" w16cid:durableId="1676372241">
    <w:abstractNumId w:val="0"/>
  </w:num>
  <w:num w:numId="3" w16cid:durableId="838620342">
    <w:abstractNumId w:val="18"/>
  </w:num>
  <w:num w:numId="4" w16cid:durableId="1734694980">
    <w:abstractNumId w:val="13"/>
  </w:num>
  <w:num w:numId="5" w16cid:durableId="2045711800">
    <w:abstractNumId w:val="23"/>
  </w:num>
  <w:num w:numId="6" w16cid:durableId="1631280171">
    <w:abstractNumId w:val="22"/>
  </w:num>
  <w:num w:numId="7" w16cid:durableId="1874685415">
    <w:abstractNumId w:val="17"/>
  </w:num>
  <w:num w:numId="8" w16cid:durableId="2080059756">
    <w:abstractNumId w:val="9"/>
  </w:num>
  <w:num w:numId="9" w16cid:durableId="580869141">
    <w:abstractNumId w:val="29"/>
  </w:num>
  <w:num w:numId="10" w16cid:durableId="735279008">
    <w:abstractNumId w:val="1"/>
  </w:num>
  <w:num w:numId="11" w16cid:durableId="1307663192">
    <w:abstractNumId w:val="19"/>
  </w:num>
  <w:num w:numId="12" w16cid:durableId="792138446">
    <w:abstractNumId w:val="2"/>
  </w:num>
  <w:num w:numId="13" w16cid:durableId="17394615">
    <w:abstractNumId w:val="14"/>
  </w:num>
  <w:num w:numId="14" w16cid:durableId="954755598">
    <w:abstractNumId w:val="28"/>
  </w:num>
  <w:num w:numId="15" w16cid:durableId="191040120">
    <w:abstractNumId w:val="5"/>
  </w:num>
  <w:num w:numId="16" w16cid:durableId="1352296343">
    <w:abstractNumId w:val="15"/>
  </w:num>
  <w:num w:numId="17" w16cid:durableId="1753505381">
    <w:abstractNumId w:val="7"/>
  </w:num>
  <w:num w:numId="18" w16cid:durableId="520438941">
    <w:abstractNumId w:val="26"/>
  </w:num>
  <w:num w:numId="19" w16cid:durableId="1252470979">
    <w:abstractNumId w:val="3"/>
  </w:num>
  <w:num w:numId="20" w16cid:durableId="1841313017">
    <w:abstractNumId w:val="10"/>
  </w:num>
  <w:num w:numId="21" w16cid:durableId="2138181869">
    <w:abstractNumId w:val="11"/>
  </w:num>
  <w:num w:numId="22" w16cid:durableId="999696685">
    <w:abstractNumId w:val="31"/>
  </w:num>
  <w:num w:numId="23" w16cid:durableId="1687634513">
    <w:abstractNumId w:val="6"/>
  </w:num>
  <w:num w:numId="24" w16cid:durableId="291787855">
    <w:abstractNumId w:val="16"/>
  </w:num>
  <w:num w:numId="25" w16cid:durableId="1708337196">
    <w:abstractNumId w:val="21"/>
  </w:num>
  <w:num w:numId="26" w16cid:durableId="1268539631">
    <w:abstractNumId w:val="12"/>
  </w:num>
  <w:num w:numId="27" w16cid:durableId="774596283">
    <w:abstractNumId w:val="27"/>
  </w:num>
  <w:num w:numId="28" w16cid:durableId="1068304703">
    <w:abstractNumId w:val="25"/>
  </w:num>
  <w:num w:numId="29" w16cid:durableId="1388383466">
    <w:abstractNumId w:val="30"/>
  </w:num>
  <w:num w:numId="30" w16cid:durableId="822698732">
    <w:abstractNumId w:val="8"/>
  </w:num>
  <w:num w:numId="31" w16cid:durableId="1376125396">
    <w:abstractNumId w:val="24"/>
  </w:num>
  <w:num w:numId="32" w16cid:durableId="1999453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C03"/>
    <w:rsid w:val="00030D2D"/>
    <w:rsid w:val="0003386A"/>
    <w:rsid w:val="00060CF6"/>
    <w:rsid w:val="0006161B"/>
    <w:rsid w:val="00064607"/>
    <w:rsid w:val="000701CC"/>
    <w:rsid w:val="0007218D"/>
    <w:rsid w:val="00072F0F"/>
    <w:rsid w:val="0009065C"/>
    <w:rsid w:val="000A2DF2"/>
    <w:rsid w:val="000A48F6"/>
    <w:rsid w:val="000D5D50"/>
    <w:rsid w:val="000D6F4A"/>
    <w:rsid w:val="000E1A85"/>
    <w:rsid w:val="000E2185"/>
    <w:rsid w:val="001003FA"/>
    <w:rsid w:val="001230BD"/>
    <w:rsid w:val="00130F48"/>
    <w:rsid w:val="0013260B"/>
    <w:rsid w:val="00135FF6"/>
    <w:rsid w:val="00140BFD"/>
    <w:rsid w:val="0014435F"/>
    <w:rsid w:val="0017339A"/>
    <w:rsid w:val="00180837"/>
    <w:rsid w:val="001822C7"/>
    <w:rsid w:val="001936A2"/>
    <w:rsid w:val="001A588E"/>
    <w:rsid w:val="001B054A"/>
    <w:rsid w:val="001B18F5"/>
    <w:rsid w:val="001B3976"/>
    <w:rsid w:val="001B6A43"/>
    <w:rsid w:val="001D2DC5"/>
    <w:rsid w:val="001E0968"/>
    <w:rsid w:val="001F3FD4"/>
    <w:rsid w:val="00227E85"/>
    <w:rsid w:val="00227FB9"/>
    <w:rsid w:val="002309CF"/>
    <w:rsid w:val="00232E15"/>
    <w:rsid w:val="002474DD"/>
    <w:rsid w:val="0025519D"/>
    <w:rsid w:val="002637E0"/>
    <w:rsid w:val="002642B7"/>
    <w:rsid w:val="00266289"/>
    <w:rsid w:val="00275CCD"/>
    <w:rsid w:val="00283602"/>
    <w:rsid w:val="00285780"/>
    <w:rsid w:val="002B63E4"/>
    <w:rsid w:val="002C3064"/>
    <w:rsid w:val="002D543D"/>
    <w:rsid w:val="002E2232"/>
    <w:rsid w:val="002E77AC"/>
    <w:rsid w:val="00315727"/>
    <w:rsid w:val="003177FB"/>
    <w:rsid w:val="00325006"/>
    <w:rsid w:val="00331151"/>
    <w:rsid w:val="003314F2"/>
    <w:rsid w:val="00337168"/>
    <w:rsid w:val="00346820"/>
    <w:rsid w:val="003709DA"/>
    <w:rsid w:val="003A4414"/>
    <w:rsid w:val="003D2F14"/>
    <w:rsid w:val="003D79B7"/>
    <w:rsid w:val="003E057B"/>
    <w:rsid w:val="003E0585"/>
    <w:rsid w:val="003E0B49"/>
    <w:rsid w:val="003F505C"/>
    <w:rsid w:val="0040162B"/>
    <w:rsid w:val="00413B55"/>
    <w:rsid w:val="004522FE"/>
    <w:rsid w:val="00463DDE"/>
    <w:rsid w:val="00475098"/>
    <w:rsid w:val="0048317A"/>
    <w:rsid w:val="00483728"/>
    <w:rsid w:val="004919DE"/>
    <w:rsid w:val="00492022"/>
    <w:rsid w:val="0049228C"/>
    <w:rsid w:val="004A395D"/>
    <w:rsid w:val="004A4FFF"/>
    <w:rsid w:val="0050667E"/>
    <w:rsid w:val="005074D8"/>
    <w:rsid w:val="005207F6"/>
    <w:rsid w:val="005214C4"/>
    <w:rsid w:val="00530312"/>
    <w:rsid w:val="00531F96"/>
    <w:rsid w:val="00541EA5"/>
    <w:rsid w:val="005511B5"/>
    <w:rsid w:val="005518A0"/>
    <w:rsid w:val="00562A75"/>
    <w:rsid w:val="00563F31"/>
    <w:rsid w:val="0057300A"/>
    <w:rsid w:val="0057375C"/>
    <w:rsid w:val="00577426"/>
    <w:rsid w:val="00590C78"/>
    <w:rsid w:val="005B0FC0"/>
    <w:rsid w:val="005B2D71"/>
    <w:rsid w:val="005B6A22"/>
    <w:rsid w:val="005C465F"/>
    <w:rsid w:val="005D0B56"/>
    <w:rsid w:val="005D3D80"/>
    <w:rsid w:val="005D59A3"/>
    <w:rsid w:val="005E085A"/>
    <w:rsid w:val="005F09EA"/>
    <w:rsid w:val="00607999"/>
    <w:rsid w:val="006143FF"/>
    <w:rsid w:val="00614FB3"/>
    <w:rsid w:val="00650004"/>
    <w:rsid w:val="0065352B"/>
    <w:rsid w:val="00662289"/>
    <w:rsid w:val="00682AD5"/>
    <w:rsid w:val="006A31F0"/>
    <w:rsid w:val="006A4D77"/>
    <w:rsid w:val="006A5FB2"/>
    <w:rsid w:val="006C28C9"/>
    <w:rsid w:val="006D710E"/>
    <w:rsid w:val="006E1532"/>
    <w:rsid w:val="006E2264"/>
    <w:rsid w:val="006F3064"/>
    <w:rsid w:val="006F4D3D"/>
    <w:rsid w:val="007017CC"/>
    <w:rsid w:val="00721735"/>
    <w:rsid w:val="0072179C"/>
    <w:rsid w:val="00721A28"/>
    <w:rsid w:val="00751E9A"/>
    <w:rsid w:val="00761889"/>
    <w:rsid w:val="00764D20"/>
    <w:rsid w:val="0076737A"/>
    <w:rsid w:val="00772E59"/>
    <w:rsid w:val="0077405F"/>
    <w:rsid w:val="0077601D"/>
    <w:rsid w:val="00783B94"/>
    <w:rsid w:val="007855AC"/>
    <w:rsid w:val="007959CD"/>
    <w:rsid w:val="007A51E5"/>
    <w:rsid w:val="007B53D6"/>
    <w:rsid w:val="007B6E09"/>
    <w:rsid w:val="007C253D"/>
    <w:rsid w:val="007E1A2E"/>
    <w:rsid w:val="007F1DEC"/>
    <w:rsid w:val="007F31E7"/>
    <w:rsid w:val="00807F04"/>
    <w:rsid w:val="00823076"/>
    <w:rsid w:val="0083384F"/>
    <w:rsid w:val="008528DC"/>
    <w:rsid w:val="008540FE"/>
    <w:rsid w:val="00854305"/>
    <w:rsid w:val="00865F71"/>
    <w:rsid w:val="0087139B"/>
    <w:rsid w:val="00875DA5"/>
    <w:rsid w:val="00886A87"/>
    <w:rsid w:val="00887000"/>
    <w:rsid w:val="008A07FF"/>
    <w:rsid w:val="008A5446"/>
    <w:rsid w:val="008B4792"/>
    <w:rsid w:val="008E12B9"/>
    <w:rsid w:val="008E5BF1"/>
    <w:rsid w:val="008F1192"/>
    <w:rsid w:val="008F6370"/>
    <w:rsid w:val="00900B85"/>
    <w:rsid w:val="00903627"/>
    <w:rsid w:val="00904E18"/>
    <w:rsid w:val="00905E82"/>
    <w:rsid w:val="0092342E"/>
    <w:rsid w:val="00927A66"/>
    <w:rsid w:val="00930AEA"/>
    <w:rsid w:val="0094444D"/>
    <w:rsid w:val="00953CFA"/>
    <w:rsid w:val="009875FE"/>
    <w:rsid w:val="0099128A"/>
    <w:rsid w:val="009939B0"/>
    <w:rsid w:val="00993C83"/>
    <w:rsid w:val="009C1C97"/>
    <w:rsid w:val="009C5C3A"/>
    <w:rsid w:val="009D0DBF"/>
    <w:rsid w:val="009E197B"/>
    <w:rsid w:val="009F1CA9"/>
    <w:rsid w:val="009F7A5E"/>
    <w:rsid w:val="00A0047E"/>
    <w:rsid w:val="00A26272"/>
    <w:rsid w:val="00A331F9"/>
    <w:rsid w:val="00A43E10"/>
    <w:rsid w:val="00A6128A"/>
    <w:rsid w:val="00A66A00"/>
    <w:rsid w:val="00A73181"/>
    <w:rsid w:val="00A77337"/>
    <w:rsid w:val="00A84C1B"/>
    <w:rsid w:val="00A866B7"/>
    <w:rsid w:val="00A952A0"/>
    <w:rsid w:val="00AB40B0"/>
    <w:rsid w:val="00AC17D5"/>
    <w:rsid w:val="00AE7BB7"/>
    <w:rsid w:val="00AF0DBF"/>
    <w:rsid w:val="00AF0E13"/>
    <w:rsid w:val="00AF36E9"/>
    <w:rsid w:val="00B014E3"/>
    <w:rsid w:val="00B05266"/>
    <w:rsid w:val="00B11593"/>
    <w:rsid w:val="00B17D6F"/>
    <w:rsid w:val="00B36627"/>
    <w:rsid w:val="00B37816"/>
    <w:rsid w:val="00B37EAB"/>
    <w:rsid w:val="00B42876"/>
    <w:rsid w:val="00B443AC"/>
    <w:rsid w:val="00B45372"/>
    <w:rsid w:val="00B540EE"/>
    <w:rsid w:val="00B6299D"/>
    <w:rsid w:val="00B64B5B"/>
    <w:rsid w:val="00B854CC"/>
    <w:rsid w:val="00BA2853"/>
    <w:rsid w:val="00BB0601"/>
    <w:rsid w:val="00BB34AB"/>
    <w:rsid w:val="00BC534D"/>
    <w:rsid w:val="00BE107D"/>
    <w:rsid w:val="00BE672C"/>
    <w:rsid w:val="00BE7481"/>
    <w:rsid w:val="00BF633D"/>
    <w:rsid w:val="00C02762"/>
    <w:rsid w:val="00C064D9"/>
    <w:rsid w:val="00C10737"/>
    <w:rsid w:val="00C10C10"/>
    <w:rsid w:val="00C20112"/>
    <w:rsid w:val="00C32387"/>
    <w:rsid w:val="00C36A0D"/>
    <w:rsid w:val="00C37772"/>
    <w:rsid w:val="00C405A7"/>
    <w:rsid w:val="00C47B3D"/>
    <w:rsid w:val="00C5705E"/>
    <w:rsid w:val="00C61E8C"/>
    <w:rsid w:val="00C70D2D"/>
    <w:rsid w:val="00C91F67"/>
    <w:rsid w:val="00C92E71"/>
    <w:rsid w:val="00CA5A90"/>
    <w:rsid w:val="00CB7CF5"/>
    <w:rsid w:val="00CC3814"/>
    <w:rsid w:val="00CC6B74"/>
    <w:rsid w:val="00CE6BA6"/>
    <w:rsid w:val="00CF42D3"/>
    <w:rsid w:val="00D05611"/>
    <w:rsid w:val="00D16093"/>
    <w:rsid w:val="00D160BC"/>
    <w:rsid w:val="00D16AD0"/>
    <w:rsid w:val="00D17441"/>
    <w:rsid w:val="00D207E3"/>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B1D2B"/>
    <w:rsid w:val="00DD29CE"/>
    <w:rsid w:val="00DD4C46"/>
    <w:rsid w:val="00DD5E6B"/>
    <w:rsid w:val="00DE49F4"/>
    <w:rsid w:val="00DE7FDE"/>
    <w:rsid w:val="00DF0DFB"/>
    <w:rsid w:val="00E2237F"/>
    <w:rsid w:val="00E24FBF"/>
    <w:rsid w:val="00E3345A"/>
    <w:rsid w:val="00E50FA3"/>
    <w:rsid w:val="00E57108"/>
    <w:rsid w:val="00E81EF5"/>
    <w:rsid w:val="00E935C5"/>
    <w:rsid w:val="00E93732"/>
    <w:rsid w:val="00E93925"/>
    <w:rsid w:val="00EA4625"/>
    <w:rsid w:val="00EB340B"/>
    <w:rsid w:val="00EC67F6"/>
    <w:rsid w:val="00EE3945"/>
    <w:rsid w:val="00F137D8"/>
    <w:rsid w:val="00F16B05"/>
    <w:rsid w:val="00F36308"/>
    <w:rsid w:val="00F51AB7"/>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554F"/>
    <w:rsid w:val="00FF6D60"/>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immy.Lopez@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dresmazo@chevron.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029C7-DBFD-4122-A819-677611098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130A4FD0-52EA-402D-99AD-C7B6DA95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4482</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51</cp:revision>
  <cp:lastPrinted>2021-02-04T12:22:00Z</cp:lastPrinted>
  <dcterms:created xsi:type="dcterms:W3CDTF">2022-07-13T16:25:00Z</dcterms:created>
  <dcterms:modified xsi:type="dcterms:W3CDTF">2024-03-01T19:25:00Z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