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489B5935"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E96A9D">
        <w:rPr>
          <w:spacing w:val="-3"/>
          <w:sz w:val="22"/>
          <w:szCs w:val="22"/>
        </w:rPr>
        <w:t>15 de agosto</w:t>
      </w:r>
      <w:r w:rsidR="008941B9">
        <w:rPr>
          <w:spacing w:val="-3"/>
          <w:sz w:val="22"/>
          <w:szCs w:val="22"/>
        </w:rPr>
        <w:t xml:space="preserve"> de 2023</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1E8FC06F" w14:textId="77777777" w:rsidR="00743E80" w:rsidRPr="00186C88" w:rsidRDefault="00743E80" w:rsidP="00743E80">
      <w:pPr>
        <w:suppressAutoHyphens/>
        <w:rPr>
          <w:rFonts w:cs="Arial"/>
          <w:b/>
          <w:sz w:val="22"/>
          <w:szCs w:val="22"/>
        </w:rPr>
      </w:pPr>
      <w:proofErr w:type="spellStart"/>
      <w:r w:rsidRPr="00186C88">
        <w:rPr>
          <w:rFonts w:cs="Arial"/>
          <w:b/>
          <w:sz w:val="22"/>
          <w:szCs w:val="22"/>
        </w:rPr>
        <w:t>Capex</w:t>
      </w:r>
      <w:proofErr w:type="spellEnd"/>
      <w:r w:rsidRPr="00186C88">
        <w:rPr>
          <w:rFonts w:cs="Arial"/>
          <w:b/>
          <w:sz w:val="22"/>
          <w:szCs w:val="22"/>
        </w:rPr>
        <w:t xml:space="preserve"> S.A.</w:t>
      </w:r>
    </w:p>
    <w:p w14:paraId="69C0C065" w14:textId="253DEF6C" w:rsidR="00B64B5B" w:rsidRPr="00C47B3D" w:rsidRDefault="00B64B5B" w:rsidP="00072F0F">
      <w:pPr>
        <w:suppressAutoHyphens/>
        <w:rPr>
          <w:rFonts w:cs="Arial"/>
          <w:sz w:val="22"/>
          <w:szCs w:val="22"/>
        </w:rPr>
      </w:pPr>
    </w:p>
    <w:p w14:paraId="7CAC7057" w14:textId="77777777" w:rsidR="00A952A0" w:rsidRDefault="00A952A0" w:rsidP="00072F0F">
      <w:pPr>
        <w:rPr>
          <w:rFonts w:cs="Arial"/>
          <w:spacing w:val="-3"/>
          <w:sz w:val="22"/>
          <w:szCs w:val="22"/>
          <w:lang w:val="es-AR"/>
        </w:rPr>
      </w:pPr>
    </w:p>
    <w:p w14:paraId="0EB2E9CC" w14:textId="3786F4FD" w:rsidR="00903627" w:rsidRPr="000F3337" w:rsidRDefault="00875DA5" w:rsidP="00A952A0">
      <w:pPr>
        <w:rPr>
          <w:rFonts w:cs="Arial"/>
          <w:spacing w:val="-3"/>
          <w:sz w:val="22"/>
          <w:szCs w:val="22"/>
          <w:lang w:val="es-AR"/>
        </w:rPr>
      </w:pPr>
      <w:proofErr w:type="spellStart"/>
      <w:r w:rsidRPr="000F3337">
        <w:rPr>
          <w:rFonts w:cs="Arial"/>
          <w:spacing w:val="-3"/>
          <w:sz w:val="22"/>
          <w:szCs w:val="22"/>
          <w:lang w:val="es-AR"/>
        </w:rPr>
        <w:t>At’n</w:t>
      </w:r>
      <w:proofErr w:type="spellEnd"/>
      <w:r w:rsidRPr="000F3337">
        <w:rPr>
          <w:rFonts w:cs="Arial"/>
          <w:spacing w:val="-3"/>
          <w:sz w:val="22"/>
          <w:szCs w:val="22"/>
          <w:lang w:val="es-AR"/>
        </w:rPr>
        <w:t xml:space="preserve">.: </w:t>
      </w:r>
      <w:r w:rsidR="000E20BA">
        <w:rPr>
          <w:lang w:eastAsia="es-AR"/>
        </w:rPr>
        <w:t>Hernán</w:t>
      </w:r>
      <w:r w:rsidR="000E20BA">
        <w:rPr>
          <w:lang w:eastAsia="es-AR"/>
        </w:rPr>
        <w:t xml:space="preserve"> Arregui </w:t>
      </w:r>
    </w:p>
    <w:p w14:paraId="61084526" w14:textId="739C7655" w:rsidR="000E20BA" w:rsidRDefault="001D2DC5" w:rsidP="00875DA5">
      <w:r w:rsidRPr="000F3337">
        <w:rPr>
          <w:rFonts w:cs="Arial"/>
          <w:spacing w:val="-3"/>
          <w:sz w:val="22"/>
          <w:szCs w:val="22"/>
          <w:lang w:val="es-AR"/>
        </w:rPr>
        <w:t xml:space="preserve">E-mail: </w:t>
      </w:r>
      <w:hyperlink r:id="rId11" w:history="1">
        <w:r w:rsidR="000E20BA" w:rsidRPr="00517828">
          <w:rPr>
            <w:rStyle w:val="Hipervnculo"/>
            <w:rFonts w:ascii="Arial" w:hAnsi="Arial"/>
            <w:sz w:val="24"/>
          </w:rPr>
          <w:t>Hernan.Arregui@grupocapsa.com.ar</w:t>
        </w:r>
      </w:hyperlink>
    </w:p>
    <w:p w14:paraId="189AC6DD" w14:textId="77777777" w:rsidR="000E20BA" w:rsidRDefault="000E20BA" w:rsidP="00875DA5"/>
    <w:p w14:paraId="5682EF6A" w14:textId="1170432F" w:rsidR="00072F0F" w:rsidRPr="000F3337" w:rsidRDefault="005473B5" w:rsidP="006A0A81">
      <w:pPr>
        <w:tabs>
          <w:tab w:val="left" w:pos="6848"/>
        </w:tabs>
        <w:rPr>
          <w:rFonts w:cs="Arial"/>
          <w:b/>
          <w:spacing w:val="-3"/>
          <w:sz w:val="22"/>
          <w:szCs w:val="22"/>
          <w:lang w:val="es-AR"/>
        </w:rPr>
      </w:pPr>
      <w:r w:rsidRPr="000F3337">
        <w:rPr>
          <w:rFonts w:cs="Arial"/>
          <w:b/>
          <w:spacing w:val="-3"/>
          <w:sz w:val="22"/>
          <w:szCs w:val="22"/>
          <w:lang w:val="es-AR"/>
        </w:rPr>
        <w:t xml:space="preserve">Ref.: </w:t>
      </w:r>
      <w:r w:rsidR="009F48EF">
        <w:rPr>
          <w:rFonts w:cs="Arial"/>
          <w:b/>
          <w:spacing w:val="-3"/>
          <w:sz w:val="22"/>
          <w:szCs w:val="22"/>
          <w:lang w:val="es-AR"/>
        </w:rPr>
        <w:t xml:space="preserve">Cotización </w:t>
      </w:r>
      <w:r w:rsidR="000E20BA">
        <w:rPr>
          <w:rFonts w:cs="Arial"/>
          <w:b/>
          <w:spacing w:val="-3"/>
          <w:sz w:val="22"/>
          <w:szCs w:val="22"/>
          <w:lang w:val="es-AR"/>
        </w:rPr>
        <w:t>TEG</w:t>
      </w:r>
    </w:p>
    <w:p w14:paraId="24985D8D" w14:textId="77777777" w:rsidR="00315727" w:rsidRPr="000A48F6" w:rsidRDefault="00315727" w:rsidP="00315727">
      <w:pPr>
        <w:suppressAutoHyphens/>
        <w:ind w:left="567" w:hanging="567"/>
        <w:jc w:val="both"/>
        <w:rPr>
          <w:rFonts w:cs="Arial"/>
          <w:b/>
          <w:bCs/>
          <w:sz w:val="22"/>
          <w:szCs w:val="22"/>
          <w:lang w:val="es-AR"/>
        </w:rPr>
      </w:pPr>
    </w:p>
    <w:p w14:paraId="0449BE99" w14:textId="77777777" w:rsidR="00315727" w:rsidRPr="000A48F6"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0C38651E" w:rsidR="00F51D79" w:rsidRPr="008F7657" w:rsidRDefault="00315727" w:rsidP="001D54DE">
      <w:pPr>
        <w:suppressAutoHyphens/>
        <w:jc w:val="both"/>
        <w:rPr>
          <w:rFonts w:cs="Arial"/>
          <w:sz w:val="22"/>
          <w:szCs w:val="22"/>
          <w:lang w:val="es-AR"/>
        </w:rPr>
      </w:pPr>
      <w:r w:rsidRPr="0009065C">
        <w:rPr>
          <w:rFonts w:cs="Arial"/>
          <w:sz w:val="22"/>
          <w:szCs w:val="22"/>
        </w:rPr>
        <w:t>Tenemos el agrado de presentarles la planilla de cotización adjunta por la provisión de</w:t>
      </w:r>
      <w:r w:rsidR="00CE796F">
        <w:rPr>
          <w:rFonts w:cs="Arial"/>
          <w:sz w:val="22"/>
          <w:szCs w:val="22"/>
        </w:rPr>
        <w:t xml:space="preserve">l </w:t>
      </w:r>
      <w:r w:rsidR="008936FC">
        <w:rPr>
          <w:rFonts w:cs="Arial"/>
          <w:sz w:val="22"/>
          <w:szCs w:val="22"/>
        </w:rPr>
        <w:t>siguiente producto</w:t>
      </w:r>
      <w:r w:rsidR="001D54DE">
        <w:rPr>
          <w:rFonts w:cs="Arial"/>
          <w:sz w:val="22"/>
          <w:szCs w:val="22"/>
        </w:rPr>
        <w:t xml:space="preserve"> químico de referencia.</w:t>
      </w:r>
    </w:p>
    <w:p w14:paraId="544E726E" w14:textId="77777777" w:rsidR="00B06032" w:rsidRPr="00F51D79" w:rsidRDefault="00B06032" w:rsidP="00B06032">
      <w:pPr>
        <w:pStyle w:val="Prrafodelista"/>
        <w:suppressAutoHyphens/>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0B7670E0"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8F1A94">
        <w:rPr>
          <w:rFonts w:cs="Arial"/>
          <w:spacing w:val="-3"/>
          <w:sz w:val="20"/>
        </w:rPr>
        <w:t>Vuestro yacimiento.</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r w:rsidRPr="00344014">
        <w:rPr>
          <w:rFonts w:cs="Arial"/>
          <w:spacing w:val="-3"/>
          <w:sz w:val="20"/>
        </w:rPr>
        <w:t>Pecom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344014" w:rsidRDefault="00A952A0" w:rsidP="00A952A0">
      <w:pPr>
        <w:suppressAutoHyphens/>
        <w:ind w:left="7089" w:hanging="3544"/>
        <w:jc w:val="both"/>
        <w:rPr>
          <w:rFonts w:cs="Arial"/>
          <w:bCs/>
          <w:spacing w:val="-3"/>
          <w:sz w:val="20"/>
          <w:lang w:val="es-ES_tradnl"/>
        </w:rPr>
      </w:pPr>
      <w:r w:rsidRPr="00344014">
        <w:rPr>
          <w:rFonts w:cs="Arial"/>
          <w:spacing w:val="-3"/>
          <w:sz w:val="20"/>
        </w:rPr>
        <w:t>8300 - Neuquén</w:t>
      </w:r>
      <w:r w:rsidR="0092342E" w:rsidRPr="00344014">
        <w:rPr>
          <w:rFonts w:cs="Arial"/>
          <w:bCs/>
          <w:spacing w:val="-3"/>
          <w:sz w:val="20"/>
          <w:lang w:val="es-ES_tradnl"/>
        </w:rPr>
        <w:t xml:space="preserve"> </w:t>
      </w:r>
      <w:r w:rsidR="0092342E" w:rsidRPr="00344014">
        <w:rPr>
          <w:rFonts w:cs="Arial"/>
          <w:bCs/>
          <w:spacing w:val="-3"/>
          <w:sz w:val="20"/>
          <w:lang w:val="es-ES_tradnl"/>
        </w:rPr>
        <w:tab/>
      </w:r>
    </w:p>
    <w:p w14:paraId="34E717F5" w14:textId="1072E32A" w:rsidR="0092342E" w:rsidRPr="00344014" w:rsidRDefault="0092342E" w:rsidP="00A952A0">
      <w:pPr>
        <w:suppressAutoHyphens/>
        <w:ind w:left="7089" w:hanging="3544"/>
        <w:jc w:val="both"/>
        <w:rPr>
          <w:rFonts w:cs="Arial"/>
          <w:spacing w:val="-3"/>
          <w:sz w:val="20"/>
        </w:rPr>
      </w:pPr>
      <w:proofErr w:type="spellStart"/>
      <w:r w:rsidRPr="00344014">
        <w:rPr>
          <w:rFonts w:cs="Arial"/>
          <w:bCs/>
          <w:spacing w:val="-3"/>
          <w:sz w:val="20"/>
          <w:lang w:val="es-ES_tradnl"/>
        </w:rPr>
        <w:t>At’n</w:t>
      </w:r>
      <w:proofErr w:type="spellEnd"/>
      <w:r w:rsidRPr="00344014">
        <w:rPr>
          <w:rFonts w:cs="Arial"/>
          <w:bCs/>
          <w:spacing w:val="-3"/>
          <w:sz w:val="20"/>
          <w:lang w:val="es-ES_tradnl"/>
        </w:rPr>
        <w:t xml:space="preserve">:  </w:t>
      </w:r>
      <w:r w:rsidR="008941B9">
        <w:rPr>
          <w:rFonts w:cs="Arial"/>
          <w:bCs/>
          <w:spacing w:val="-3"/>
          <w:sz w:val="20"/>
          <w:lang w:val="es-ES_tradnl"/>
        </w:rPr>
        <w:t>Rodolfo Soto</w:t>
      </w:r>
    </w:p>
    <w:p w14:paraId="3F30D6D9" w14:textId="4FAF0D63" w:rsidR="00EB340B" w:rsidRPr="00344014" w:rsidRDefault="0092342E" w:rsidP="00EB340B">
      <w:pPr>
        <w:suppressAutoHyphens/>
        <w:ind w:left="2835" w:firstLine="709"/>
        <w:jc w:val="both"/>
        <w:rPr>
          <w:rFonts w:cs="Arial"/>
          <w:iCs/>
          <w:spacing w:val="-3"/>
          <w:sz w:val="20"/>
          <w:lang w:val="es-AR"/>
        </w:rPr>
      </w:pPr>
      <w:r w:rsidRPr="00344014">
        <w:rPr>
          <w:rFonts w:cs="Arial"/>
          <w:sz w:val="20"/>
          <w:lang w:val="es-AR"/>
        </w:rPr>
        <w:t xml:space="preserve">Email: </w:t>
      </w:r>
      <w:hyperlink r:id="rId12" w:history="1">
        <w:r w:rsidR="00EB340B" w:rsidRPr="00344014">
          <w:rPr>
            <w:rStyle w:val="Hipervnculo"/>
            <w:rFonts w:ascii="Arial" w:hAnsi="Arial" w:cs="Arial"/>
            <w:iCs/>
            <w:lang w:val="pt-BR"/>
          </w:rPr>
          <w:t>Comercial.NQN@pecomenergia.com.ar</w:t>
        </w:r>
      </w:hyperlink>
      <w:r w:rsidR="00EB340B" w:rsidRPr="00344014">
        <w:rPr>
          <w:rFonts w:cs="Arial"/>
          <w:iCs/>
          <w:sz w:val="20"/>
          <w:lang w:val="es-AR"/>
        </w:rPr>
        <w:t xml:space="preserve"> </w:t>
      </w:r>
    </w:p>
    <w:p w14:paraId="2E75213E" w14:textId="326DAA94" w:rsidR="00315727" w:rsidRPr="008941B9" w:rsidRDefault="00E90036" w:rsidP="00A35BC5">
      <w:pPr>
        <w:suppressAutoHyphens/>
        <w:ind w:left="3545"/>
        <w:jc w:val="both"/>
        <w:rPr>
          <w:rStyle w:val="Hipervnculo"/>
          <w:rFonts w:ascii="Arial" w:hAnsi="Arial"/>
          <w:iCs/>
          <w:lang w:val="pt-BR"/>
        </w:rPr>
      </w:pPr>
      <w:hyperlink r:id="rId13" w:history="1">
        <w:r w:rsidR="008941B9" w:rsidRPr="008941B9">
          <w:rPr>
            <w:rStyle w:val="Hipervnculo"/>
            <w:rFonts w:ascii="Arial" w:hAnsi="Arial" w:cs="Arial"/>
            <w:iCs/>
            <w:lang w:val="pt-BR"/>
          </w:rPr>
          <w:t>Rodolfo.soto@pecomenergia.com.ar</w:t>
        </w:r>
      </w:hyperlink>
      <w:r w:rsidR="008941B9" w:rsidRPr="008941B9">
        <w:rPr>
          <w:rStyle w:val="Hipervnculo"/>
          <w:rFonts w:ascii="Arial" w:hAnsi="Arial" w:cs="Arial"/>
          <w:iCs/>
          <w:lang w:val="pt-BR"/>
        </w:rPr>
        <w:t xml:space="preserve"> </w:t>
      </w:r>
    </w:p>
    <w:p w14:paraId="0208E91C" w14:textId="32FD2C0C" w:rsidR="00315727" w:rsidRPr="00344014" w:rsidRDefault="00315727" w:rsidP="00275CCD">
      <w:pPr>
        <w:suppressAutoHyphens/>
        <w:jc w:val="both"/>
        <w:rPr>
          <w:rFonts w:cs="Arial"/>
          <w:spacing w:val="-3"/>
          <w:sz w:val="20"/>
        </w:rPr>
      </w:pPr>
    </w:p>
    <w:p w14:paraId="2AE39BA8" w14:textId="2392045A"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por el lapso de 3</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344014">
        <w:rPr>
          <w:rFonts w:cs="Arial"/>
          <w:sz w:val="20"/>
          <w:lang w:val="es-AR"/>
        </w:rPr>
        <w:lastRenderedPageBreak/>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344014" w:rsidRDefault="00344014" w:rsidP="00344014">
      <w:pPr>
        <w:suppressAutoHyphens/>
        <w:ind w:left="2835" w:hanging="2835"/>
        <w:jc w:val="both"/>
        <w:rPr>
          <w:rFonts w:cs="Arial"/>
          <w:sz w:val="20"/>
          <w:lang w:val="es-AR"/>
        </w:rPr>
      </w:pPr>
    </w:p>
    <w:p w14:paraId="5E74E856"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460219E9" w14:textId="77777777" w:rsidR="00344014" w:rsidRPr="00344014" w:rsidRDefault="00344014" w:rsidP="00344014">
      <w:pPr>
        <w:suppressAutoHyphens/>
        <w:ind w:left="2835" w:hanging="2835"/>
        <w:jc w:val="both"/>
        <w:rPr>
          <w:rFonts w:cs="Arial"/>
          <w:sz w:val="20"/>
          <w:lang w:val="es-AR"/>
        </w:rPr>
      </w:pPr>
    </w:p>
    <w:p w14:paraId="59A8E459" w14:textId="105CD9D2" w:rsidR="00344014" w:rsidRDefault="00344014" w:rsidP="00344014">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344014" w:rsidRDefault="00C76845" w:rsidP="00C76845">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29C9F291" w14:textId="26084092" w:rsidR="00275CCD" w:rsidRDefault="00275CCD" w:rsidP="00275CCD">
      <w:pPr>
        <w:suppressAutoHyphens/>
        <w:spacing w:after="120"/>
        <w:jc w:val="both"/>
        <w:rPr>
          <w:rFonts w:cs="Arial"/>
          <w:b/>
          <w:bCs/>
          <w:sz w:val="22"/>
          <w:lang w:val="es-AR"/>
        </w:rPr>
      </w:pPr>
    </w:p>
    <w:tbl>
      <w:tblPr>
        <w:tblW w:w="7498" w:type="dxa"/>
        <w:jc w:val="center"/>
        <w:tblCellMar>
          <w:left w:w="70" w:type="dxa"/>
          <w:right w:w="70" w:type="dxa"/>
        </w:tblCellMar>
        <w:tblLook w:val="04A0" w:firstRow="1" w:lastRow="0" w:firstColumn="1" w:lastColumn="0" w:noHBand="0" w:noVBand="1"/>
      </w:tblPr>
      <w:tblGrid>
        <w:gridCol w:w="530"/>
        <w:gridCol w:w="2726"/>
        <w:gridCol w:w="1842"/>
        <w:gridCol w:w="1128"/>
        <w:gridCol w:w="1272"/>
      </w:tblGrid>
      <w:tr w:rsidR="00171E67" w:rsidRPr="00E350CD" w14:paraId="652D78C4" w14:textId="77777777" w:rsidTr="000259F2">
        <w:trPr>
          <w:trHeight w:val="510"/>
          <w:jc w:val="center"/>
        </w:trPr>
        <w:tc>
          <w:tcPr>
            <w:tcW w:w="530" w:type="dxa"/>
            <w:tcBorders>
              <w:top w:val="single" w:sz="4" w:space="0" w:color="FFFFFF"/>
              <w:left w:val="single" w:sz="4" w:space="0" w:color="FFFFFF"/>
              <w:bottom w:val="single" w:sz="4" w:space="0" w:color="FFFFFF"/>
              <w:right w:val="single" w:sz="4" w:space="0" w:color="FFFFFF"/>
            </w:tcBorders>
            <w:shd w:val="clear" w:color="000000" w:fill="161616"/>
            <w:vAlign w:val="center"/>
            <w:hideMark/>
          </w:tcPr>
          <w:p w14:paraId="16F7E437" w14:textId="77777777" w:rsidR="00171E67" w:rsidRPr="00E350CD" w:rsidRDefault="00171E67" w:rsidP="00E350CD">
            <w:pPr>
              <w:jc w:val="center"/>
              <w:rPr>
                <w:rFonts w:cs="Arial"/>
                <w:color w:val="FFFFFF"/>
                <w:sz w:val="20"/>
                <w:lang w:val="es-AR" w:eastAsia="es-AR"/>
              </w:rPr>
            </w:pPr>
            <w:r w:rsidRPr="00E350CD">
              <w:rPr>
                <w:rFonts w:cs="Arial"/>
                <w:color w:val="FFFFFF"/>
                <w:sz w:val="20"/>
                <w:lang w:val="es-AR" w:eastAsia="es-AR"/>
              </w:rPr>
              <w:t>Ítem</w:t>
            </w:r>
          </w:p>
        </w:tc>
        <w:tc>
          <w:tcPr>
            <w:tcW w:w="2726" w:type="dxa"/>
            <w:tcBorders>
              <w:top w:val="single" w:sz="4" w:space="0" w:color="FFFFFF"/>
              <w:left w:val="nil"/>
              <w:bottom w:val="single" w:sz="4" w:space="0" w:color="FFFFFF"/>
              <w:right w:val="single" w:sz="4" w:space="0" w:color="FFFFFF"/>
            </w:tcBorders>
            <w:shd w:val="clear" w:color="000000" w:fill="161616"/>
            <w:vAlign w:val="center"/>
            <w:hideMark/>
          </w:tcPr>
          <w:p w14:paraId="37365700" w14:textId="77777777" w:rsidR="00171E67" w:rsidRPr="00E350CD" w:rsidRDefault="00171E67" w:rsidP="00E350CD">
            <w:pPr>
              <w:jc w:val="center"/>
              <w:rPr>
                <w:rFonts w:cs="Arial"/>
                <w:color w:val="FFFFFF"/>
                <w:sz w:val="20"/>
                <w:lang w:val="es-AR" w:eastAsia="es-AR"/>
              </w:rPr>
            </w:pPr>
            <w:r w:rsidRPr="00E350CD">
              <w:rPr>
                <w:rFonts w:cs="Arial"/>
                <w:color w:val="FFFFFF"/>
                <w:sz w:val="20"/>
                <w:lang w:val="es-AR" w:eastAsia="es-AR"/>
              </w:rPr>
              <w:t>Descripción</w:t>
            </w:r>
          </w:p>
        </w:tc>
        <w:tc>
          <w:tcPr>
            <w:tcW w:w="1842" w:type="dxa"/>
            <w:tcBorders>
              <w:top w:val="single" w:sz="4" w:space="0" w:color="FFFFFF"/>
              <w:left w:val="nil"/>
              <w:bottom w:val="single" w:sz="4" w:space="0" w:color="FFFFFF"/>
              <w:right w:val="single" w:sz="4" w:space="0" w:color="FFFFFF" w:themeColor="background1"/>
            </w:tcBorders>
            <w:shd w:val="clear" w:color="000000" w:fill="161616"/>
            <w:vAlign w:val="center"/>
          </w:tcPr>
          <w:p w14:paraId="1CB1A94B" w14:textId="04562760" w:rsidR="00171E67" w:rsidRPr="00E350CD" w:rsidRDefault="00171E67" w:rsidP="00171E67">
            <w:pPr>
              <w:jc w:val="center"/>
              <w:rPr>
                <w:rFonts w:cs="Arial"/>
                <w:color w:val="FFFFFF"/>
                <w:sz w:val="20"/>
                <w:lang w:val="es-AR" w:eastAsia="es-AR"/>
              </w:rPr>
            </w:pPr>
            <w:r>
              <w:rPr>
                <w:rFonts w:cs="Arial"/>
                <w:color w:val="FFFFFF"/>
                <w:sz w:val="20"/>
                <w:lang w:val="es-AR" w:eastAsia="es-AR"/>
              </w:rPr>
              <w:t>Nombre Comercial</w:t>
            </w:r>
          </w:p>
        </w:tc>
        <w:tc>
          <w:tcPr>
            <w:tcW w:w="1128" w:type="dxa"/>
            <w:tcBorders>
              <w:top w:val="single" w:sz="4" w:space="0" w:color="FFFFFF"/>
              <w:left w:val="single" w:sz="4" w:space="0" w:color="FFFFFF" w:themeColor="background1"/>
              <w:bottom w:val="single" w:sz="4" w:space="0" w:color="FFFFFF"/>
              <w:right w:val="single" w:sz="4" w:space="0" w:color="FFFFFF"/>
            </w:tcBorders>
            <w:shd w:val="clear" w:color="000000" w:fill="161616"/>
            <w:vAlign w:val="center"/>
            <w:hideMark/>
          </w:tcPr>
          <w:p w14:paraId="3AB47DAE" w14:textId="6CC35570" w:rsidR="00171E67" w:rsidRPr="00E350CD" w:rsidRDefault="00171E67" w:rsidP="00E350CD">
            <w:pPr>
              <w:jc w:val="center"/>
              <w:rPr>
                <w:rFonts w:cs="Arial"/>
                <w:color w:val="FFFFFF"/>
                <w:sz w:val="20"/>
                <w:lang w:val="es-AR" w:eastAsia="es-AR"/>
              </w:rPr>
            </w:pPr>
            <w:r w:rsidRPr="00E350CD">
              <w:rPr>
                <w:rFonts w:cs="Arial"/>
                <w:color w:val="FFFFFF"/>
                <w:sz w:val="20"/>
                <w:lang w:val="es-AR" w:eastAsia="es-AR"/>
              </w:rPr>
              <w:t>UM</w:t>
            </w:r>
          </w:p>
        </w:tc>
        <w:tc>
          <w:tcPr>
            <w:tcW w:w="1272" w:type="dxa"/>
            <w:tcBorders>
              <w:top w:val="single" w:sz="4" w:space="0" w:color="FFFFFF"/>
              <w:left w:val="nil"/>
              <w:bottom w:val="single" w:sz="4" w:space="0" w:color="FFFFFF"/>
              <w:right w:val="single" w:sz="4" w:space="0" w:color="FFFFFF"/>
            </w:tcBorders>
            <w:shd w:val="clear" w:color="000000" w:fill="161616"/>
            <w:vAlign w:val="center"/>
            <w:hideMark/>
          </w:tcPr>
          <w:p w14:paraId="39465E85" w14:textId="77777777" w:rsidR="00171E67" w:rsidRPr="00E350CD" w:rsidRDefault="00171E67" w:rsidP="00E350CD">
            <w:pPr>
              <w:jc w:val="center"/>
              <w:rPr>
                <w:rFonts w:cs="Arial"/>
                <w:color w:val="FFFFFF"/>
                <w:sz w:val="20"/>
                <w:lang w:val="es-AR" w:eastAsia="es-AR"/>
              </w:rPr>
            </w:pPr>
            <w:r w:rsidRPr="00E350CD">
              <w:rPr>
                <w:rFonts w:cs="Arial"/>
                <w:color w:val="FFFFFF"/>
                <w:sz w:val="20"/>
                <w:lang w:val="es-AR" w:eastAsia="es-AR"/>
              </w:rPr>
              <w:t>Precio [USD/UM]</w:t>
            </w:r>
          </w:p>
        </w:tc>
      </w:tr>
      <w:tr w:rsidR="00171E67" w:rsidRPr="00E350CD" w14:paraId="1A7E8F15" w14:textId="77777777" w:rsidTr="008F7657">
        <w:trPr>
          <w:trHeight w:val="585"/>
          <w:jc w:val="center"/>
        </w:trPr>
        <w:tc>
          <w:tcPr>
            <w:tcW w:w="530" w:type="dxa"/>
            <w:tcBorders>
              <w:top w:val="nil"/>
              <w:left w:val="single" w:sz="4" w:space="0" w:color="FFFFFF"/>
              <w:bottom w:val="single" w:sz="4" w:space="0" w:color="FFFFFF" w:themeColor="background1"/>
              <w:right w:val="single" w:sz="4" w:space="0" w:color="FFFFFF"/>
            </w:tcBorders>
            <w:shd w:val="clear" w:color="000000" w:fill="D9D9D9"/>
            <w:vAlign w:val="center"/>
            <w:hideMark/>
          </w:tcPr>
          <w:p w14:paraId="1C7EDB03" w14:textId="77777777" w:rsidR="00171E67" w:rsidRPr="008F7657" w:rsidRDefault="00171E67" w:rsidP="00E350CD">
            <w:pPr>
              <w:jc w:val="center"/>
              <w:rPr>
                <w:rFonts w:cs="Arial"/>
                <w:b/>
                <w:bCs/>
                <w:color w:val="000000"/>
                <w:sz w:val="20"/>
                <w:lang w:val="es-AR" w:eastAsia="es-AR"/>
              </w:rPr>
            </w:pPr>
            <w:r w:rsidRPr="00E350CD">
              <w:rPr>
                <w:rFonts w:cs="Arial"/>
                <w:color w:val="000000"/>
                <w:sz w:val="20"/>
                <w:lang w:val="es-AR" w:eastAsia="es-AR"/>
              </w:rPr>
              <w:t>1</w:t>
            </w:r>
          </w:p>
        </w:tc>
        <w:tc>
          <w:tcPr>
            <w:tcW w:w="2726" w:type="dxa"/>
            <w:tcBorders>
              <w:top w:val="nil"/>
              <w:left w:val="nil"/>
              <w:bottom w:val="single" w:sz="4" w:space="0" w:color="FFFFFF" w:themeColor="background1"/>
              <w:right w:val="single" w:sz="4" w:space="0" w:color="FFFFFF"/>
            </w:tcBorders>
            <w:shd w:val="clear" w:color="000000" w:fill="D9D9D9"/>
            <w:vAlign w:val="center"/>
            <w:hideMark/>
          </w:tcPr>
          <w:p w14:paraId="4E85D0F8" w14:textId="16A6357E" w:rsidR="00171E67" w:rsidRPr="00E350CD" w:rsidRDefault="0064494E" w:rsidP="00E350CD">
            <w:pPr>
              <w:jc w:val="center"/>
              <w:rPr>
                <w:rFonts w:cs="Arial"/>
                <w:color w:val="000000"/>
                <w:sz w:val="20"/>
                <w:lang w:val="es-AR" w:eastAsia="es-AR"/>
              </w:rPr>
            </w:pPr>
            <w:r>
              <w:rPr>
                <w:rFonts w:cs="Arial"/>
                <w:color w:val="000000"/>
                <w:sz w:val="20"/>
                <w:lang w:val="es-AR" w:eastAsia="es-AR"/>
              </w:rPr>
              <w:t>TEG</w:t>
            </w:r>
          </w:p>
        </w:tc>
        <w:tc>
          <w:tcPr>
            <w:tcW w:w="1842" w:type="dxa"/>
            <w:tcBorders>
              <w:top w:val="nil"/>
              <w:left w:val="nil"/>
              <w:bottom w:val="single" w:sz="4" w:space="0" w:color="FFFFFF" w:themeColor="background1"/>
              <w:right w:val="single" w:sz="4" w:space="0" w:color="FFFFFF" w:themeColor="background1"/>
            </w:tcBorders>
            <w:shd w:val="clear" w:color="000000" w:fill="D9D9D9"/>
            <w:vAlign w:val="center"/>
          </w:tcPr>
          <w:p w14:paraId="255D8901" w14:textId="15A12AF2" w:rsidR="00171E67" w:rsidRPr="00E350CD" w:rsidRDefault="0064494E" w:rsidP="00171E67">
            <w:pPr>
              <w:jc w:val="center"/>
              <w:rPr>
                <w:rFonts w:cs="Arial"/>
                <w:color w:val="000000"/>
                <w:sz w:val="20"/>
                <w:lang w:val="es-AR" w:eastAsia="es-AR"/>
              </w:rPr>
            </w:pPr>
            <w:r>
              <w:rPr>
                <w:rFonts w:cs="Arial"/>
                <w:color w:val="000000"/>
                <w:sz w:val="20"/>
                <w:lang w:val="es-AR" w:eastAsia="es-AR"/>
              </w:rPr>
              <w:t>SB24</w:t>
            </w:r>
          </w:p>
        </w:tc>
        <w:tc>
          <w:tcPr>
            <w:tcW w:w="1128" w:type="dxa"/>
            <w:tcBorders>
              <w:top w:val="nil"/>
              <w:left w:val="single" w:sz="4" w:space="0" w:color="FFFFFF" w:themeColor="background1"/>
              <w:bottom w:val="single" w:sz="4" w:space="0" w:color="FFFFFF" w:themeColor="background1"/>
              <w:right w:val="single" w:sz="4" w:space="0" w:color="FFFFFF"/>
            </w:tcBorders>
            <w:shd w:val="clear" w:color="000000" w:fill="D9D9D9"/>
            <w:vAlign w:val="center"/>
            <w:hideMark/>
          </w:tcPr>
          <w:p w14:paraId="7EAE93C8" w14:textId="7DAE5E1D" w:rsidR="00171E67" w:rsidRPr="00E350CD" w:rsidRDefault="00171E67" w:rsidP="00E350CD">
            <w:pPr>
              <w:jc w:val="center"/>
              <w:rPr>
                <w:rFonts w:cs="Arial"/>
                <w:color w:val="000000"/>
                <w:sz w:val="20"/>
                <w:lang w:val="es-AR" w:eastAsia="es-AR"/>
              </w:rPr>
            </w:pPr>
            <w:r w:rsidRPr="00E350CD">
              <w:rPr>
                <w:rFonts w:cs="Arial"/>
                <w:color w:val="000000"/>
                <w:sz w:val="20"/>
                <w:lang w:val="es-AR" w:eastAsia="es-AR"/>
              </w:rPr>
              <w:t>Litro</w:t>
            </w:r>
          </w:p>
        </w:tc>
        <w:tc>
          <w:tcPr>
            <w:tcW w:w="1272" w:type="dxa"/>
            <w:tcBorders>
              <w:top w:val="nil"/>
              <w:left w:val="nil"/>
              <w:bottom w:val="single" w:sz="4" w:space="0" w:color="FFFFFF" w:themeColor="background1"/>
              <w:right w:val="single" w:sz="4" w:space="0" w:color="FFFFFF"/>
            </w:tcBorders>
            <w:shd w:val="clear" w:color="000000" w:fill="D9D9D9"/>
            <w:vAlign w:val="center"/>
            <w:hideMark/>
          </w:tcPr>
          <w:p w14:paraId="0A6849C2" w14:textId="0C302008" w:rsidR="00171E67" w:rsidRPr="00E350CD" w:rsidRDefault="002F1DB8" w:rsidP="00E350CD">
            <w:pPr>
              <w:jc w:val="center"/>
              <w:rPr>
                <w:rFonts w:cs="Arial"/>
                <w:color w:val="000000"/>
                <w:sz w:val="20"/>
                <w:lang w:val="es-AR" w:eastAsia="es-AR"/>
              </w:rPr>
            </w:pPr>
            <w:r>
              <w:rPr>
                <w:rFonts w:cs="Arial"/>
                <w:color w:val="000000"/>
                <w:sz w:val="20"/>
                <w:lang w:val="es-AR" w:eastAsia="es-AR"/>
              </w:rPr>
              <w:t>5,89</w:t>
            </w:r>
          </w:p>
        </w:tc>
      </w:tr>
    </w:tbl>
    <w:p w14:paraId="040B761A" w14:textId="53D269B2" w:rsidR="0077601D" w:rsidRDefault="0077601D" w:rsidP="00764D20">
      <w:pPr>
        <w:autoSpaceDE w:val="0"/>
        <w:autoSpaceDN w:val="0"/>
        <w:adjustRightInd w:val="0"/>
        <w:jc w:val="both"/>
        <w:rPr>
          <w:b/>
          <w:bCs/>
          <w:sz w:val="22"/>
          <w:lang w:val="es-ES_tradnl"/>
        </w:rPr>
      </w:pPr>
    </w:p>
    <w:p w14:paraId="2B706F87" w14:textId="6DC34895" w:rsidR="002742F1" w:rsidRDefault="006E05D2" w:rsidP="002F3624">
      <w:pPr>
        <w:autoSpaceDE w:val="0"/>
        <w:autoSpaceDN w:val="0"/>
        <w:adjustRightInd w:val="0"/>
        <w:jc w:val="both"/>
        <w:rPr>
          <w:b/>
          <w:bCs/>
          <w:sz w:val="22"/>
          <w:lang w:val="es-ES_tradnl"/>
        </w:rPr>
      </w:pPr>
      <w:r>
        <w:rPr>
          <w:b/>
          <w:bCs/>
          <w:sz w:val="22"/>
          <w:lang w:val="es-ES_tradnl"/>
        </w:rPr>
        <w:t>Son</w:t>
      </w:r>
      <w:r w:rsidR="00602895">
        <w:rPr>
          <w:b/>
          <w:bCs/>
          <w:sz w:val="22"/>
          <w:lang w:val="es-ES_tradnl"/>
        </w:rPr>
        <w:t xml:space="preserve"> por litro,</w:t>
      </w:r>
      <w:r>
        <w:rPr>
          <w:b/>
          <w:bCs/>
          <w:sz w:val="22"/>
          <w:lang w:val="es-ES_tradnl"/>
        </w:rPr>
        <w:t xml:space="preserve"> dólares estadounidenses: </w:t>
      </w:r>
      <w:r w:rsidR="002F1DB8">
        <w:rPr>
          <w:b/>
          <w:bCs/>
          <w:sz w:val="22"/>
          <w:lang w:val="es-ES_tradnl"/>
        </w:rPr>
        <w:t>cinco</w:t>
      </w:r>
      <w:r>
        <w:rPr>
          <w:b/>
          <w:bCs/>
          <w:sz w:val="22"/>
          <w:lang w:val="es-ES_tradnl"/>
        </w:rPr>
        <w:t xml:space="preserve"> con </w:t>
      </w:r>
      <w:r w:rsidR="00105264">
        <w:rPr>
          <w:b/>
          <w:bCs/>
          <w:sz w:val="22"/>
          <w:lang w:val="es-ES_tradnl"/>
        </w:rPr>
        <w:t>89</w:t>
      </w:r>
      <w:r>
        <w:rPr>
          <w:b/>
          <w:bCs/>
          <w:sz w:val="22"/>
          <w:lang w:val="es-ES_tradnl"/>
        </w:rPr>
        <w:t>/100 centavos.</w:t>
      </w:r>
    </w:p>
    <w:p w14:paraId="445996DE" w14:textId="77777777" w:rsidR="004D1BD5" w:rsidRDefault="004D1BD5" w:rsidP="002F3624">
      <w:pPr>
        <w:autoSpaceDE w:val="0"/>
        <w:autoSpaceDN w:val="0"/>
        <w:adjustRightInd w:val="0"/>
        <w:jc w:val="both"/>
        <w:rPr>
          <w:b/>
          <w:bCs/>
          <w:sz w:val="22"/>
          <w:lang w:val="es-ES_tradnl"/>
        </w:rPr>
      </w:pPr>
    </w:p>
    <w:p w14:paraId="0AF07E84" w14:textId="6A3CA1C7" w:rsidR="004D1BD5" w:rsidRP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5B6AB779" w14:textId="207F52F4" w:rsidR="000A3F8F" w:rsidRDefault="00105264" w:rsidP="00105264">
      <w:pPr>
        <w:pStyle w:val="Prrafodelista"/>
        <w:numPr>
          <w:ilvl w:val="0"/>
          <w:numId w:val="37"/>
        </w:numPr>
        <w:autoSpaceDE w:val="0"/>
        <w:autoSpaceDN w:val="0"/>
        <w:adjustRightInd w:val="0"/>
        <w:spacing w:line="360" w:lineRule="auto"/>
        <w:jc w:val="both"/>
        <w:rPr>
          <w:sz w:val="22"/>
          <w:lang w:val="es-ES_tradnl"/>
        </w:rPr>
      </w:pPr>
      <w:r>
        <w:rPr>
          <w:sz w:val="22"/>
          <w:lang w:val="es-ES_tradnl"/>
        </w:rPr>
        <w:t>La provisión del producto está sujeta a disponibilidad de stock</w:t>
      </w:r>
      <w:r w:rsidR="0016222B">
        <w:rPr>
          <w:sz w:val="22"/>
          <w:lang w:val="es-ES_tradnl"/>
        </w:rPr>
        <w:t xml:space="preserve"> por lo que se debe consultar</w:t>
      </w:r>
      <w:r w:rsidR="00B64530">
        <w:rPr>
          <w:sz w:val="22"/>
          <w:lang w:val="es-ES_tradnl"/>
        </w:rPr>
        <w:t xml:space="preserve"> entre las partes previamente a la generación de la Orden de Compra.</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2E8E" w14:textId="77777777" w:rsidR="00CC5B0E" w:rsidRDefault="00CC5B0E">
      <w:r>
        <w:separator/>
      </w:r>
    </w:p>
  </w:endnote>
  <w:endnote w:type="continuationSeparator" w:id="0">
    <w:p w14:paraId="2CC2ADED" w14:textId="77777777" w:rsidR="00CC5B0E" w:rsidRDefault="00CC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34DD1669" w:rsidR="0009065C" w:rsidRPr="003E6CCA" w:rsidRDefault="003C17AD"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CE796F">
      <w:rPr>
        <w:rFonts w:ascii="HelveticaNeueLT Std" w:hAnsi="HelveticaNeueLT Std" w:cs="Helvetica"/>
        <w:i/>
        <w:sz w:val="18"/>
        <w:lang w:val="es-ES_tradnl"/>
      </w:rPr>
      <w:t>15</w:t>
    </w:r>
    <w:r w:rsidR="000B5392">
      <w:rPr>
        <w:rFonts w:ascii="HelveticaNeueLT Std" w:hAnsi="HelveticaNeueLT Std" w:cs="Helvetica"/>
        <w:i/>
        <w:sz w:val="18"/>
        <w:lang w:val="es-ES_tradnl"/>
      </w:rPr>
      <w:t xml:space="preserve"> de </w:t>
    </w:r>
    <w:r w:rsidR="00CE796F">
      <w:rPr>
        <w:rFonts w:ascii="HelveticaNeueLT Std" w:hAnsi="HelveticaNeueLT Std" w:cs="Helvetica"/>
        <w:i/>
        <w:sz w:val="18"/>
        <w:lang w:val="es-ES_tradnl"/>
      </w:rPr>
      <w:t>agosto</w:t>
    </w:r>
    <w:r w:rsidR="00DC16AC">
      <w:rPr>
        <w:rFonts w:ascii="HelveticaNeueLT Std" w:hAnsi="HelveticaNeueLT Std" w:cs="Helvetica"/>
        <w:i/>
        <w:sz w:val="18"/>
        <w:lang w:val="es-ES_tradnl"/>
      </w:rPr>
      <w:t xml:space="preserve"> de 2023</w:t>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8F7657">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DC16AC">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61312"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248832EA"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Pr="0020537E">
        <w:rPr>
          <w:rStyle w:val="Hipervnculo"/>
          <w:rFonts w:ascii="HelveticaNeueLT Std" w:hAnsi="HelveticaNeueLT Std" w:cs="Helvetica"/>
          <w:i/>
          <w:sz w:val="18"/>
          <w:lang w:val="pt-BR"/>
        </w:rPr>
        <w:t>Comercial.NQN@pecomenergia.com.ar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98C7C" w14:textId="77777777" w:rsidR="00CC5B0E" w:rsidRDefault="00CC5B0E">
      <w:r>
        <w:separator/>
      </w:r>
    </w:p>
  </w:footnote>
  <w:footnote w:type="continuationSeparator" w:id="0">
    <w:p w14:paraId="2E2136A5" w14:textId="77777777" w:rsidR="00CC5B0E" w:rsidRDefault="00CC5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Pr>
        <w:rFonts w:ascii="Times New Roman" w:hAnsi="Times New Roman"/>
        <w:noProof/>
        <w:szCs w:val="24"/>
        <w:lang w:val="en-GB"/>
      </w:rPr>
      <mc:AlternateContent>
        <mc:Choice Requires="wps">
          <w:drawing>
            <wp:anchor distT="4294967295" distB="4294967295" distL="114300" distR="114300" simplePos="0" relativeHeight="251659264"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77777777" w:rsidR="009B0188" w:rsidRPr="005473B5" w:rsidRDefault="009B0188" w:rsidP="009B0188">
    <w:pPr>
      <w:rPr>
        <w:sz w:val="20"/>
      </w:rPr>
    </w:pPr>
    <w:r>
      <w:rPr>
        <w:sz w:val="20"/>
      </w:rPr>
      <w:t xml:space="preserve">Cliente: </w:t>
    </w:r>
    <w:proofErr w:type="spellStart"/>
    <w:r>
      <w:rPr>
        <w:sz w:val="20"/>
      </w:rPr>
      <w:t>Capex</w:t>
    </w:r>
    <w:proofErr w:type="spellEnd"/>
    <w:r>
      <w:rPr>
        <w:sz w:val="20"/>
      </w:rPr>
      <w:t xml:space="preserve"> S.A.</w:t>
    </w:r>
  </w:p>
  <w:p w14:paraId="7D0A4A74" w14:textId="5E2C49F7" w:rsidR="005473B5" w:rsidRDefault="009F48EF" w:rsidP="00430F4D">
    <w:pPr>
      <w:rPr>
        <w:rFonts w:cs="Arial"/>
        <w:spacing w:val="-3"/>
        <w:sz w:val="20"/>
        <w:lang w:val="es-AR"/>
      </w:rPr>
    </w:pPr>
    <w:r>
      <w:rPr>
        <w:rFonts w:cs="Arial"/>
        <w:spacing w:val="-3"/>
        <w:sz w:val="20"/>
        <w:lang w:val="es-AR"/>
      </w:rPr>
      <w:t xml:space="preserve">Cotización </w:t>
    </w:r>
    <w:r w:rsidR="00E96A9D" w:rsidRPr="00E96A9D">
      <w:rPr>
        <w:rFonts w:cs="Arial"/>
        <w:spacing w:val="-3"/>
        <w:sz w:val="20"/>
        <w:lang w:val="es-AR"/>
      </w:rPr>
      <w:t>OQ 2535</w:t>
    </w:r>
  </w:p>
  <w:p w14:paraId="5B22AB21" w14:textId="77777777" w:rsidR="007D4873" w:rsidRDefault="007D4873"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0"/>
  </w:num>
  <w:num w:numId="3">
    <w:abstractNumId w:val="22"/>
  </w:num>
  <w:num w:numId="4">
    <w:abstractNumId w:val="13"/>
  </w:num>
  <w:num w:numId="5">
    <w:abstractNumId w:val="28"/>
  </w:num>
  <w:num w:numId="6">
    <w:abstractNumId w:val="27"/>
  </w:num>
  <w:num w:numId="7">
    <w:abstractNumId w:val="20"/>
  </w:num>
  <w:num w:numId="8">
    <w:abstractNumId w:val="9"/>
  </w:num>
  <w:num w:numId="9">
    <w:abstractNumId w:val="35"/>
  </w:num>
  <w:num w:numId="10">
    <w:abstractNumId w:val="1"/>
  </w:num>
  <w:num w:numId="11">
    <w:abstractNumId w:val="23"/>
  </w:num>
  <w:num w:numId="12">
    <w:abstractNumId w:val="2"/>
  </w:num>
  <w:num w:numId="13">
    <w:abstractNumId w:val="15"/>
  </w:num>
  <w:num w:numId="14">
    <w:abstractNumId w:val="34"/>
  </w:num>
  <w:num w:numId="15">
    <w:abstractNumId w:val="5"/>
  </w:num>
  <w:num w:numId="16">
    <w:abstractNumId w:val="16"/>
  </w:num>
  <w:num w:numId="17">
    <w:abstractNumId w:val="7"/>
  </w:num>
  <w:num w:numId="18">
    <w:abstractNumId w:val="31"/>
  </w:num>
  <w:num w:numId="19">
    <w:abstractNumId w:val="3"/>
  </w:num>
  <w:num w:numId="20">
    <w:abstractNumId w:val="10"/>
  </w:num>
  <w:num w:numId="21">
    <w:abstractNumId w:val="11"/>
  </w:num>
  <w:num w:numId="22">
    <w:abstractNumId w:val="36"/>
  </w:num>
  <w:num w:numId="23">
    <w:abstractNumId w:val="6"/>
  </w:num>
  <w:num w:numId="24">
    <w:abstractNumId w:val="19"/>
  </w:num>
  <w:num w:numId="25">
    <w:abstractNumId w:val="26"/>
  </w:num>
  <w:num w:numId="26">
    <w:abstractNumId w:val="12"/>
  </w:num>
  <w:num w:numId="27">
    <w:abstractNumId w:val="33"/>
  </w:num>
  <w:num w:numId="28">
    <w:abstractNumId w:val="4"/>
  </w:num>
  <w:num w:numId="29">
    <w:abstractNumId w:val="18"/>
  </w:num>
  <w:num w:numId="30">
    <w:abstractNumId w:val="29"/>
  </w:num>
  <w:num w:numId="31">
    <w:abstractNumId w:val="30"/>
  </w:num>
  <w:num w:numId="32">
    <w:abstractNumId w:val="32"/>
  </w:num>
  <w:num w:numId="33">
    <w:abstractNumId w:val="17"/>
  </w:num>
  <w:num w:numId="34">
    <w:abstractNumId w:val="24"/>
  </w:num>
  <w:num w:numId="35">
    <w:abstractNumId w:val="8"/>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303C"/>
    <w:rsid w:val="000259F2"/>
    <w:rsid w:val="00064607"/>
    <w:rsid w:val="0007218D"/>
    <w:rsid w:val="00072F0F"/>
    <w:rsid w:val="00076F61"/>
    <w:rsid w:val="0009065C"/>
    <w:rsid w:val="000A2DF2"/>
    <w:rsid w:val="000A3F8F"/>
    <w:rsid w:val="000A48F6"/>
    <w:rsid w:val="000B41D6"/>
    <w:rsid w:val="000B5392"/>
    <w:rsid w:val="000D510F"/>
    <w:rsid w:val="000D6F4A"/>
    <w:rsid w:val="000E20BA"/>
    <w:rsid w:val="000F3337"/>
    <w:rsid w:val="00105264"/>
    <w:rsid w:val="001137AF"/>
    <w:rsid w:val="001226B9"/>
    <w:rsid w:val="00130F48"/>
    <w:rsid w:val="0013260B"/>
    <w:rsid w:val="00140BFD"/>
    <w:rsid w:val="0014435F"/>
    <w:rsid w:val="0016222B"/>
    <w:rsid w:val="00171E67"/>
    <w:rsid w:val="0018023E"/>
    <w:rsid w:val="00180837"/>
    <w:rsid w:val="001822C7"/>
    <w:rsid w:val="001A252D"/>
    <w:rsid w:val="001B054A"/>
    <w:rsid w:val="001B18F5"/>
    <w:rsid w:val="001D2DC5"/>
    <w:rsid w:val="001D54DE"/>
    <w:rsid w:val="001F6297"/>
    <w:rsid w:val="002041CB"/>
    <w:rsid w:val="002170CB"/>
    <w:rsid w:val="00220BFA"/>
    <w:rsid w:val="002309CF"/>
    <w:rsid w:val="00232E15"/>
    <w:rsid w:val="00243E66"/>
    <w:rsid w:val="00260B33"/>
    <w:rsid w:val="00266289"/>
    <w:rsid w:val="00272848"/>
    <w:rsid w:val="002742F1"/>
    <w:rsid w:val="00275CCD"/>
    <w:rsid w:val="002B0428"/>
    <w:rsid w:val="002B4717"/>
    <w:rsid w:val="002D543D"/>
    <w:rsid w:val="002F1DB8"/>
    <w:rsid w:val="002F3624"/>
    <w:rsid w:val="002F6AA0"/>
    <w:rsid w:val="00315727"/>
    <w:rsid w:val="00317C77"/>
    <w:rsid w:val="00330D88"/>
    <w:rsid w:val="003314F2"/>
    <w:rsid w:val="00344014"/>
    <w:rsid w:val="003C17AD"/>
    <w:rsid w:val="003D2F14"/>
    <w:rsid w:val="003D7B0D"/>
    <w:rsid w:val="003E0585"/>
    <w:rsid w:val="003E7120"/>
    <w:rsid w:val="00406132"/>
    <w:rsid w:val="00430F4D"/>
    <w:rsid w:val="00463DDE"/>
    <w:rsid w:val="00492022"/>
    <w:rsid w:val="0049228C"/>
    <w:rsid w:val="004A395D"/>
    <w:rsid w:val="004A7F5D"/>
    <w:rsid w:val="004B4622"/>
    <w:rsid w:val="004D1BD5"/>
    <w:rsid w:val="0050667E"/>
    <w:rsid w:val="005207F6"/>
    <w:rsid w:val="00526DD0"/>
    <w:rsid w:val="00531F96"/>
    <w:rsid w:val="00541EA5"/>
    <w:rsid w:val="005473B5"/>
    <w:rsid w:val="005513C3"/>
    <w:rsid w:val="00563F31"/>
    <w:rsid w:val="00590C78"/>
    <w:rsid w:val="005A2915"/>
    <w:rsid w:val="005B6A22"/>
    <w:rsid w:val="005D3D80"/>
    <w:rsid w:val="005D5226"/>
    <w:rsid w:val="005E719B"/>
    <w:rsid w:val="005F2BB1"/>
    <w:rsid w:val="00602895"/>
    <w:rsid w:val="00603BBD"/>
    <w:rsid w:val="00607999"/>
    <w:rsid w:val="00617D51"/>
    <w:rsid w:val="006244E2"/>
    <w:rsid w:val="006407D6"/>
    <w:rsid w:val="0064494E"/>
    <w:rsid w:val="0064612F"/>
    <w:rsid w:val="00650004"/>
    <w:rsid w:val="00650CCF"/>
    <w:rsid w:val="00662289"/>
    <w:rsid w:val="0068397D"/>
    <w:rsid w:val="006A0A81"/>
    <w:rsid w:val="006A31F0"/>
    <w:rsid w:val="006C28C9"/>
    <w:rsid w:val="006D710E"/>
    <w:rsid w:val="006E05D2"/>
    <w:rsid w:val="006E2264"/>
    <w:rsid w:val="006F4D3D"/>
    <w:rsid w:val="007178AD"/>
    <w:rsid w:val="00743E80"/>
    <w:rsid w:val="00746BDA"/>
    <w:rsid w:val="00751E9A"/>
    <w:rsid w:val="00761889"/>
    <w:rsid w:val="00764D20"/>
    <w:rsid w:val="00772E59"/>
    <w:rsid w:val="0077405F"/>
    <w:rsid w:val="0077601D"/>
    <w:rsid w:val="007835AE"/>
    <w:rsid w:val="007855AC"/>
    <w:rsid w:val="007869F6"/>
    <w:rsid w:val="007959CD"/>
    <w:rsid w:val="007B6E09"/>
    <w:rsid w:val="007C253D"/>
    <w:rsid w:val="007D4873"/>
    <w:rsid w:val="007F1DEC"/>
    <w:rsid w:val="008221A2"/>
    <w:rsid w:val="00854305"/>
    <w:rsid w:val="008543C9"/>
    <w:rsid w:val="00865F71"/>
    <w:rsid w:val="008676C1"/>
    <w:rsid w:val="0087139B"/>
    <w:rsid w:val="00875DA5"/>
    <w:rsid w:val="00886A87"/>
    <w:rsid w:val="00887000"/>
    <w:rsid w:val="008936FC"/>
    <w:rsid w:val="008941B9"/>
    <w:rsid w:val="008A7D4B"/>
    <w:rsid w:val="008C101D"/>
    <w:rsid w:val="008C5453"/>
    <w:rsid w:val="008E12B9"/>
    <w:rsid w:val="008F1A94"/>
    <w:rsid w:val="008F7657"/>
    <w:rsid w:val="00900B85"/>
    <w:rsid w:val="00903627"/>
    <w:rsid w:val="00904E18"/>
    <w:rsid w:val="00905E82"/>
    <w:rsid w:val="0092342E"/>
    <w:rsid w:val="009300CA"/>
    <w:rsid w:val="0093037D"/>
    <w:rsid w:val="00944562"/>
    <w:rsid w:val="00953CFA"/>
    <w:rsid w:val="009607A0"/>
    <w:rsid w:val="009848EF"/>
    <w:rsid w:val="009875FE"/>
    <w:rsid w:val="00996A83"/>
    <w:rsid w:val="009B0188"/>
    <w:rsid w:val="009B0D08"/>
    <w:rsid w:val="009B2776"/>
    <w:rsid w:val="009C69E7"/>
    <w:rsid w:val="009D0DBF"/>
    <w:rsid w:val="009E18BD"/>
    <w:rsid w:val="009F48EF"/>
    <w:rsid w:val="009F7A5E"/>
    <w:rsid w:val="00A01D5F"/>
    <w:rsid w:val="00A25F09"/>
    <w:rsid w:val="00A331F9"/>
    <w:rsid w:val="00A35BC5"/>
    <w:rsid w:val="00A410C2"/>
    <w:rsid w:val="00A43E10"/>
    <w:rsid w:val="00A50DBC"/>
    <w:rsid w:val="00A6128A"/>
    <w:rsid w:val="00A61DF9"/>
    <w:rsid w:val="00A65627"/>
    <w:rsid w:val="00A73181"/>
    <w:rsid w:val="00A77337"/>
    <w:rsid w:val="00A82506"/>
    <w:rsid w:val="00A952A0"/>
    <w:rsid w:val="00AB40B0"/>
    <w:rsid w:val="00AC17D5"/>
    <w:rsid w:val="00AC323B"/>
    <w:rsid w:val="00AD008F"/>
    <w:rsid w:val="00AD217E"/>
    <w:rsid w:val="00AD3B3E"/>
    <w:rsid w:val="00AD660C"/>
    <w:rsid w:val="00AE41E3"/>
    <w:rsid w:val="00AE5D5E"/>
    <w:rsid w:val="00AE73C1"/>
    <w:rsid w:val="00AF0DBF"/>
    <w:rsid w:val="00AF0E13"/>
    <w:rsid w:val="00AF36E9"/>
    <w:rsid w:val="00B014E3"/>
    <w:rsid w:val="00B06032"/>
    <w:rsid w:val="00B11593"/>
    <w:rsid w:val="00B135FA"/>
    <w:rsid w:val="00B17D6F"/>
    <w:rsid w:val="00B328B3"/>
    <w:rsid w:val="00B37B47"/>
    <w:rsid w:val="00B54F94"/>
    <w:rsid w:val="00B6299D"/>
    <w:rsid w:val="00B64530"/>
    <w:rsid w:val="00B64B5B"/>
    <w:rsid w:val="00B80F23"/>
    <w:rsid w:val="00BA2853"/>
    <w:rsid w:val="00BB0601"/>
    <w:rsid w:val="00BB34AB"/>
    <w:rsid w:val="00BD2DFC"/>
    <w:rsid w:val="00BE107D"/>
    <w:rsid w:val="00BE58AF"/>
    <w:rsid w:val="00BE672C"/>
    <w:rsid w:val="00C10737"/>
    <w:rsid w:val="00C32387"/>
    <w:rsid w:val="00C36A0D"/>
    <w:rsid w:val="00C47B3D"/>
    <w:rsid w:val="00C5705E"/>
    <w:rsid w:val="00C61E8C"/>
    <w:rsid w:val="00C641FD"/>
    <w:rsid w:val="00C70D2D"/>
    <w:rsid w:val="00C76845"/>
    <w:rsid w:val="00C82F13"/>
    <w:rsid w:val="00C84337"/>
    <w:rsid w:val="00C90D79"/>
    <w:rsid w:val="00CB6436"/>
    <w:rsid w:val="00CC3814"/>
    <w:rsid w:val="00CC5B0E"/>
    <w:rsid w:val="00CE6BA6"/>
    <w:rsid w:val="00CE796F"/>
    <w:rsid w:val="00CF7080"/>
    <w:rsid w:val="00D01717"/>
    <w:rsid w:val="00D16093"/>
    <w:rsid w:val="00D160BC"/>
    <w:rsid w:val="00D17441"/>
    <w:rsid w:val="00D22C34"/>
    <w:rsid w:val="00D505E2"/>
    <w:rsid w:val="00D553B8"/>
    <w:rsid w:val="00D63EA2"/>
    <w:rsid w:val="00D64C64"/>
    <w:rsid w:val="00D73585"/>
    <w:rsid w:val="00D93CDB"/>
    <w:rsid w:val="00D96AE0"/>
    <w:rsid w:val="00D96D3E"/>
    <w:rsid w:val="00DA7657"/>
    <w:rsid w:val="00DA7EA4"/>
    <w:rsid w:val="00DB5FEB"/>
    <w:rsid w:val="00DC16AC"/>
    <w:rsid w:val="00DE49F4"/>
    <w:rsid w:val="00DE7FDE"/>
    <w:rsid w:val="00E065D9"/>
    <w:rsid w:val="00E24FBF"/>
    <w:rsid w:val="00E26CAC"/>
    <w:rsid w:val="00E3345A"/>
    <w:rsid w:val="00E350CD"/>
    <w:rsid w:val="00E463B4"/>
    <w:rsid w:val="00E516FF"/>
    <w:rsid w:val="00E628CF"/>
    <w:rsid w:val="00E660D1"/>
    <w:rsid w:val="00E90036"/>
    <w:rsid w:val="00E93732"/>
    <w:rsid w:val="00E96A9D"/>
    <w:rsid w:val="00EA4625"/>
    <w:rsid w:val="00EB2FAC"/>
    <w:rsid w:val="00EB340B"/>
    <w:rsid w:val="00ED164B"/>
    <w:rsid w:val="00EE3945"/>
    <w:rsid w:val="00F137D8"/>
    <w:rsid w:val="00F14E52"/>
    <w:rsid w:val="00F26A3F"/>
    <w:rsid w:val="00F445FC"/>
    <w:rsid w:val="00F51D79"/>
    <w:rsid w:val="00F660C7"/>
    <w:rsid w:val="00F85C98"/>
    <w:rsid w:val="00FA0505"/>
    <w:rsid w:val="00FA0A11"/>
    <w:rsid w:val="00FA5B3B"/>
    <w:rsid w:val="00FB4922"/>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odolfo.soto@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NQN@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ernan.Arregui@grupocapsa.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NQN@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F60480-0992-48F8-8471-514584407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631</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4428</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102</cp:revision>
  <cp:lastPrinted>2021-02-04T17:22:00Z</cp:lastPrinted>
  <dcterms:created xsi:type="dcterms:W3CDTF">2022-09-06T17:21:00Z</dcterms:created>
  <dcterms:modified xsi:type="dcterms:W3CDTF">2023-08-15T20:21:00Z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