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spacing w:after="160" w:line="256" w:lineRule="auto"/>
        <w:jc w:val="center"/>
        <w:rPr>
          <w:rFonts w:ascii="Arial" w:cs="Arial" w:eastAsia="Arial" w:hAnsi="Arial"/>
          <w:b w:val="1"/>
          <w:sz w:val="40"/>
          <w:szCs w:val="40"/>
        </w:rPr>
      </w:pPr>
      <w:r w:rsidDel="00000000" w:rsidR="00000000" w:rsidRPr="00000000">
        <w:rPr>
          <w:rFonts w:ascii="Times New Roman" w:cs="Times New Roman" w:eastAsia="Times New Roman" w:hAnsi="Times New Roman"/>
          <w:b w:val="1"/>
          <w:sz w:val="22"/>
          <w:szCs w:val="22"/>
        </w:rPr>
        <w:drawing>
          <wp:inline distB="114300" distT="114300" distL="114300" distR="114300">
            <wp:extent cx="33147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47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spacing w:after="160" w:line="256"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spacing w:after="160" w:line="25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Trabajo práctico: Protocolo de finanzas sostenibles bancarias – Estrategia 2 – Banco BBVA</w:t>
      </w:r>
    </w:p>
    <w:p w:rsidR="00000000" w:rsidDel="00000000" w:rsidP="00000000" w:rsidRDefault="00000000" w:rsidRPr="00000000" w14:paraId="00000006">
      <w:pPr>
        <w:spacing w:after="160" w:line="25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p w:rsidR="00000000" w:rsidDel="00000000" w:rsidP="00000000" w:rsidRDefault="00000000" w:rsidRPr="00000000" w14:paraId="00000007">
      <w:pPr>
        <w:spacing w:after="160" w:line="25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Fecha de entrega: 13/06/2023</w:t>
      </w:r>
    </w:p>
    <w:p w:rsidR="00000000" w:rsidDel="00000000" w:rsidP="00000000" w:rsidRDefault="00000000" w:rsidRPr="00000000" w14:paraId="00000008">
      <w:pPr>
        <w:spacing w:after="160" w:line="25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160" w:line="25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Alumnos: </w:t>
      </w:r>
    </w:p>
    <w:p w:rsidR="00000000" w:rsidDel="00000000" w:rsidP="00000000" w:rsidRDefault="00000000" w:rsidRPr="00000000" w14:paraId="0000000A">
      <w:pPr>
        <w:numPr>
          <w:ilvl w:val="0"/>
          <w:numId w:val="9"/>
        </w:numPr>
        <w:spacing w:line="256" w:lineRule="auto"/>
        <w:ind w:left="720" w:hanging="36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Chuburu, Manuel</w:t>
      </w:r>
    </w:p>
    <w:p w:rsidR="00000000" w:rsidDel="00000000" w:rsidP="00000000" w:rsidRDefault="00000000" w:rsidRPr="00000000" w14:paraId="0000000B">
      <w:pPr>
        <w:numPr>
          <w:ilvl w:val="0"/>
          <w:numId w:val="9"/>
        </w:numPr>
        <w:spacing w:line="256" w:lineRule="auto"/>
        <w:ind w:left="720" w:hanging="36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de la Vega, Mercedes María</w:t>
      </w:r>
    </w:p>
    <w:p w:rsidR="00000000" w:rsidDel="00000000" w:rsidP="00000000" w:rsidRDefault="00000000" w:rsidRPr="00000000" w14:paraId="0000000C">
      <w:pPr>
        <w:numPr>
          <w:ilvl w:val="0"/>
          <w:numId w:val="1"/>
        </w:numPr>
        <w:spacing w:line="256" w:lineRule="auto"/>
        <w:ind w:left="720" w:hanging="36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Sanmartino, Francisco</w:t>
      </w:r>
    </w:p>
    <w:p w:rsidR="00000000" w:rsidDel="00000000" w:rsidP="00000000" w:rsidRDefault="00000000" w:rsidRPr="00000000" w14:paraId="0000000D">
      <w:pPr>
        <w:numPr>
          <w:ilvl w:val="0"/>
          <w:numId w:val="2"/>
        </w:numPr>
        <w:spacing w:after="160" w:line="256" w:lineRule="auto"/>
        <w:ind w:left="720" w:hanging="36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Torres, Leonel </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Grupo 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963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5"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Leer los contenidos del Protocolo de Finanzas Sostenibles de la Industria Bancaria en Argentina (bibliografía según cronograma).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5"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Seleccionar la última edición del Reporte Integrado de Galicia o BBVA.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5"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5"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 grupos, responder ¿De qué manera el Banco analizado refleja en su reporte el desarrollo y cumplimiento de los lineamientos de la Estrategia 2 del Protocolo de Finanzas Sostenibles? Analizar fortalezas, debilidades y oportunidades del Banco en relación a esta estrategia. Cuando correspondiera, citar ejemplos y referencias explícitas del Reporte para evidenciar argumentos.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“ESTRATEGIA 2: Productos Financieros Sostenibles</w:t>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Objetivo Estrategia 2: Promover y desarrollar productos y servicios financieros que promuevan el financiamiento de empresas y proyectos que generen un impacto ambiental y social positivo”.</w:t>
      </w:r>
    </w:p>
    <w:p w:rsidR="00000000" w:rsidDel="00000000" w:rsidP="00000000" w:rsidRDefault="00000000" w:rsidRPr="00000000" w14:paraId="0000001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relación a la estrategia 2, encontramos las siguientes menciones que el Banco BBVA realiza en su reporte integrado del 2022: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Fomentar, mantener y/o incrementar una cartera de productos y servicios financieros destinados a apoyar actividades y proyectos de triple impacto: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Emprendedurismo: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7ma edición del concurso “Mi Primera Empresa”. Con el objetivo de incentivar el espíritu emprendedor, BBVA Argentina llevó adelante la séptima edición del Concurso “Mi primera empresa”, destinado a jóvenes de 18 a 35 años de todo el país, en dos categorías: </w:t>
      </w:r>
      <w:r w:rsidDel="00000000" w:rsidR="00000000" w:rsidRPr="00000000">
        <w:rPr>
          <w:rFonts w:ascii="Times New Roman" w:cs="Times New Roman" w:eastAsia="Times New Roman" w:hAnsi="Times New Roman"/>
          <w:rtl w:val="0"/>
        </w:rPr>
        <w:t xml:space="preserve">Innovación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y Triple impacto. Los participantes debieron asociar el proyecto a uno o más Objetivos de Desarrollo Sostenible. Hubo cuatro ganadores con un primer y </w:t>
      </w:r>
      <w:r w:rsidDel="00000000" w:rsidR="00000000" w:rsidRPr="00000000">
        <w:rPr>
          <w:rFonts w:ascii="Times New Roman" w:cs="Times New Roman" w:eastAsia="Times New Roman" w:hAnsi="Times New Roman"/>
          <w:rtl w:val="0"/>
        </w:rPr>
        <w:t xml:space="preserve">segundo</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puesto para cada una de las dos categorías. Primer puesto $1 millón, 2 puesto $600 mil.Los participantes recibieron los conocimientos, habilidades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y herramientas necesarias para realizar su plan 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negocios a través de la Plataforma Digital de Educación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Financiera de BBVA.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numPr>
          <w:ilvl w:val="0"/>
          <w:numId w:val="4"/>
        </w:numPr>
        <w:spacing w:after="2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Fondo Covida</w:t>
      </w:r>
      <w:r w:rsidDel="00000000" w:rsidR="00000000" w:rsidRPr="00000000">
        <w:rPr>
          <w:rFonts w:ascii="Times New Roman" w:cs="Times New Roman" w:eastAsia="Times New Roman" w:hAnsi="Times New Roman"/>
          <w:rtl w:val="0"/>
        </w:rPr>
        <w:t xml:space="preserve">, en alianza con Sumatoria.</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Promover condiciones diferenciadas de financiamiento para proyectos con beneficios ambientales: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Préstamos prendarios para vehículos eléctricos e híbridos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En 2022 se realizaron campañas a tasa 0% de las dos principales alianzas que tiene el Banco: Simpa e Iraola. Las mismas incluyen las marcas KTM, Bajaj, Kawasaki, Royal Enfield y Husqvarna, entre otras. Estas marcas son las que concentran la mayor parte de los trámites.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Préstamos sostenibles a Grupo Ledesma:</w:t>
      </w:r>
      <w:r w:rsidDel="00000000" w:rsidR="00000000" w:rsidRPr="00000000">
        <w:rPr>
          <w:rFonts w:ascii="Times New Roman" w:cs="Times New Roman" w:eastAsia="Times New Roman" w:hAnsi="Times New Roman"/>
          <w:rtl w:val="0"/>
        </w:rPr>
        <w:t xml:space="preserve"> el Banco otorgó tres préstamos KPI-Linked. Se establecieron dos KPIs relacionados con la reducción de la emisión de gases de efecto invernadero de alcance 3 y a incrementar la utilización de energía renovable en el consumo de energía. En la medida que estos objetivos de sostenibilidad se cumplan, se podrá aplicar una reducción del 0,25% en la tasa del préstamo, y su incumplimiento implicará un aumento del 0,25% en la misma.</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rtl w:val="0"/>
        </w:rPr>
        <w:t xml:space="preserve">Bono Verde de Luz de Tres Picos S.A.:</w:t>
      </w:r>
      <w:r w:rsidDel="00000000" w:rsidR="00000000" w:rsidRPr="00000000">
        <w:rPr>
          <w:rFonts w:ascii="Times New Roman" w:cs="Times New Roman" w:eastAsia="Times New Roman" w:hAnsi="Times New Roman"/>
          <w:rtl w:val="0"/>
        </w:rPr>
        <w:t xml:space="preserve"> segundo bono que el banco coloca con la empresa. Las obligaciones clase 2 (Dólar-Link) tienen un plazo de 3 años por un valor máximo de 15 millones de dólares. Estos instrumentos han registrado una sobresuscripción de 2,8 veces. Las obligaciones clase 3 (Dólar-Link) son a 10 años de plazo, y la colocación alcanzó un monto de Dólares estadounidenses 62 millones al 5,05%. Los ingresos obtenidos por la empresa se utilizarán para la construcción de los nuevos parques eólicos Mataco III y Vivoratá, que sumarán 85 MW de energía renovable a la matriz energética nacional.</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Préstamos prendarios para la compra de scooters eléctricos NUUV:</w:t>
      </w:r>
      <w:r w:rsidDel="00000000" w:rsidR="00000000" w:rsidRPr="00000000">
        <w:rPr>
          <w:rFonts w:ascii="Times New Roman" w:cs="Times New Roman" w:eastAsia="Times New Roman" w:hAnsi="Times New Roman"/>
          <w:rtl w:val="0"/>
        </w:rPr>
        <w:t xml:space="preserve"> esta línea permite adquirir dos modelos de scooters eléctricos con una Tasa Nominal Anual (TNA) del 0% en 12 meses y TNA del 22% en 24 meses.El financiamiento es de hasta el 50% del valor de la unidad, con montos máximos de Pesos 1,9 millones que se conceden tan solo presentando el DNI, y hasta Pesos 2,6 millones con la demostración de ingresos.</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Carta de crédito standby sostenible a Arauco Argentina:</w:t>
      </w:r>
      <w:r w:rsidDel="00000000" w:rsidR="00000000" w:rsidRPr="00000000">
        <w:rPr>
          <w:rFonts w:ascii="Times New Roman" w:cs="Times New Roman" w:eastAsia="Times New Roman" w:hAnsi="Times New Roman"/>
          <w:rtl w:val="0"/>
        </w:rPr>
        <w:t xml:space="preserve"> utilizada para la importación de un turbogenerador para generación de energía limpia en la planta de la empresa celulosa en Puerto Esperanza, provincia de Misiones.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Promover condiciones diferenciadas de financiamiento para proyectos sociales que incluyan pero que no se limitan a infraestructura </w:t>
      </w:r>
      <w:r w:rsidDel="00000000" w:rsidR="00000000" w:rsidRPr="00000000">
        <w:rPr>
          <w:rFonts w:ascii="Times New Roman" w:cs="Times New Roman" w:eastAsia="Times New Roman" w:hAnsi="Times New Roman"/>
          <w:rtl w:val="0"/>
        </w:rPr>
        <w:t xml:space="preserve">básica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asequible:</w:t>
      </w:r>
    </w:p>
    <w:p w:rsidR="00000000" w:rsidDel="00000000" w:rsidP="00000000" w:rsidRDefault="00000000" w:rsidRPr="00000000" w14:paraId="000000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Premio anual a la Inclusión Social: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el premio brinda un apoyo económico a las organizaciones seleccionadas como ganadoras, para que puedan dar continuidad y profundizar las prácticas emprendidas. Tres organizaciones ganaron Pesos 500.000 cada una y además, apoyo institucional para potenciar su trabajo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Promover condiciones diferenciadas de financiamiento para proyectos de PYMES lideradas por mujeres y/o PYMES que implementen planes para impulsar la equidad de género: No encontramos activi</w:t>
      </w:r>
      <w:r w:rsidDel="00000000" w:rsidR="00000000" w:rsidRPr="00000000">
        <w:rPr>
          <w:rFonts w:ascii="Times New Roman" w:cs="Times New Roman" w:eastAsia="Times New Roman" w:hAnsi="Times New Roman"/>
          <w:rtl w:val="0"/>
        </w:rPr>
        <w:t xml:space="preserve">dad alguna reflejada en el reporte integrado.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Orientar y capacitar a sus clientes tomadores de crédito con el fin de incentivar la adopción de prácticas de producción y consumo sostenibles y el aprovechamiento de los incentivos creados o por crearse en distintos niveles (internacional, nacional y local).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incrementaron los presupuestos de gastos relacionados a proyectos y cuentas recurrentes (business as usual) por nuevos proyectos que incluyen: asesorías energéticas o tendencias, pagos de contratos de energía renovables, nuevos elementos para segregar residuos, compra de vasos reutilizables para empleados y organización de eventos de concientización ambiental.</w:t>
      </w:r>
    </w:p>
    <w:p w:rsidR="00000000" w:rsidDel="00000000" w:rsidP="00000000" w:rsidRDefault="00000000" w:rsidRPr="00000000" w14:paraId="00000037">
      <w:pPr>
        <w:widowControl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Programa Emprende</w:t>
      </w:r>
      <w:r w:rsidDel="00000000" w:rsidR="00000000" w:rsidRPr="00000000">
        <w:rPr>
          <w:rFonts w:ascii="Times New Roman" w:cs="Times New Roman" w:eastAsia="Times New Roman" w:hAnsi="Times New Roman"/>
          <w:rtl w:val="0"/>
        </w:rPr>
        <w:t xml:space="preserve">, en alianza con Mujeres 2000.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after="29"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Programa de Fortalecimiento de Negocios de Impacto</w:t>
      </w:r>
      <w:r w:rsidDel="00000000" w:rsidR="00000000" w:rsidRPr="00000000">
        <w:rPr>
          <w:rFonts w:ascii="Times New Roman" w:cs="Times New Roman" w:eastAsia="Times New Roman" w:hAnsi="Times New Roman"/>
          <w:rtl w:val="0"/>
        </w:rPr>
        <w:t xml:space="preserve"> (PROIMPACTO).</w:t>
      </w:r>
    </w:p>
    <w:p w:rsidR="00000000" w:rsidDel="00000000" w:rsidP="00000000" w:rsidRDefault="00000000" w:rsidRPr="00000000" w14:paraId="0000003B">
      <w:pPr>
        <w:widowControl w:val="0"/>
        <w:spacing w:after="2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Orientar y capacitar a los inversionistas con el fin de incentivar la canalización de sus fondos a proyectos sostenibles:</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E">
      <w:pPr>
        <w:widowControl w:val="0"/>
        <w:numPr>
          <w:ilvl w:val="0"/>
          <w:numId w:val="4"/>
        </w:numPr>
        <w:pBdr>
          <w:top w:space="0" w:sz="0" w:val="nil"/>
          <w:left w:space="0" w:sz="0" w:val="nil"/>
          <w:bottom w:space="0" w:sz="0" w:val="nil"/>
          <w:right w:space="0" w:sz="0" w:val="nil"/>
          <w:between w:space="0" w:sz="0" w:val="nil"/>
        </w:pBdr>
        <w:spacing w:after="29"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Inversiones ambientales:</w:t>
      </w:r>
      <w:r w:rsidDel="00000000" w:rsidR="00000000" w:rsidRPr="00000000">
        <w:rPr>
          <w:rFonts w:ascii="Times New Roman" w:cs="Times New Roman" w:eastAsia="Times New Roman" w:hAnsi="Times New Roman"/>
          <w:color w:val="000000"/>
          <w:rtl w:val="0"/>
        </w:rPr>
        <w:t xml:space="preserve"> Pesos 134,6 millones.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Plan de inversión en la comunidad</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(Responsabilidad social corporativa): $100 millones, 1.600.000 personas alcanzadas,  43 alianzas estratégicas y 25 programas e iniciativas.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9"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widowControl w:val="0"/>
        <w:numPr>
          <w:ilvl w:val="0"/>
          <w:numId w:val="3"/>
        </w:numPr>
        <w:pBdr>
          <w:top w:space="0" w:sz="0" w:val="nil"/>
          <w:left w:space="0" w:sz="0" w:val="nil"/>
          <w:bottom w:space="0" w:sz="0" w:val="nil"/>
          <w:right w:space="0" w:sz="0" w:val="nil"/>
          <w:between w:space="0" w:sz="0" w:val="nil"/>
        </w:pBdr>
        <w:spacing w:after="2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Compensación</w:t>
      </w:r>
      <w:r w:rsidDel="00000000" w:rsidR="00000000" w:rsidRPr="00000000">
        <w:rPr>
          <w:rFonts w:ascii="Times New Roman" w:cs="Times New Roman" w:eastAsia="Times New Roman" w:hAnsi="Times New Roman"/>
          <w:b w:val="1"/>
          <w:color w:val="000000"/>
          <w:rtl w:val="0"/>
        </w:rPr>
        <w:t xml:space="preserve"> de emisiones: 100% de emisiones de CO2 compensadas</w:t>
      </w:r>
      <w:r w:rsidDel="00000000" w:rsidR="00000000" w:rsidRPr="00000000">
        <w:rPr>
          <w:rFonts w:ascii="Times New Roman" w:cs="Times New Roman" w:eastAsia="Times New Roman" w:hAnsi="Times New Roman"/>
          <w:color w:val="000000"/>
          <w:rtl w:val="0"/>
        </w:rPr>
        <w:t xml:space="preserve"> por proyectos localizados en el país. Puntualmente, con el Proyecto eólico “Manantiales Behr” se obtuvieron créditos de carbono verificados bajo VCS (Verified Carbon Standard). La compensación se realizó por 11.603 tCO2 equivalente.</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2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numPr>
          <w:ilvl w:val="0"/>
          <w:numId w:val="3"/>
        </w:numPr>
        <w:pBdr>
          <w:top w:space="0" w:sz="0" w:val="nil"/>
          <w:left w:space="0" w:sz="0" w:val="nil"/>
          <w:bottom w:space="0" w:sz="0" w:val="nil"/>
          <w:right w:space="0" w:sz="0" w:val="nil"/>
          <w:between w:space="0" w:sz="0" w:val="nil"/>
        </w:pBdr>
        <w:spacing w:after="29"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2022, BBVA Argentina </w:t>
      </w:r>
      <w:r w:rsidDel="00000000" w:rsidR="00000000" w:rsidRPr="00000000">
        <w:rPr>
          <w:rFonts w:ascii="Times New Roman" w:cs="Times New Roman" w:eastAsia="Times New Roman" w:hAnsi="Times New Roman"/>
          <w:b w:val="1"/>
          <w:color w:val="000000"/>
          <w:rtl w:val="0"/>
        </w:rPr>
        <w:t xml:space="preserve">duplicó las inversiones de Capex relacionadas a tareas de impacto sobre los indicadores ambientales</w:t>
      </w:r>
      <w:r w:rsidDel="00000000" w:rsidR="00000000" w:rsidRPr="00000000">
        <w:rPr>
          <w:rFonts w:ascii="Times New Roman" w:cs="Times New Roman" w:eastAsia="Times New Roman" w:hAnsi="Times New Roman"/>
          <w:color w:val="000000"/>
          <w:rtl w:val="0"/>
        </w:rPr>
        <w:t xml:space="preserve">. El presupuesto se destinó principalmente a la instalación de paneles solares en las sucursales y a la compra de 900 artefactos Led para poder finalizar el plan de recambio de la red de sucursales.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29"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numPr>
          <w:ilvl w:val="0"/>
          <w:numId w:val="6"/>
        </w:numPr>
        <w:pBdr>
          <w:top w:space="0" w:sz="0" w:val="nil"/>
          <w:left w:space="0" w:sz="0" w:val="nil"/>
          <w:bottom w:space="0" w:sz="0" w:val="nil"/>
          <w:right w:space="0" w:sz="0" w:val="nil"/>
          <w:between w:space="0" w:sz="0" w:val="nil"/>
        </w:pBdr>
        <w:spacing w:after="29"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Durante el 2022 BBVA Argentina movilizó más de </w:t>
      </w:r>
      <w:r w:rsidDel="00000000" w:rsidR="00000000" w:rsidRPr="00000000">
        <w:rPr>
          <w:rFonts w:ascii="Times New Roman" w:cs="Times New Roman" w:eastAsia="Times New Roman" w:hAnsi="Times New Roman"/>
          <w:b w:val="1"/>
          <w:color w:val="000000"/>
          <w:rtl w:val="0"/>
        </w:rPr>
        <w:t xml:space="preserve">Pesos 21.000 millones, destinados a actividades como supermercados 100% libre de plásticos, movilidad sustentable, eficiencia energética, instalaciones de biocombustibles, generación de energías alternativas, tratamiento y reciclado de residuos</w:t>
      </w:r>
      <w:r w:rsidDel="00000000" w:rsidR="00000000" w:rsidRPr="00000000">
        <w:rPr>
          <w:rFonts w:ascii="Times New Roman" w:cs="Times New Roman" w:eastAsia="Times New Roman" w:hAnsi="Times New Roman"/>
          <w:color w:val="000000"/>
          <w:rtl w:val="0"/>
        </w:rPr>
        <w:t xml:space="preserve">, entre otros.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Acceso a agua potable:</w:t>
      </w:r>
      <w:r w:rsidDel="00000000" w:rsidR="00000000" w:rsidRPr="00000000">
        <w:rPr>
          <w:rFonts w:ascii="Times New Roman" w:cs="Times New Roman" w:eastAsia="Times New Roman" w:hAnsi="Times New Roman"/>
          <w:rtl w:val="0"/>
        </w:rPr>
        <w:t xml:space="preserve"> 3 acciones llevadas a cabo junto a Fundación Aguas.</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29"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29"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29" w:lineRule="auto"/>
        <w:ind w:left="36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ANALISIS FODA:</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29"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FORTALEZAS:</w:t>
      </w:r>
    </w:p>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Tiene incorporado, en sus prioridades estratégicas, el pilar de Ayudar a los clientes en la transición hacia un futuro sostenible</w:t>
      </w:r>
    </w:p>
    <w:p w:rsidR="00000000" w:rsidDel="00000000" w:rsidP="00000000" w:rsidRDefault="00000000" w:rsidRPr="00000000" w14:paraId="000000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Participación en todo el país, con sucursales en cada una de las provincias, que facilita acceso y contacto con diferentes proyectos</w:t>
      </w:r>
    </w:p>
    <w:p w:rsidR="00000000" w:rsidDel="00000000" w:rsidP="00000000" w:rsidRDefault="00000000" w:rsidRPr="00000000" w14:paraId="000000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Cuenta en su estrategia con un modo de trabajo orientado en tener impacto positivo en las personas, la empresa y la sociedad, mejora de la salud financiera de sus clientes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OPORTUNIDADES: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l Banco tiene una oportunidad en el desarrollo del crecimiento inclusivo. El entorno actual, con una elevada digitalización y uso de los datos, facilita dar un servicio eficiente y con un mejor entendimiento de los comportamientos de los clientes. El Banco cuenta con diversos planes de ayuda y acompañamiento a personas y entidades de distintos sectores (por ejemplo los Programas de Educación Financiera), que podría transformar en potenciales clientes del Banco. Este entorno permite desarrollar nuevas oportunidades de negocio que favorezcan el desarrollo económico inclusivo, apoyando a los sectores desfavorecidos y las infraestructuras inclusivas, así como la bancarización masiva apalancada en canales digitales y nuevos modelos de relación.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DEBILIDADES:</w:t>
      </w:r>
    </w:p>
    <w:p w:rsidR="00000000" w:rsidDel="00000000" w:rsidP="00000000" w:rsidRDefault="00000000" w:rsidRPr="00000000" w14:paraId="000000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Falta o escasez de condiciones de financiamiento diferenciadas orientadas a proyectos de género y sociales.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identificamos programas, planes o líneas de financiamiento concretos para empresas. Sí vimos ejemplos con algunas organizaciones en particular (ej. Ledesma) pero no lo identificamos como una posibilidad para otras empresas.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AMENAZAS: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bookmarkStart w:colFirst="0" w:colLast="0" w:name="_heading=h.aosgiqcmgw3" w:id="1"/>
      <w:bookmarkEnd w:id="1"/>
      <w:r w:rsidDel="00000000" w:rsidR="00000000" w:rsidRPr="00000000">
        <w:rPr>
          <w:rFonts w:ascii="Times New Roman" w:cs="Times New Roman" w:eastAsia="Times New Roman" w:hAnsi="Times New Roman"/>
          <w:rtl w:val="0"/>
        </w:rPr>
        <w:t xml:space="preserve">Que surjan nuevas líneas de créditos con tasas más bajas u otros productos o servicios financieros que ofrezcan mejores condiciones para proyectos sustentables por parte de otros Bancos.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r72elomtguyr" w:id="2"/>
      <w:bookmarkEnd w:id="2"/>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bookmarkStart w:colFirst="0" w:colLast="0" w:name="_heading=h.7hz9d67viude" w:id="3"/>
      <w:bookmarkEnd w:id="3"/>
      <w:r w:rsidDel="00000000" w:rsidR="00000000" w:rsidRPr="00000000">
        <w:rPr>
          <w:rFonts w:ascii="Times New Roman" w:cs="Times New Roman" w:eastAsia="Times New Roman" w:hAnsi="Times New Roman"/>
          <w:rtl w:val="0"/>
        </w:rPr>
        <w:t xml:space="preserve">Regulaciones ambientales más estrictas con </w:t>
      </w:r>
      <w:r w:rsidDel="00000000" w:rsidR="00000000" w:rsidRPr="00000000">
        <w:rPr>
          <w:rFonts w:ascii="Times New Roman" w:cs="Times New Roman" w:eastAsia="Times New Roman" w:hAnsi="Times New Roman"/>
          <w:rtl w:val="0"/>
        </w:rPr>
        <w:t xml:space="preserve">costos adicionales al banco en términos de cumplimiento ambiental, inversiones en tecnologías sostenibles y procesos de gestión de riesgos.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7mw6ihoruzgh" w:id="4"/>
      <w:bookmarkEnd w:id="4"/>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u w:val="none"/>
        </w:rPr>
      </w:pPr>
      <w:bookmarkStart w:colFirst="0" w:colLast="0" w:name="_heading=h.sgbl9sovt3yt" w:id="5"/>
      <w:bookmarkEnd w:id="5"/>
      <w:r w:rsidDel="00000000" w:rsidR="00000000" w:rsidRPr="00000000">
        <w:rPr>
          <w:rFonts w:ascii="Times New Roman" w:cs="Times New Roman" w:eastAsia="Times New Roman" w:hAnsi="Times New Roman"/>
          <w:rtl w:val="0"/>
        </w:rPr>
        <w:t xml:space="preserve">Regulaciones que obliguen al Banco a otorgar créditos para proyectos sustentables y que el Banco no tenga experiencia o no esté preparado para ello.</w:t>
        <w:tab/>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bookmarkStart w:colFirst="0" w:colLast="0" w:name="_heading=h.e21djed1m1xk" w:id="6"/>
      <w:bookmarkEnd w:id="6"/>
      <w:r w:rsidDel="00000000" w:rsidR="00000000" w:rsidRPr="00000000">
        <w:rPr>
          <w:rFonts w:ascii="Times New Roman" w:cs="Times New Roman" w:eastAsia="Times New Roman" w:hAnsi="Times New Roman"/>
          <w:rtl w:val="0"/>
        </w:rPr>
        <w:t xml:space="preserve">Riesgo reputacional: Si el Banco no cumple con estándares ambientales sólidos o se involucra en actividades controvertidas, podría enfrentar una pérdida de confianza y reputación entre sus clientes y la opinión pública.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6z2iva4eox66" w:id="7"/>
      <w:bookmarkEnd w:id="7"/>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bookmarkStart w:colFirst="0" w:colLast="0" w:name="_heading=h.b8z9einmgk9t" w:id="8"/>
      <w:bookmarkEnd w:id="8"/>
      <w:r w:rsidDel="00000000" w:rsidR="00000000" w:rsidRPr="00000000">
        <w:rPr>
          <w:rFonts w:ascii="Times New Roman" w:cs="Times New Roman" w:eastAsia="Times New Roman" w:hAnsi="Times New Roman"/>
          <w:rtl w:val="0"/>
        </w:rPr>
        <w:t xml:space="preserve">Cambios en las preferencias de los clientes: Los clientes pueden preferir otros Bancos que tengan metas sustentables más altas.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v0kt5puh6f6c" w:id="9"/>
      <w:bookmarkEnd w:id="9"/>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bookmarkStart w:colFirst="0" w:colLast="0" w:name="_heading=h.uuipjmblf2is" w:id="10"/>
      <w:bookmarkEnd w:id="10"/>
      <w:r w:rsidDel="00000000" w:rsidR="00000000" w:rsidRPr="00000000">
        <w:rPr>
          <w:rFonts w:ascii="Times New Roman" w:cs="Times New Roman" w:eastAsia="Times New Roman" w:hAnsi="Times New Roman"/>
          <w:rtl w:val="0"/>
        </w:rPr>
        <w:t xml:space="preserve">Mayores desastres naturales (inundaciones, tormentas severas, etc.) pueden provocar la solicitud de más préstamos para sectores vulnerables.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7r4g91t6q747" w:id="11"/>
      <w:bookmarkEnd w:id="11"/>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9" w:before="0" w:line="240" w:lineRule="auto"/>
        <w:ind w:left="720" w:right="0" w:hanging="360"/>
        <w:jc w:val="both"/>
        <w:rPr>
          <w:rFonts w:ascii="Times New Roman" w:cs="Times New Roman" w:eastAsia="Times New Roman" w:hAnsi="Times New Roman"/>
          <w:u w:val="none"/>
        </w:rPr>
      </w:pPr>
      <w:bookmarkStart w:colFirst="0" w:colLast="0" w:name="_heading=h.f5bir7swjwku" w:id="12"/>
      <w:bookmarkEnd w:id="12"/>
      <w:r w:rsidDel="00000000" w:rsidR="00000000" w:rsidRPr="00000000">
        <w:rPr>
          <w:rFonts w:ascii="Times New Roman" w:cs="Times New Roman" w:eastAsia="Times New Roman" w:hAnsi="Times New Roman"/>
          <w:rtl w:val="0"/>
        </w:rPr>
        <w:t xml:space="preserve">Cambios en el mercado financiero: Los mercados financieros analizan más los criterios ambientales, sociales y de gobernanza para invertir en ciertas instituciones, por lo que el Banco debe cumplir con dichos criterios para acceder a fuentes de financiamiento o inversiones.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ezsqtgnyu1ef" w:id="13"/>
      <w:bookmarkEnd w:id="13"/>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0" w:line="240" w:lineRule="auto"/>
        <w:ind w:left="720" w:right="0" w:firstLine="0"/>
        <w:jc w:val="both"/>
        <w:rPr>
          <w:rFonts w:ascii="Times New Roman" w:cs="Times New Roman" w:eastAsia="Times New Roman" w:hAnsi="Times New Roman"/>
        </w:rPr>
      </w:pPr>
      <w:bookmarkStart w:colFirst="0" w:colLast="0" w:name="_heading=h.jqq1o2vz5uaa" w:id="14"/>
      <w:bookmarkEnd w:id="14"/>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29" w:lineRule="auto"/>
        <w:ind w:left="360" w:firstLine="0"/>
        <w:jc w:val="both"/>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6840" w:w="1190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1E81"/>
    <w:rPr>
      <w:rFonts w:ascii="Calibri" w:cs="Calibri" w:eastAsia="Calibri" w:hAnsi="Calibr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F07180"/>
    <w:pPr>
      <w:widowControl w:val="0"/>
      <w:autoSpaceDE w:val="0"/>
      <w:autoSpaceDN w:val="0"/>
      <w:adjustRightInd w:val="0"/>
    </w:pPr>
    <w:rPr>
      <w:rFonts w:ascii="Calibri" w:cs="Calibri" w:hAnsi="Calibri"/>
      <w:color w:val="000000"/>
      <w:lang w:val="en-US"/>
    </w:rPr>
  </w:style>
  <w:style w:type="paragraph" w:styleId="ListParagraph">
    <w:name w:val="List Paragraph"/>
    <w:basedOn w:val="Normal"/>
    <w:uiPriority w:val="34"/>
    <w:qFormat w:val="1"/>
    <w:rsid w:val="007F2F9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gqT9Yh90Pzxudaas1ApABtCujg==">CgMxLjAyCGguZ2pkZ3hzMg1oLmFvc2dpcWNtZ3czMg5oLnI3MmVsb210Z3V5cjIOaC43aHo5ZDY3dml1ZGUyDmguN213Nmlob3J1emdoMg5oLnNnYmw5c292dDN5dDIOaC5lMjFkamVkMW0xeGsyDmguNnoyaXZhNGVveDY2Mg5oLmI4ejllaW5tZ2s5dDIOaC52MGt0NXB1aDZmNmMyDmgudXVpcGptYmxmMmlzMg5oLjdyNGc5MXQ2cTc0NzIOaC5mNWJpcjdzd2p3a3UyDmguZXpzcXRnbnl1MWVmMg5oLmpxcTFvMnZ6NXVhYTgAaigKFHN1Z2dlc3QuOWludzN2YXRwaDFpEhBNZWNoaSBEZSBMYSBWZWdhciExcTdZZDZvSlRfcmlYbUlkWjF4QmVnM2ZaaU1MUWJSdn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23C8A2D72565F4A8E429A57B28F3D23" ma:contentTypeVersion="14" ma:contentTypeDescription="Create a new document." ma:contentTypeScope="" ma:versionID="689467c85a379478b9c7a2ca846e46ba">
  <xsd:schema xmlns:xsd="http://www.w3.org/2001/XMLSchema" xmlns:xs="http://www.w3.org/2001/XMLSchema" xmlns:p="http://schemas.microsoft.com/office/2006/metadata/properties" xmlns:ns2="4a5d58e4-fa2e-4a50-98c9-c9e78b8dc8e6" xmlns:ns3="f8cc7645-749b-4509-8ba9-71b282c6b465" targetNamespace="http://schemas.microsoft.com/office/2006/metadata/properties" ma:root="true" ma:fieldsID="923ecf3d0664b6b7672e055e58df5ea6" ns2:_="" ns3:_="">
    <xsd:import namespace="4a5d58e4-fa2e-4a50-98c9-c9e78b8dc8e6"/>
    <xsd:import namespace="f8cc7645-749b-4509-8ba9-71b282c6b4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d58e4-fa2e-4a50-98c9-c9e78b8dc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cc7645-749b-4509-8ba9-71b282c6b46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6590691-0300-4ff9-810a-6aa25acf41cc}" ma:internalName="TaxCatchAll" ma:showField="CatchAllData" ma:web="f8cc7645-749b-4509-8ba9-71b282c6b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14BB675-7FE9-4C08-8C1E-4D83D76566DF}"/>
</file>

<file path=customXML/itemProps3.xml><?xml version="1.0" encoding="utf-8"?>
<ds:datastoreItem xmlns:ds="http://schemas.openxmlformats.org/officeDocument/2006/customXml" ds:itemID="{99434B87-B328-4285-ACC4-37FB7D71802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2023-06-07T22:04:00Z</dcterms:created>
  <dc:creator>Microsoft Office User</dc:creator>
</cp:coreProperties>
</file>