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CC378EE" wp14:paraId="785B82B5" wp14:textId="4124FEEB">
      <w:pPr>
        <w:pStyle w:val="Title"/>
        <w:spacing w:before="0" w:beforeAutospacing="off" w:after="160" w:afterAutospacing="off" w:line="279"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56"/>
          <w:szCs w:val="56"/>
          <w:lang w:val="en-US"/>
        </w:rPr>
      </w:pP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56"/>
          <w:szCs w:val="56"/>
          <w:lang w:val="en-US"/>
        </w:rPr>
        <w:t>Financial/Legal/Sales Plan</w:t>
      </w:r>
    </w:p>
    <w:p xmlns:wp14="http://schemas.microsoft.com/office/word/2010/wordml" w:rsidP="3CC378EE" wp14:paraId="4C35A0DF" wp14:textId="09D5AF86">
      <w:pPr>
        <w:pStyle w:val="Subtitle"/>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Smart Toolbox</w:t>
      </w:r>
    </w:p>
    <w:p xmlns:wp14="http://schemas.microsoft.com/office/word/2010/wordml" w:rsidP="3CC378EE" wp14:paraId="48D812B5" wp14:textId="31BA6200">
      <w:pPr>
        <w:pStyle w:val="Subtitle"/>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Evan Hoeger, Salem Bird, Walter Blackman, Luke Fredin</w:t>
      </w:r>
    </w:p>
    <w:p xmlns:wp14="http://schemas.microsoft.com/office/word/2010/wordml" w:rsidP="3CC378EE" wp14:paraId="3489AC2C" wp14:textId="4D5EDA81">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CC378EE" wp14:paraId="4524F6AC" wp14:textId="4486F81B">
      <w:pPr>
        <w:rPr>
          <w:rFonts w:ascii="Aptos" w:hAnsi="Aptos" w:eastAsia="Aptos" w:cs="Aptos"/>
          <w:b w:val="0"/>
          <w:bCs w:val="0"/>
          <w:i w:val="0"/>
          <w:iCs w:val="0"/>
          <w:caps w:val="0"/>
          <w:smallCaps w:val="0"/>
          <w:noProof w:val="0"/>
          <w:color w:val="000000" w:themeColor="text1" w:themeTint="FF" w:themeShade="FF"/>
          <w:sz w:val="24"/>
          <w:szCs w:val="24"/>
          <w:lang w:val="en-US"/>
        </w:rPr>
      </w:pPr>
      <w:r>
        <w:drawing>
          <wp:inline xmlns:wp14="http://schemas.microsoft.com/office/word/2010/wordprocessingDrawing" wp14:editId="173A0FDF" wp14:anchorId="65A97CD6">
            <wp:extent cx="5943600" cy="3409950"/>
            <wp:effectExtent l="0" t="0" r="0" b="0"/>
            <wp:docPr id="1668312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8312541" name=""/>
                    <pic:cNvPicPr/>
                  </pic:nvPicPr>
                  <pic:blipFill>
                    <a:blip xmlns:r="http://schemas.openxmlformats.org/officeDocument/2006/relationships" r:embed="rId1526422099">
                      <a:extLst>
                        <a:ext xmlns:a="http://schemas.openxmlformats.org/drawingml/2006/main" uri="{28A0092B-C50C-407E-A947-70E740481C1C}">
                          <a14:useLocalDpi xmlns:a14="http://schemas.microsoft.com/office/drawing/2010/main" val="0"/>
                        </a:ext>
                      </a:extLst>
                    </a:blip>
                    <a:stretch>
                      <a:fillRect/>
                    </a:stretch>
                  </pic:blipFill>
                  <pic:spPr>
                    <a:xfrm>
                      <a:off x="0" y="0"/>
                      <a:ext cx="5943600" cy="3409950"/>
                    </a:xfrm>
                    <a:prstGeom prst="rect">
                      <a:avLst/>
                    </a:prstGeom>
                  </pic:spPr>
                </pic:pic>
              </a:graphicData>
            </a:graphic>
          </wp:inline>
        </w:drawing>
      </w:r>
    </w:p>
    <w:p xmlns:wp14="http://schemas.microsoft.com/office/word/2010/wordml" wp14:paraId="2C078E63" wp14:textId="50CF04F5"/>
    <w:p w:rsidR="3CC378EE" w:rsidRDefault="3CC378EE" w14:paraId="410A66A0" w14:textId="6584FAF2">
      <w:r>
        <w:br w:type="page"/>
      </w:r>
    </w:p>
    <w:p w:rsidR="3CC378EE" w:rsidP="3CC378EE" w:rsidRDefault="3CC378EE" w14:paraId="598E913F" w14:textId="5C70C3BE">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r w:rsidRPr="3CC378EE" w:rsidR="3CC378EE">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 xml:space="preserve">Sales Plan </w:t>
      </w:r>
    </w:p>
    <w:p w:rsidR="3CC378EE" w:rsidP="3CC378EE" w:rsidRDefault="3CC378EE" w14:paraId="1F13E2DD" w14:textId="0E427E38">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Smart Toolbox will launch with a focused first year strategy that targets innovator level users in shared toolbox manufacturing facilities. With our revised production approach using 3D printing, pivoting from injection molding, we plan to produce and sell 75 units during the first year. This sales target aligns with our manufacturing capacity while still allowing us to collect data, refine the product, and </w:t>
      </w: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establish</w:t>
      </w: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customer base for future growth. At a hardware price of $350 per unit, first-year hardware revenue is projected to be $26,250, with an estimated 40% of customers </w:t>
      </w: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purchasing</w:t>
      </w: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optional mounting arm for an </w:t>
      </w: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additional</w:t>
      </w: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$1,500 in sales. Each purchased unit includes a required $25 monthly cloud subscription, which at full capacity creates approximately $22,500 in annual recurring revenue. Combined, our first-year revenue target is $50,250, which provides a balanced and realistic early-stage financial goal. </w:t>
      </w:r>
    </w:p>
    <w:p w:rsidR="3CC378EE" w:rsidP="3CC378EE" w:rsidRDefault="3CC378EE" w14:paraId="3DE13243" w14:textId="00CC69FA">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Our </w:t>
      </w: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initial</w:t>
      </w: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marketing efforts will also focus on innovators, the group most likely to adopt new tools and technologies earl. We will offer a hands-on demonstration campaign to innovators who are identified as </w:t>
      </w: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possible customer</w:t>
      </w: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who are interested. We will conduct live demos at trade shows to </w:t>
      </w: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demonstrate</w:t>
      </w: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Smart Toolbox in action and gather high-quality leads. This initiative, with an estimated cost of around $3,000, is expected to generate 20 to 25 qualified leads and help convert early adopters into long-term customers. To complement in person outreach, we will invest in digital advertising through Google Search and Instagram/Facebook, using targeted ads aimed at manufacturing managers, makers, and industrial technicians. With a $2,000 digital marketing budget, these ads will direct potential customers to our website landing page that highlights key features, including tool recognition, user identification, and cloud integration. </w:t>
      </w:r>
    </w:p>
    <w:p w:rsidR="3CC378EE" w:rsidP="3CC378EE" w:rsidRDefault="3CC378EE" w14:paraId="6B65039B" w14:textId="488A9F5E">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Influencer marketing also </w:t>
      </w: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remains</w:t>
      </w: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 important part of our first-year strategy but scaled to match the reduced sales target. We will partner with smaller YouTube and tool-focused creators for product overviews and demonstrations. With a modest investment of $1,000, this effort is expected to generate meaningful visibility and credibility among hands-on audiences. Additionally, we plan to attend at least one local or regional manufacturing or maker-oriented event, </w:t>
      </w: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allocating</w:t>
      </w: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approximately $3,500 for booth space, signage, equipment transportation, and travel. These events typically generate a strong mix of immediate purchases and B2B leads that can convert later in the year</w:t>
      </w: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Supporting these marketing activities are our indirect digital infrastructure setups. Website and e-commerce development, covering hosting, store configuration, and security, will require about $1,000. Customer support tools, including live chat and onboarding resources, will cost an estimated $800. Across all channels, our total first-year marketing and sales budget is approximately $11,300, ensuring exposure without overextending resources</w:t>
      </w: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3CC378EE" w:rsidP="3CC378EE" w:rsidRDefault="3CC378EE" w14:paraId="10721691" w14:textId="7554686C">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our first year, our sales process focuses on simplicity and direct engagement. Leads generated from demos, ads, and events will be contacted through personalized follow-ups and trial offers. After customers </w:t>
      </w: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purchase</w:t>
      </w: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system, we guide them through cloud activation and initial setup, ensuring a smooth onboarding experience that supports subscription retention. Feedback from these early customers will be essential for refining the Smart Toolbox design, improving software performance, and preparing the business for expanded production in year two.</w:t>
      </w:r>
    </w:p>
    <w:p w:rsidR="3CC378EE" w:rsidP="3CC378EE" w:rsidRDefault="3CC378EE" w14:paraId="4E4FA56E" w14:textId="0764128F">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CC378EE" w:rsidP="3CC378EE" w:rsidRDefault="3CC378EE" w14:paraId="6B865087" w14:textId="5B1EA393">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r w:rsidRPr="3CC378EE" w:rsidR="3CC378EE">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 xml:space="preserve">Indirect Startup Costs </w:t>
      </w:r>
    </w:p>
    <w:p w:rsidR="3CC378EE" w:rsidP="3CC378EE" w:rsidRDefault="3CC378EE" w14:paraId="35DB4999" w14:textId="408FB3FB">
      <w:pPr>
        <w:pStyle w:val="Normal"/>
      </w:pP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With the shift toward producing the first 75 Smart Toolbox units using 3D printing, our indirect startup costs center on equipment, workspace preparation, and digital infrastructure rather than high upfront tooling expenses. The primary indirect cost is the purchase of reliable 3D printing equipment capable of producing durable, dimensionally consistent enclosures. We anticipate acquiring one high-quality FDM printer, such as a Bambu Lab P1S or Prusa MK4, which will handle the print volume for 75 units. This printer, along with necessary accessories such as spare nozzles, calibration tools, adhesive surfaces, and maintenance kits, represents an estimated $1,200 to $1,600 in indirect startup costs. Additional support items, including filament drying equipment, and basic ventilation or filtration upgrades, add approximately $300 to $500, ensuring repeatable print quality throughout the year. </w:t>
      </w:r>
    </w:p>
    <w:p w:rsidR="3CC378EE" w:rsidP="3CC378EE" w:rsidRDefault="3CC378EE" w14:paraId="76A0F611" w14:textId="6D03DF5F">
      <w:pPr>
        <w:pStyle w:val="Normal"/>
      </w:pP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Setting up a functional workspace also contributes to our indirect cost structure. Although our printing and assembly operations are small-scale in year one, we still require a dedicated production area with workbenches, an ESD-safe assembly surface, precision screwdrivers and organized shelving for printed parts and electronics. Preparing this space is expected to cost $600 to $1,000. To support device testing, firmware loading, and cloud configuration, we will also need a dedicated workstation equipped with a mid-range PC, monitor, and peripherals. This contributes another $800 to $1,000 to startup expenses. Digital infrastructure setup remains an important category of indirect costs. While our facial and tool-recognition software relies on open-source libraries, backend cloud services require initial configuration and security setup. Establishing AWS S3 storage buckets, access policies, server instances, and early test environments will incur approximately $300 to $500 in one-time costs. Our customer-facing website and e-commerce platform add another $300 to $500 for initial hosting, security certificates, payment processing setup, and storefront configuration. These costs are necessary for enabling customer onboarding, subscription activation, and software updates. </w:t>
      </w:r>
    </w:p>
    <w:p w:rsidR="3CC378EE" w:rsidP="3CC378EE" w:rsidRDefault="3CC378EE" w14:paraId="1EBEC8B8" w14:textId="6C529A6B">
      <w:pPr>
        <w:pStyle w:val="Normal"/>
      </w:pP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total, the expected indirect startup costs for the first year under a 3D-printing-based, 75-unit production plan are projected to fall between $3,200 and $4,600. This startup cost structure aligns well with our first-year sales and production scale, allowing us to refine the product before committing to larger-scale manufacturing investments in Year Two.</w:t>
      </w:r>
    </w:p>
    <w:p w:rsidR="3CC378EE" w:rsidP="3CC378EE" w:rsidRDefault="3CC378EE" w14:paraId="3EE217A4" w14:textId="3F991A90">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CC378EE" w:rsidP="3CC378EE" w:rsidRDefault="3CC378EE" w14:paraId="4EE7348A" w14:textId="3296827C">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r w:rsidRPr="3CC378EE" w:rsidR="3CC378EE">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 xml:space="preserve">Direct First Year Costs </w:t>
      </w:r>
    </w:p>
    <w:p w:rsidR="3CC378EE" w:rsidP="3CC378EE" w:rsidRDefault="3CC378EE" w14:paraId="71B6956A" w14:textId="0C6F20D5">
      <w:pPr>
        <w:pStyle w:val="Normal"/>
      </w:pP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direct costs for producing the first-year units consist of all materials that go into each device as well as the labor required for printing, assembling, and testing each unit. The primary direct material cost continues to come from the electronic components. Each unit requires one Raspberry Pi 5 at an average bulk cost of $80, two Raspberry Pi OV5647 camera modules at $32 each ($64 total), and one heat-sink fan module priced at $4.25. Additional small hardware, such as M1×6 screws and mounting fasteners, adds roughly $3.00 per unit. Together, the electronic and hardware materials total approximately $151.25 per unit, or $11,343.75 for 75 units. </w:t>
      </w:r>
    </w:p>
    <w:p w:rsidR="3CC378EE" w:rsidP="3CC378EE" w:rsidRDefault="3CC378EE" w14:paraId="4AC94F62" w14:textId="573FD832">
      <w:pPr>
        <w:pStyle w:val="Normal"/>
      </w:pP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Due to 3D printing, the enclosure and lid become direct material expenses rather than tooling amortization. Each printed housing requires approximately $8–$12 worth of ABS/PETG filament depending on geometry and infill. Using an average of $10 per unit, the total filament cost for 75 printed shells is $750. We also allocate $1.00 of direct consumables per unit such as adhesives, cable ties, small brackets, and print-support removal tools, adding another $75 to year-one direct materials. </w:t>
      </w:r>
    </w:p>
    <w:p w:rsidR="3CC378EE" w:rsidP="3CC378EE" w:rsidRDefault="3CC378EE" w14:paraId="08E1B6A2" w14:textId="4373E832">
      <w:pPr>
        <w:pStyle w:val="Normal"/>
      </w:pP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Cloud service usage also contributes to direct cost because each device consumes storage and bandwidth once activated. While AWS has both fixed and variable components, the per-unit usage cost attributable directly to each customer in Year One is approximately $1–$2 per month, resulting in a first-year direct cloud cost of about $18 per customer, or $1,350 for all 75 units. Though small, this cost scales directly with the number of units sold and therefore qualifies as a direct operating cost. </w:t>
      </w:r>
    </w:p>
    <w:p w:rsidR="3CC378EE" w:rsidP="3CC378EE" w:rsidRDefault="3CC378EE" w14:paraId="2C7301AC" w14:textId="6AB4F274">
      <w:pPr>
        <w:pStyle w:val="Normal"/>
      </w:pP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Labor represents the final major direct cost category. Producing each unit requires 3D-printing time (machine-supervision labor), assembly, software flashing, and validation. While the printers run autonomously, we allocate 10 minutes of labor per print cycle for filament changes, bed preparation, and part removal, totaling roughly 25 minutes of printing labor per device. Assembly, including mounting the Pi, installing cameras, routing cables, fastening the lid, loading firmware, and completing diagnostic testing—requires approximately 14 minutes per unit, consistent with earlier estimates. Altogether, each device requires roughly 40 minutes of labor. At a labor rate of $30 per hour, the labor cost per unit is $20, resulting in a total direct labor cost of $1,500 for 75 units. However, as we would be doing all this ourselves, we can nullify the labor cost. It is important to note it though as it will come in use later down the road. </w:t>
      </w:r>
    </w:p>
    <w:p w:rsidR="3CC378EE" w:rsidP="3CC378EE" w:rsidRDefault="3CC378EE" w14:paraId="2662482A" w14:textId="26F89C57">
      <w:pPr>
        <w:pStyle w:val="Normal"/>
      </w:pP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When combined, the expected direct materials for year One total approximately $12,500–$13,500. This includes electronics, printed parts, hardware, cloud usage, consumables, and assembly labor. These direct costs scale proportionally with the number of units produced and form the foundational cost structure for the limited first-year production run.</w:t>
      </w:r>
    </w:p>
    <w:p w:rsidR="3CC378EE" w:rsidP="3CC378EE" w:rsidRDefault="3CC378EE" w14:paraId="5EA777D2" w14:textId="30ABC35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CC378EE" w:rsidP="3CC378EE" w:rsidRDefault="3CC378EE" w14:paraId="1E833B74" w14:textId="4BA4225F">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r w:rsidRPr="3CC378EE" w:rsidR="3CC378EE">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 xml:space="preserve">Legal IP/Trademarks/Copyright Issues </w:t>
      </w:r>
    </w:p>
    <w:p w:rsidR="3CC378EE" w:rsidP="3CC378EE" w:rsidRDefault="3CC378EE" w14:paraId="42AA2D0A" w14:textId="7C0EC13C">
      <w:pPr>
        <w:pStyle w:val="Normal"/>
      </w:pP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Bringing the Smart Toolbox to market requires addressing several intellectual property (IP) considerations, including trademarks, product branding, software licensing, and the protection of our hardware and software designs. The first major IP task is securing a trademark for the Smart Toolbox name and logo. A registered trademark protects the brand identity, prevents competitors from using confusingly similar names, and strengthens our market presence as we expand. Filing a trademark through the USPTO typically costs $250–$350 per classification, and if we choose to work with an attorney for improved approval likelihood, total costs may reach $800–$1,200. </w:t>
      </w:r>
    </w:p>
    <w:p w:rsidR="3CC378EE" w:rsidP="3CC378EE" w:rsidRDefault="3CC378EE" w14:paraId="4AC92E94" w14:textId="44106826">
      <w:pPr>
        <w:pStyle w:val="Normal"/>
      </w:pP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 the product side, our 3D-printed enclosure and internal mechanical layouts may be eligible for design patent protection. However, design patents are optional at this stage and expensive relative to early-stage revenue. Filing a design patent using a professional attorney would likely cost $2,000–$3,500, while a self-filed application would cost $300–$500 but offer less legal robustness. Because year one production is limited to 75 units and the design may change before large-scale manufacturing, it may be more practical to delay this filing until the enclosure reaches a finalized form. </w:t>
      </w:r>
    </w:p>
    <w:p w:rsidR="3CC378EE" w:rsidP="3CC378EE" w:rsidRDefault="3CC378EE" w14:paraId="0864415A" w14:textId="1C03C4AC">
      <w:pPr>
        <w:pStyle w:val="Normal"/>
      </w:pP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Smart Toolbox software introduces additional IP considerations. Our face-recognition and tool-recognition components use open-source libraries such as Dlib and other GitHub frameworks. These libraries require compliance with their associated licenses, commonly MIT, BSD, or Apache, which typically allow commercial use but require attribution in documentation or source code. This imposes no financial cost but must be handled correctly to avoid future legal issues. Our custom machine-vision algorithms and integration code are automatically protected under copyright law, which requires no filing fee as long as authorship is documented. If we choose to file an official copyright with the U.S. Copyright Office for added enforcement strength, each software module filing costs around $65. </w:t>
      </w:r>
    </w:p>
    <w:p w:rsidR="3CC378EE" w:rsidP="3CC378EE" w:rsidRDefault="3CC378EE" w14:paraId="3AC53CC2" w14:textId="630362F7">
      <w:pPr>
        <w:pStyle w:val="Normal"/>
      </w:pP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Additionally, data privacy and user permissions must be considered due to the product’s face-recognition functionality. Although not an IP protection cost, we must ensure compliance with relevant privacy laws, especially regarding biometric data. This includes providing users with clear consent disclosures, secure data storage practices, and transparent handling of images processed by the system. Drafting simple privacy disclosures and terms of use may cost $500–$1,000 if performed by a technology attorney. </w:t>
      </w:r>
    </w:p>
    <w:p w:rsidR="3CC378EE" w:rsidP="3CC378EE" w:rsidRDefault="3CC378EE" w14:paraId="4A6BF314" w14:textId="32039BC5">
      <w:pPr>
        <w:pStyle w:val="Normal"/>
      </w:pP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total, we estimate that year one legal and IP costs will range from $1,500 to $3,000, assuming we secure a trademark, file optional software copyrights, and obtain professional help with privacy policy drafting. If we add a design patent consultation or full filing, costs may increase to $4,000–$5,000, though this step can </w:t>
      </w: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reasonably be</w:t>
      </w: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deferred until larger-scale production begins. Addressing these legal matters early ensures brand protection, software compliance, and responsible handling of user data as the Smart Toolbox enters the market</w:t>
      </w:r>
    </w:p>
    <w:p w:rsidR="3CC378EE" w:rsidP="3CC378EE" w:rsidRDefault="3CC378EE" w14:paraId="2C4E55A6" w14:textId="4642D740">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CC378EE" w:rsidP="3CC378EE" w:rsidRDefault="3CC378EE" w14:paraId="133E142E" w14:textId="7CEE697B">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r w:rsidRPr="3CC378EE" w:rsidR="3CC378EE">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 xml:space="preserve">Initial Capital Requirements </w:t>
      </w:r>
    </w:p>
    <w:p w:rsidR="3CC378EE" w:rsidP="3CC378EE" w:rsidRDefault="3CC378EE" w14:paraId="767DB51C" w14:textId="3F8BC012">
      <w:pPr>
        <w:pStyle w:val="Normal"/>
      </w:pP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initial capital requirements for launching the Smart Toolbox include all upfront investments needed to begin low-volume production, establish digital infrastructure, and conduct early marketing. The primary capital expenses include the purchase of a reliable 3D printer and accessories ($1,200–$1,600), workspace setup for assembly and testing ($600–$1,000), initial raw materials and electronic component purchases for 75 units (approximately $14,000–$15,000), first-year indirect cloud and website setup ($600-$1,000), early marketing expenses ($11,300), and IP/legal costs ($1,500–$3,000). Altogether, our initial capital requirement falls between $29,000 and $34,000 to successfully bring the Smart Toolbox to market, produce the first batch of units, and support early-stage user acquisition. </w:t>
      </w:r>
    </w:p>
    <w:p w:rsidR="3CC378EE" w:rsidP="3CC378EE" w:rsidRDefault="3CC378EE" w14:paraId="045830BB" w14:textId="4F3B1E6A">
      <w:pPr>
        <w:pStyle w:val="Normal"/>
      </w:pPr>
      <w:r w:rsidRPr="3CC378EE" w:rsidR="3CC37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Several strategies could help mitigate these upfront costs and reduce the financial risk associated with the first year of production. One of the most impactful mitigation strategies is to phase component purchasing rather than buying all materials upfront. Because 3D printing allows on-demand manufacturing, we can purchase electronics in smaller batches rather than committing to full-volume inventory immediately. Additionally, we can reduce early labor and marketing expenses by making greater use of in-house content creation, social media outreach, and unpaid beta testing partnerships with local shops. Early customers could also be offered a discounted “Founders Edition” in exchange for feedback, providing early cash flow to offset production costs. Another mitigation approach is to delay certain legal filings, such as design patents, until after the product is in a stronger market position, lowering early legal expenses. </w:t>
      </w:r>
    </w:p>
    <w:p w:rsidR="3CC378EE" w:rsidP="3EB595F9" w:rsidRDefault="3CC378EE" w14:paraId="7E20C3EE" w14:textId="44F867F2">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EB595F9" w:rsidR="3EB595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Smart Toolbox has strong future revenue potential due to a growing demand for organization, tool tracking, and security solutions across industrial and professional environments. The immediate accessible market </w:t>
      </w:r>
      <w:r w:rsidRPr="3EB595F9" w:rsidR="3EB595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includes</w:t>
      </w:r>
      <w:r w:rsidRPr="3EB595F9" w:rsidR="3EB595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manufacturing facilities and machine shops but has the potential to expand into HVAC and electrical contractors, engineering labs, school fabrication spaces, and hos</w:t>
      </w:r>
      <w:r w:rsidRPr="3EB595F9" w:rsidR="3EB595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pitals. Even if we capture only small penetration into these segments, the potential customer base within the United States exceeds 500,000 professional technicians. With a hardware price of $350 and a mandatory $25/month subscription, the long-term revenue opportunity combines both product sales and recurring cloud-based income. For example, selling just 1,000 units in future years would generate $350,000 in hardware revenue plus $300,000 annually in subscription revenue, leading to a strong multi-year profitability model. The subscription </w:t>
      </w:r>
      <w:r w:rsidRPr="3EB595F9" w:rsidR="3EB595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w:t>
      </w:r>
      <w:r w:rsidRPr="3EB595F9" w:rsidR="3EB595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omponent</w:t>
      </w:r>
      <w:r w:rsidRPr="3EB595F9" w:rsidR="3EB595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EB595F9" w:rsidR="3EB595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w:t>
      </w:r>
      <w:r w:rsidRPr="3EB595F9" w:rsidR="3EB595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 particular creates</w:t>
      </w:r>
      <w:r w:rsidRPr="3EB595F9" w:rsidR="3EB595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EB595F9" w:rsidR="3EB595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stable, predictable cash flow that grows with each new device sold. As production scales and we transition from 3D printing to injection molding, unit costs will </w:t>
      </w:r>
      <w:r w:rsidRPr="3EB595F9" w:rsidR="3EB595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w:t>
      </w:r>
      <w:r w:rsidRPr="3EB595F9" w:rsidR="3EB595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all substantially, allowing</w:t>
      </w:r>
      <w:r w:rsidRPr="3EB595F9" w:rsidR="3EB595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EB595F9" w:rsidR="3EB595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margins to expand and enabling the Smart Toolbox to become a scalable and competitive product in a large and rapidly growing market.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94FB06"/>
    <w:rsid w:val="1F94FB06"/>
    <w:rsid w:val="3CC378EE"/>
    <w:rsid w:val="3EB59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24DBE"/>
  <w15:chartTrackingRefBased/>
  <w15:docId w15:val="{570CE63C-C4A9-402F-AB76-B9A04152909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3CC378EE"/>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qFormat/>
    <w:rsid w:val="3CC378EE"/>
    <w:rPr>
      <w:rFonts w:eastAsia="" w:cs="" w:eastAsiaTheme="majorEastAsia" w:cstheme="majorBidi"/>
      <w:color w:val="595959" w:themeColor="text1" w:themeTint="A6" w:themeShade="FF"/>
      <w:sz w:val="28"/>
      <w:szCs w:val="28"/>
    </w:rPr>
  </w:style>
  <w:style w:type="paragraph" w:styleId="Heading2">
    <w:uiPriority w:val="9"/>
    <w:name w:val="heading 2"/>
    <w:basedOn w:val="Normal"/>
    <w:next w:val="Normal"/>
    <w:unhideWhenUsed/>
    <w:qFormat/>
    <w:rsid w:val="3CC378E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2642209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2025-12-09T15:25:53.7342309Z</dcterms:created>
  <dcterms:modified xsi:type="dcterms:W3CDTF">2025-12-09T15:34:05.3869019Z</dcterms:modified>
  <dc:creator>Walter Blackman</dc:creator>
  <lastModifiedBy>Walter Blackman</lastModifiedBy>
</coreProperties>
</file>