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Articletitle"/>
        <w:spacing w:line="480" w:lineRule="auto"/>
        <w:rPr>
          <w:sz w:val="24"/>
        </w:rPr>
      </w:pPr>
      <w:bookmarkStart w:id="0" w:name="_GoBack"/>
      <w:bookmarkEnd w:id="0"/>
    </w:p>
    <w:p>
      <w:pPr>
        <w:spacing w:line="480" w:lineRule="auto"/>
        <w:rPr>
          <w:rFonts w:ascii="Times New Roman" w:hAnsi="Times New Roman" w:cs="Times New Roman"/>
          <w:sz w:val="24"/>
          <w:szCs w:val="24"/>
        </w:rPr>
      </w:pPr>
    </w:p>
    <w:p>
      <w:pPr>
        <w:pStyle w:val="Articletitle"/>
        <w:spacing w:line="480" w:lineRule="auto"/>
        <w:jc w:val="center"/>
        <w:rPr>
          <w:b w:val="0"/>
          <w:sz w:val="24"/>
        </w:rPr>
      </w:pPr>
      <w:r>
        <w:rPr>
          <w:b w:val="0"/>
          <w:sz w:val="24"/>
        </w:rPr>
        <w:t>Nudge: Concept, Effectiveness, and Ethics</w:t>
      </w:r>
    </w:p>
    <w:p>
      <w:pPr>
        <w:pStyle w:val="Authornames"/>
        <w:spacing w:line="480" w:lineRule="auto"/>
        <w:jc w:val="center"/>
        <w:rPr>
          <w:sz w:val="24"/>
          <w:vertAlign w:val="superscript"/>
        </w:rPr>
      </w:pPr>
      <w:r>
        <w:rPr>
          <w:sz w:val="24"/>
        </w:rPr>
        <w:t>Yiling Lin,</w:t>
      </w:r>
      <w:r>
        <w:rPr>
          <w:sz w:val="24"/>
          <w:vertAlign w:val="superscript"/>
        </w:rPr>
        <w:t>a</w:t>
      </w:r>
      <w:r>
        <w:rPr>
          <w:sz w:val="24"/>
        </w:rPr>
        <w:t xml:space="preserve"> Magda Osman,</w:t>
      </w:r>
      <w:r>
        <w:rPr>
          <w:sz w:val="24"/>
          <w:vertAlign w:val="superscript"/>
        </w:rPr>
        <w:t>b</w:t>
      </w:r>
      <w:r>
        <w:rPr>
          <w:sz w:val="24"/>
        </w:rPr>
        <w:t xml:space="preserve"> and Richard Ashcroft</w:t>
      </w:r>
      <w:r>
        <w:rPr>
          <w:sz w:val="24"/>
          <w:vertAlign w:val="superscript"/>
        </w:rPr>
        <w:t>c</w:t>
      </w:r>
    </w:p>
    <w:p>
      <w:pPr>
        <w:pStyle w:val="Affiliation"/>
        <w:spacing w:line="480" w:lineRule="auto"/>
      </w:pPr>
      <w:r>
        <w:rPr>
          <w:vertAlign w:val="superscript"/>
        </w:rPr>
        <w:t xml:space="preserve">a </w:t>
      </w:r>
      <w:r>
        <w:t xml:space="preserve">Psychology Dept. School of Biological and Chemical Science, Queen Mary University of London, London, E1 4NS, UK; </w:t>
      </w:r>
    </w:p>
    <w:p>
      <w:pPr>
        <w:pStyle w:val="Affiliation"/>
        <w:spacing w:line="480" w:lineRule="auto"/>
      </w:pPr>
      <w:r>
        <w:rPr>
          <w:vertAlign w:val="superscript"/>
        </w:rPr>
        <w:t>b</w:t>
      </w:r>
      <w:r>
        <w:t xml:space="preserve"> Psychology Dept. School of Biological and Chemical Science, Queen Mary University of London, London, E1 4NS, UK; </w:t>
      </w:r>
    </w:p>
    <w:p>
      <w:pPr>
        <w:pStyle w:val="Affiliation"/>
        <w:spacing w:line="480" w:lineRule="auto"/>
      </w:pPr>
      <w:r>
        <w:rPr>
          <w:vertAlign w:val="superscript"/>
        </w:rPr>
        <w:t>c</w:t>
      </w:r>
      <w:r>
        <w:t xml:space="preserve">School of Law, Queen Mary University of London, London, E1 4NS, UK; </w:t>
      </w:r>
    </w:p>
    <w:p>
      <w:pPr>
        <w:pStyle w:val="Affiliation"/>
        <w:spacing w:line="480" w:lineRule="auto"/>
      </w:pPr>
    </w:p>
    <w:p>
      <w:pPr>
        <w:pStyle w:val="Affiliation"/>
        <w:spacing w:line="480" w:lineRule="auto"/>
      </w:pPr>
    </w:p>
    <w:p>
      <w:pPr>
        <w:pStyle w:val="Affiliation"/>
        <w:spacing w:line="480" w:lineRule="auto"/>
      </w:pPr>
    </w:p>
    <w:p>
      <w:pPr>
        <w:spacing w:line="480" w:lineRule="auto"/>
        <w:jc w:val="both"/>
        <w:rPr>
          <w:rFonts w:ascii="Times New Roman" w:hAnsi="Times New Roman" w:cs="Times New Roman"/>
          <w:color w:val="000000" w:themeColor="text1"/>
          <w:sz w:val="24"/>
          <w:szCs w:val="24"/>
        </w:rPr>
      </w:pPr>
    </w:p>
    <w:p>
      <w:pPr>
        <w:spacing w:line="48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Correspondence concerning this article should be addressed to Magda Osman, School of Biological and Chemical Science, Queen Mary University of London, Mile End Rd, London, E1 4NS. E-mail: </w:t>
      </w:r>
      <w:hyperlink r:id="rId8" w:history="1">
        <w:r>
          <w:rPr>
            <w:rStyle w:val="Hyperlink"/>
            <w:rFonts w:ascii="Times New Roman" w:hAnsi="Times New Roman" w:cs="Times New Roman"/>
            <w:color w:val="000000" w:themeColor="text1"/>
            <w:sz w:val="24"/>
            <w:szCs w:val="24"/>
          </w:rPr>
          <w:t>m.osman@qmul.ac.uk</w:t>
        </w:r>
      </w:hyperlink>
      <w:r>
        <w:rPr>
          <w:rFonts w:ascii="Times New Roman" w:hAnsi="Times New Roman" w:cs="Times New Roman"/>
          <w:color w:val="000000" w:themeColor="text1"/>
          <w:sz w:val="24"/>
          <w:szCs w:val="24"/>
        </w:rPr>
        <w:t>.</w:t>
      </w:r>
    </w:p>
    <w:p>
      <w:pPr>
        <w:spacing w:line="480" w:lineRule="auto"/>
        <w:rPr>
          <w:rFonts w:ascii="Times New Roman" w:hAnsi="Times New Roman" w:cs="Times New Roman"/>
          <w:sz w:val="24"/>
          <w:szCs w:val="24"/>
        </w:rPr>
      </w:pPr>
    </w:p>
    <w:p>
      <w:pPr>
        <w:spacing w:line="480" w:lineRule="auto"/>
        <w:rPr>
          <w:rFonts w:ascii="Times New Roman" w:eastAsia="Source Sans Pro" w:hAnsi="Times New Roman" w:cs="Times New Roman"/>
          <w:sz w:val="24"/>
          <w:szCs w:val="24"/>
        </w:rPr>
      </w:pPr>
    </w:p>
    <w:p>
      <w:pPr>
        <w:spacing w:line="480" w:lineRule="auto"/>
        <w:rPr>
          <w:rFonts w:ascii="Times New Roman" w:hAnsi="Times New Roman" w:cs="Times New Roman"/>
          <w:sz w:val="24"/>
          <w:szCs w:val="24"/>
        </w:rPr>
      </w:pPr>
    </w:p>
    <w:p>
      <w:pPr>
        <w:spacing w:line="480" w:lineRule="auto"/>
        <w:rPr>
          <w:rFonts w:ascii="Times New Roman" w:hAnsi="Times New Roman" w:cs="Times New Roman"/>
          <w:sz w:val="24"/>
          <w:szCs w:val="24"/>
        </w:rPr>
      </w:pPr>
    </w:p>
    <w:p>
      <w:pPr>
        <w:pStyle w:val="Heading1"/>
        <w:spacing w:line="480" w:lineRule="auto"/>
        <w:jc w:val="center"/>
        <w:rPr>
          <w:rFonts w:cs="Times New Roman"/>
          <w:b w:val="0"/>
          <w:szCs w:val="24"/>
        </w:rPr>
      </w:pPr>
      <w:r>
        <w:rPr>
          <w:rFonts w:cs="Times New Roman"/>
          <w:b w:val="0"/>
          <w:szCs w:val="24"/>
        </w:rPr>
        <w:lastRenderedPageBreak/>
        <w:t>Abstract</w:t>
      </w:r>
    </w:p>
    <w:p>
      <w:pPr>
        <w:pStyle w:val="Abstract"/>
        <w:spacing w:line="480" w:lineRule="auto"/>
        <w:ind w:left="0" w:right="95"/>
        <w:contextualSpacing/>
        <w:jc w:val="both"/>
        <w:rPr>
          <w:sz w:val="24"/>
        </w:rPr>
      </w:pPr>
      <w:r>
        <w:rPr>
          <w:sz w:val="24"/>
        </w:rPr>
        <w:t>Nudges are psychologically informed tools designed to promote behavioral change in order to improve health, wealth, and wellbeing. In this review article we focus on three areas of concern: Theory, Evidence base, Ethics. We begin by discussing the problems arising from the theoretical framework that nudges are based on, and propose an alternative framework which is used to help classify nudges into two types (Type 1 and Type 2). The review then evaluates evidence of the application of nudges in the health domain, and draws attention to critical empirical issues (internal and external reliability) which explains the limited evidence base for their effectiveness. We then end the discussion by examining the implications of the theoretical and empirical issues we discuss with respect to current debates regarding the ethics of nudge.</w:t>
      </w:r>
    </w:p>
    <w:p>
      <w:pPr>
        <w:spacing w:line="480" w:lineRule="auto"/>
        <w:ind w:left="720"/>
        <w:contextualSpacing/>
        <w:jc w:val="both"/>
        <w:rPr>
          <w:rFonts w:ascii="Times New Roman" w:hAnsi="Times New Roman" w:cs="Times New Roman"/>
          <w:sz w:val="24"/>
          <w:szCs w:val="24"/>
        </w:rPr>
      </w:pPr>
      <w:r>
        <w:rPr>
          <w:rFonts w:ascii="Times New Roman" w:hAnsi="Times New Roman" w:cs="Times New Roman"/>
          <w:i/>
          <w:sz w:val="24"/>
          <w:szCs w:val="24"/>
        </w:rPr>
        <w:t>Keywords:</w:t>
      </w:r>
      <w:r>
        <w:rPr>
          <w:rFonts w:ascii="Times New Roman" w:hAnsi="Times New Roman" w:cs="Times New Roman"/>
          <w:sz w:val="24"/>
          <w:szCs w:val="24"/>
        </w:rPr>
        <w:t xml:space="preserve"> Nudge, Behavioral interventions, Dual-system frameworks, Health and wellbeing, Ethics</w:t>
      </w:r>
    </w:p>
    <w:p>
      <w:pPr>
        <w:spacing w:line="48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 </w:t>
      </w:r>
    </w:p>
    <w:p>
      <w:pPr>
        <w:spacing w:line="480" w:lineRule="auto"/>
        <w:contextualSpacing/>
        <w:jc w:val="both"/>
        <w:rPr>
          <w:rFonts w:ascii="Times New Roman" w:hAnsi="Times New Roman" w:cs="Times New Roman"/>
          <w:sz w:val="24"/>
          <w:szCs w:val="24"/>
        </w:rPr>
      </w:pPr>
    </w:p>
    <w:p>
      <w:pPr>
        <w:spacing w:line="480" w:lineRule="auto"/>
        <w:contextualSpacing/>
        <w:jc w:val="both"/>
        <w:rPr>
          <w:rFonts w:ascii="Times New Roman" w:hAnsi="Times New Roman" w:cs="Times New Roman"/>
          <w:sz w:val="24"/>
          <w:szCs w:val="24"/>
        </w:rPr>
      </w:pPr>
    </w:p>
    <w:p>
      <w:pPr>
        <w:spacing w:line="480" w:lineRule="auto"/>
        <w:contextualSpacing/>
        <w:jc w:val="both"/>
        <w:rPr>
          <w:rFonts w:ascii="Times New Roman" w:hAnsi="Times New Roman" w:cs="Times New Roman"/>
          <w:sz w:val="24"/>
          <w:szCs w:val="24"/>
        </w:rPr>
      </w:pPr>
    </w:p>
    <w:p>
      <w:pPr>
        <w:spacing w:line="480" w:lineRule="auto"/>
        <w:contextualSpacing/>
        <w:jc w:val="both"/>
        <w:rPr>
          <w:rFonts w:ascii="Times New Roman" w:hAnsi="Times New Roman" w:cs="Times New Roman"/>
          <w:sz w:val="24"/>
          <w:szCs w:val="24"/>
        </w:rPr>
      </w:pPr>
    </w:p>
    <w:p>
      <w:pPr>
        <w:spacing w:line="480" w:lineRule="auto"/>
        <w:contextualSpacing/>
        <w:jc w:val="both"/>
        <w:rPr>
          <w:rFonts w:ascii="Times New Roman" w:hAnsi="Times New Roman" w:cs="Times New Roman"/>
          <w:sz w:val="24"/>
          <w:szCs w:val="24"/>
        </w:rPr>
      </w:pPr>
    </w:p>
    <w:p>
      <w:pPr>
        <w:spacing w:line="480" w:lineRule="auto"/>
        <w:contextualSpacing/>
        <w:jc w:val="both"/>
        <w:rPr>
          <w:rFonts w:ascii="Times New Roman" w:hAnsi="Times New Roman" w:cs="Times New Roman"/>
          <w:sz w:val="24"/>
          <w:szCs w:val="24"/>
        </w:rPr>
      </w:pPr>
    </w:p>
    <w:p>
      <w:pPr>
        <w:spacing w:line="480" w:lineRule="auto"/>
        <w:contextualSpacing/>
        <w:jc w:val="both"/>
        <w:rPr>
          <w:rFonts w:ascii="Times New Roman" w:hAnsi="Times New Roman" w:cs="Times New Roman"/>
          <w:sz w:val="24"/>
          <w:szCs w:val="24"/>
        </w:rPr>
      </w:pPr>
    </w:p>
    <w:p>
      <w:pPr>
        <w:spacing w:line="480" w:lineRule="auto"/>
        <w:contextualSpacing/>
        <w:jc w:val="both"/>
        <w:rPr>
          <w:rFonts w:ascii="Times New Roman" w:hAnsi="Times New Roman" w:cs="Times New Roman"/>
          <w:sz w:val="24"/>
          <w:szCs w:val="24"/>
        </w:rPr>
      </w:pPr>
    </w:p>
    <w:p>
      <w:pPr>
        <w:spacing w:line="480" w:lineRule="auto"/>
        <w:rPr>
          <w:rFonts w:ascii="Times New Roman" w:hAnsi="Times New Roman" w:cs="Times New Roman"/>
          <w:sz w:val="24"/>
          <w:szCs w:val="24"/>
        </w:rPr>
      </w:pPr>
    </w:p>
    <w:p>
      <w:pPr>
        <w:spacing w:line="480" w:lineRule="auto"/>
        <w:rPr>
          <w:rFonts w:ascii="Times New Roman" w:hAnsi="Times New Roman" w:cs="Times New Roman"/>
          <w:sz w:val="24"/>
          <w:szCs w:val="24"/>
        </w:rPr>
      </w:pPr>
    </w:p>
    <w:p>
      <w:pPr>
        <w:pStyle w:val="Articletitle"/>
        <w:spacing w:line="480" w:lineRule="auto"/>
        <w:jc w:val="center"/>
        <w:rPr>
          <w:b w:val="0"/>
          <w:sz w:val="24"/>
        </w:rPr>
      </w:pPr>
      <w:r>
        <w:rPr>
          <w:b w:val="0"/>
          <w:sz w:val="24"/>
        </w:rPr>
        <w:lastRenderedPageBreak/>
        <w:t>Nudge: Concept, Effectiveness, and Ethics</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Non-communicable diseases (NCDs) principally heart diseases, stroke, cancer, diabetes, and chronic lung diseases, are responsible for almost 70% of global deaths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"URL" : "http://www.who.int/ncds/introduction/en/", "accessed" : { "date-parts" : [ [ "2017", "3", "2" ] ] }, "author" : [ { "dropping-particle" : "", "family" : "WHO", "given" : "", "non-dropping-particle" : "", "parse-names" : false, "suffix" : "" } ], "id" : "ITEM-1", "issued" : { "date-parts" : [ [ "2017" ] ] }, "publisher" : "World Health Organization", "title" : "NCDs | Noncommunicable diseases and their risk factors", "type" : "webpage" }, "uris" : [ "http://www.mendeley.com/documents/?uuid=92875e24-606f-3798-a206-a9769a4710af" ] } ], "mendeley" : { "formattedCitation" : "(WHO, 2017a)", "plainTextFormattedCitation" : "(WHO, 2017a)", "previouslyFormattedCitation" : "(WHO, 2017a)"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(WHO, 2017a)</w:t>
      </w:r>
      <w:r>
        <w:rPr>
          <w:rFonts w:ascii="Times New Roman" w:hAnsi="Times New Roman" w:cs="Times New Roman"/>
          <w:sz w:val="24"/>
          <w:szCs w:val="24"/>
        </w:rPr>
        <w:fldChar w:fldCharType="end"/>
      </w:r>
      <w:r>
        <w:rPr>
          <w:rFonts w:ascii="Times New Roman" w:hAnsi="Times New Roman" w:cs="Times New Roman"/>
          <w:sz w:val="24"/>
          <w:szCs w:val="24"/>
        </w:rPr>
        <w:t xml:space="preserve">. However, most NCDs can be reduced by targeting four main risk factors: tobacco use, physical inactivity, harmful use of alcohol, and an unhealthy diet. These factors are speculated, by some, to have a common cause, which is poor health choices resulting from our psychology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"0300146817", "abstract" : "style=\"MARGIN: 0in 0in 0pt\"&gt;A groundbreaking discussion of how we can apply the new science of choice architecture to nudge people toward decisions that will improve their lives by making them healthier, wealthier, and more free", "author" : [ { "dropping-particle" : "", "family" : "Thaler", "given" : "Richard H.", "non-dropping-particle" : "", "parse-names" : false, "suffix" : "" }, { "dropping-particle" : "", "family" : "Sunstein", "given" : "C. R.", "non-dropping-particle" : "", "parse-names" : false, "suffix" : "" } ], "id" : "ITEM-1", "issued" : { "date-parts" : [ [ "2008" ] ] }, "number-of-pages" : "293", "publisher" : "Yale University Press", "publisher-place" : "New Haven", "title" : "Nudge: Improving Decisions about Health, Wealth, and Happiness", "type" : "book" }, "uris" : [ "http://www.mendeley.com/documents/?uuid=c441f339-9711-4f66-9a29-dd13dbb39baf" ] } ], "mendeley" : { "formattedCitation" : "(Thaler &amp; Sunstein, 2008)", "plainTextFormattedCitation" : "(Thaler &amp; Sunstein, 2008)", "previouslyFormattedCitation" : "(Thaler &amp; Sunstein, 2008)"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(Thaler &amp; Sunstein, 2008)</w:t>
      </w:r>
      <w:r>
        <w:rPr>
          <w:rFonts w:ascii="Times New Roman" w:hAnsi="Times New Roman" w:cs="Times New Roman"/>
          <w:sz w:val="24"/>
          <w:szCs w:val="24"/>
        </w:rPr>
        <w:fldChar w:fldCharType="end"/>
      </w:r>
      <w:r>
        <w:rPr>
          <w:rFonts w:ascii="Times New Roman" w:hAnsi="Times New Roman" w:cs="Times New Roman"/>
          <w:sz w:val="24"/>
          <w:szCs w:val="24"/>
        </w:rPr>
        <w:t xml:space="preserve">. That is, we make choices in our day to day lives based on heuristics (such as anchoring, availability, representativeness), and biases (optimism, overconfidence, status quo) that drive poor lifestyle choices. Thus, based on this speculation, a potential way of targeting NCDs is to identify the psychological factors that contribute to poor health choices and use behavioral interventions to exploit social scientific research on human behavior: “Nudges”.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A nudge is “any aspect of the choice architecture that alters people’s behavior in a predictable way without forbidding any options or significantly changing their economic incentives”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"0300146817", "abstract" : "style=\"MARGIN: 0in 0in 0pt\"&gt;A groundbreaking discussion of how we can apply the new science of choice architecture to nudge people toward decisions that will improve their lives by making them healthier, wealthier, and more free", "author" : [ { "dropping-particle" : "", "family" : "Thaler", "given" : "Richard H.", "non-dropping-particle" : "", "parse-names" : false, "suffix" : "" }, { "dropping-particle" : "", "family" : "Sunstein", "given" : "C. R.", "non-dropping-particle" : "", "parse-names" : false, "suffix" : "" } ], "id" : "ITEM-1", "issued" : { "date-parts" : [ [ "2008" ] ] }, "number-of-pages" : "293", "publisher" : "Yale University Press", "publisher-place" : "New Haven", "title" : "Nudge: Improving Decisions about Health, Wealth, and Happiness", "type" : "book" }, "uris" : [ "http://www.mendeley.com/documents/?uuid=c441f339-9711-4f66-9a29-dd13dbb39baf" ] } ], "mendeley" : { "formattedCitation" : "(Thaler &amp; Sunstein, 2008)", "manualFormatting" : "(Thaler &amp; Sunstein, 2008, p6)", "plainTextFormattedCitation" : "(Thaler &amp; Sunstein, 2008)", "previouslyFormattedCitation" : "(Thaler &amp; Sunstein, 2008)"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(Thaler &amp; Sunstein, 2008, p6)</w:t>
      </w:r>
      <w:r>
        <w:rPr>
          <w:rFonts w:ascii="Times New Roman" w:hAnsi="Times New Roman" w:cs="Times New Roman"/>
          <w:sz w:val="24"/>
          <w:szCs w:val="24"/>
        </w:rPr>
        <w:fldChar w:fldCharType="end"/>
      </w:r>
      <w:r>
        <w:rPr>
          <w:rFonts w:ascii="Times New Roman" w:hAnsi="Times New Roman" w:cs="Times New Roman"/>
          <w:sz w:val="24"/>
          <w:szCs w:val="24"/>
        </w:rPr>
        <w:t xml:space="preserve">. Nudges influences choice behavior in a variety of ways that include: 1) provision of information (e.g. leaflets about the benefits of climbing stairs), 2) correcting misapprehensions about social norms (e.g. informing individuals of peer group behavior such as statistics of average alcohol intake), 3) altering the profiles of different choices (e.g., making healthy food appear more prominent in the canteen), 4) implementing default options (e.g. changing an organ donation legislative system from opt-in to opt-out)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"10.1136/bmj.d401", "ISBN" : "1756-1833 (Electronic)\\r0959-535X (Linking)", "ISSN" : "0959-8138", "PMID" : "21266442", "abstract" : "Why nudging might make for muddled public health and wasted resources", "author" : [ { "dropping-particle" : "", "family" : "Bonell", "given" : "Chris", "non-dropping-particle" : "", "parse-names" : false, "suffix" : "" }, { "dropping-particle" : "", "family" : "McKee", "given" : "Martin", "non-dropping-particle" : "", "parse-names" : false, "suffix" : "" }, { "dropping-particle" : "", "family" : "Fletcher", "given" : "Adam", "non-dropping-particle" : "", "parse-names" : false, "suffix" : "" }, { "dropping-particle" : "", "family" : "Wilkinson", "given" : "Paul", "non-dropping-particle" : "", "parse-names" : false, "suffix" : "" }, { "dropping-particle" : "", "family" : "Haines", "given" : "Andy", "non-dropping-particle" : "", "parse-names" : false, "suffix" : "" } ], "container-title" : "BMJ", "id" : "ITEM-1", "issued" : { "date-parts" : [ [ "2011", "1", "25" ] ] }, "page" : "d401-d401", "title" : "One nudge forward, two steps back", "type" : "article-journal", "volume" : "342" }, "uris" : [ "http://www.mendeley.com/documents/?uuid=5017eac6-1a2d-4538-929a-69327fcb308e" ] } ], "mendeley" : { "formattedCitation" : "(Bonell, McKee, Fletcher, Wilkinson, &amp; Haines, 2011)", "plainTextFormattedCitation" : "(Bonell, McKee, Fletcher, Wilkinson, &amp; Haines, 2011)", "previouslyFormattedCitation" : "(Bonell, McKee, Fletcher, Wilkinson, &amp; Haines, 2011)"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(Bonell, McKee, Fletcher, Wilkinson, &amp; Haines, 2011)</w:t>
      </w:r>
      <w:r>
        <w:rPr>
          <w:rFonts w:ascii="Times New Roman" w:hAnsi="Times New Roman" w:cs="Times New Roman"/>
          <w:sz w:val="24"/>
          <w:szCs w:val="24"/>
        </w:rPr>
        <w:fldChar w:fldCharType="end"/>
      </w:r>
      <w:r>
        <w:rPr>
          <w:rFonts w:ascii="Times New Roman" w:hAnsi="Times New Roman" w:cs="Times New Roman"/>
          <w:sz w:val="24"/>
          <w:szCs w:val="24"/>
        </w:rPr>
        <w:t>. The guiding principle behind these examples is to make the “better” option more convenient or salient for the decision-maker to select; this option is better because it maximizes future health, wealth, and wellbeing.</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The views on the use of nudges in the health domain range from those praising their potential benefits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"10.1111/j.1467-9256.2012.01450.x", "ISSN" : "02633957", "author" : [ { "dropping-particle" : "", "family" : "Mills", "given" : "Chris", "non-dropping-particle" : "", "parse-names" : false, "suffix" : "" } ], "container-title" : "Politics", "id" : "ITEM-1", "issue" : "1", "issued" : { "date-parts" : [ [ "2013", "2", "1" ] ] }, "page" : "28-36", "title" : "Why nudges matter: a reply to Goodwin", "type" : "article-journal", "volume" : "33" }, "uris" : [ "http://www.mendeley.com/documents/?uuid=26da351d-6954-45a8-8f64-83f4e156a348" ] }, { "id" : "ITEM-2", "itemData" : { "DOI" : "10.1136/medethics-2012-100727", "ISBN" : "1473-4257 (Electronic)\\r0306-6800 (Linking)", "ISSN" : "0306-6800", "PMID" : "23427215", "abstract" : "In recent years, 'nudge' theory has gained increasing attention for the design of population-wide health interventions. The concept of nudge puts a label on efficacious influences that preserve freedom of choice without engaging the influencees' deliberative capacities. Given disagreements over what it takes genuinely to preserve freedom of choice, the question is whether health influences relying on automatic cognitive processes may preserve freedom of choice in a sufficiently robust sense to be serviceable for the moral evaluation of actions and policies. In this article, I offer an argument to this effect, explicating preservation of freedom of choice in terms of choice-set preservation and noncontrol. I also briefly explore the healthcare contexts in which nudges may have priority over more controlling influences.", "author" : [ { "dropping-particle" : "", "family" : "Saghai", "given" : "Yashar", "non-dropping-particle" : "", "parse-names" : false, "suffix" : "" } ], "container-title" : "Journal of Medical Ethics", "id" : "ITEM-2", "issue" : "8", "issued" : { "date-parts" : [ [ "2013", "8", "1" ] ] }, "page" : "487-493", "title" : "Salvaging the concept of nudge", "type" : "article-journal", "volume" : "39" }, "uris" : [ "http://www.mendeley.com/documents/?uuid=fb0f9bf1-109e-4e14-ad21-4c316fd8e869" ] }, { "id" : "ITEM-3", "itemData" : { "DOI" : "10.1007/s13164-015-0266-z", "ISSN" : "1878-5158", "author" : [ { "dropping-particle" : "", "family" : "Sunstein", "given" : "C. R.", "non-dropping-particle" : "", "parse-names" : false, "suffix" : "" } ], "container-title" : "Review of Philosophy and Psychology", "id" : "ITEM-3", "issue" : "3", "issued" : { "date-parts" : [ [ "2015", "9", "21" ] ] }, "page" : "511-529", "title" : "Nudges, Agency, and Abstraction: A Reply to Critics", "type" : "article-journal", "volume" : "6" }, "uris" : [ "http://www.mendeley.com/documents/?uuid=0958b42a-8729-4701-89e7-6cac947cfc9b" ] } ], "mendeley" : { "formattedCitation" : "(Mills, 2013; Saghai, 2013; Sunstein, 2015)", "plainTextFormattedCitation" : "(Mills, 2013; Saghai, 2013; Sunstein, 2015)", "previouslyFormattedCitation" : "(Mills, 2013; Saghai, 2013; Sunstein, 2015)"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(Mills, 2013; Saghai, 2013; Sunstein, 2015)</w:t>
      </w:r>
      <w:r>
        <w:rPr>
          <w:rFonts w:ascii="Times New Roman" w:hAnsi="Times New Roman" w:cs="Times New Roman"/>
          <w:sz w:val="24"/>
          <w:szCs w:val="24"/>
        </w:rPr>
        <w:fldChar w:fldCharType="end"/>
      </w:r>
      <w:r>
        <w:rPr>
          <w:rFonts w:ascii="Times New Roman" w:hAnsi="Times New Roman" w:cs="Times New Roman"/>
          <w:sz w:val="24"/>
          <w:szCs w:val="24"/>
        </w:rPr>
        <w:t xml:space="preserve">, to those that raise doubts as to </w:t>
      </w:r>
      <w:r>
        <w:rPr>
          <w:rFonts w:ascii="Times New Roman" w:hAnsi="Times New Roman" w:cs="Times New Roman"/>
          <w:sz w:val="24"/>
          <w:szCs w:val="24"/>
        </w:rPr>
        <w:lastRenderedPageBreak/>
        <w:t xml:space="preserve">how they are used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"Goodwin", "given" : "T.", "non-dropping-particle" : "", "parse-names" : false, "suffix" : "" } ], "container-title" : "Politics", "id" : "ITEM-1", "issue" : "2", "issued" : { "date-parts" : [ [ "2012" ] ] }, "page" : "85-92", "title" : "Why we should reject 'nudge'", "type" : "article-journal", "volume" : "32" }, "uris" : [ "http://www.mendeley.com/documents/?uuid=226f8120-21a9-47a6-b54c-9e5fa324160e" ] }, { "id" : "ITEM-2", "itemData" : { "DOI" : "10.1111/1475-6765.12073", "ISSN" : "03044130", "author" : [ { "dropping-particle" : "", "family" : "Mols", "given" : "Frank", "non-dropping-particle" : "", "parse-names" : false, "suffix" : "" }, { "dropping-particle" : "", "family" : "Haslam", "given" : "S. Alexander", "non-dropping-particle" : "", "parse-names" : false, "suffix" : "" }, { "dropping-particle" : "", "family" : "Jetten", "given" : "Jolanda", "non-dropping-particle" : "", "parse-names" : false, "suffix" : "" }, { "dropping-particle" : "", "family" : "Steffens", "given" : "Niklas K.", "non-dropping-particle" : "", "parse-names" : false, "suffix" : "" } ], "container-title" : "European Journal of Political Research", "id" : "ITEM-2", "issue" : "1", "issued" : { "date-parts" : [ [ "2015", "2", "21" ] ] }, "page" : "195", "title" : "Why a nudge is not enough: A social identity critique of governance by stealth", "type" : "article-journal", "volume" : "54" }, "uris" : [ "http://www.mendeley.com/documents/?uuid=19f264b1-17b7-4ca0-8838-3d46e1a75720" ] }, { "id" : "ITEM-3", "itemData" : { "ISSN" : "2269-8450", "abstract" : "1. Nudge: The Pitch Suppose that a government\u2019s social policy agenda is to promote a healthier, wealthier, and happier population. The problem is that our psychological makeup means that we find it hard to behave in ways that consistently meet these objectives. Over half a century, a steady accumulation of social scientific research shows that people are susceptible to cognitive biases, that they fail to exercise self-control when it really matters, give in to their emotions too easily, and m...", "author" : [ { "dropping-particle" : "", "family" : "Osman", "given" : "Magda", "non-dropping-particle" : "", "parse-names" : false, "suffix" : "" } ], "container-title" : "\u0152conomia. History, Methodology, Philosophy", "id" : "ITEM-3", "issue" : "6-4", "issued" : { "date-parts" : [ [ "2016" ] ] }, "page" : "557-570", "publisher" : "Association \u0152conomia", "title" : "Nudge: How Far Have We Come?", "type" : "article-journal" }, "uris" : [ "http://www.mendeley.com/documents/?uuid=a2a8b5dc-00ad-37f4-8dd9-ef60a0f09da3" ] }, { "id" : "ITEM-4", "itemData" : { "author" : [ { "dropping-particle" : "", "family" : "Selinger", "given" : "E.", "non-dropping-particle" : "", "parse-names" : false, "suffix" : "" }, { "dropping-particle" : "", "family" : "Whyte", "given" : "K. P.", "non-dropping-particle" : "", "parse-names" : false, "suffix" : "" } ], "container-title" : "Europrean Journal of Risk Regulation", "id" : "ITEM-4", "issue" : "1", "issued" : { "date-parts" : [ [ "2012" ] ] }, "page" : "26-31", "title" : "Nudging cannot solve complex policy problems", "type" : "article-journal", "volume" : "3" }, "uris" : [ "http://www.mendeley.com/documents/?uuid=abffa070-2bc5-4ef8-97b2-0349fb042e0b" ] } ], "mendeley" : { "formattedCitation" : "(Goodwin, 2012; Mols, Haslam, Jetten, &amp; Steffens, 2015; Osman, 2016; Selinger &amp; Whyte, 2012)", "plainTextFormattedCitation" : "(Goodwin, 2012; Mols, Haslam, Jetten, &amp; Steffens, 2015; Osman, 2016; Selinger &amp; Whyte, 2012)", "previouslyFormattedCitation" : "(Goodwin, 2012; Mols, Haslam, Jetten, &amp; Steffens, 2015; Osman, 2016; Selinger &amp; Whyte, 2012)"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(Goodwin, 2012; Mols, Haslam, Jetten, &amp; Steffens, 2015; Osman, 2016; Selinger &amp; Whyte, 2012)</w:t>
      </w:r>
      <w:r>
        <w:rPr>
          <w:rFonts w:ascii="Times New Roman" w:hAnsi="Times New Roman" w:cs="Times New Roman"/>
          <w:sz w:val="24"/>
          <w:szCs w:val="24"/>
        </w:rPr>
        <w:fldChar w:fldCharType="end"/>
      </w:r>
      <w:r>
        <w:rPr>
          <w:rFonts w:ascii="Times New Roman" w:hAnsi="Times New Roman" w:cs="Times New Roman"/>
          <w:sz w:val="24"/>
          <w:szCs w:val="24"/>
        </w:rPr>
        <w:t xml:space="preserve">, and whether they are effective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"10.1136/bmj.d401", "ISBN" : "1756-1833 (Electronic)\\r0959-535X (Linking)", "ISSN" : "0959-8138", "PMID" : "21266442", "abstract" : "Why nudging might make for muddled public health and wasted resources", "author" : [ { "dropping-particle" : "", "family" : "Bonell", "given" : "Chris", "non-dropping-particle" : "", "parse-names" : false, "suffix" : "" }, { "dropping-particle" : "", "family" : "McKee", "given" : "Martin", "non-dropping-particle" : "", "parse-names" : false, "suffix" : "" }, { "dropping-particle" : "", "family" : "Fletcher", "given" : "Adam", "non-dropping-particle" : "", "parse-names" : false, "suffix" : "" }, { "dropping-particle" : "", "family" : "Wilkinson", "given" : "Paul", "non-dropping-particle" : "", "parse-names" : false, "suffix" : "" }, { "dropping-particle" : "", "family" : "Haines", "given" : "Andy", "non-dropping-particle" : "", "parse-names" : false, "suffix" : "" } ], "container-title" : "BMJ", "id" : "ITEM-1", "issued" : { "date-parts" : [ [ "2011", "1", "25" ] ] }, "page" : "d401-d401", "title" : "One nudge forward, two steps back", "type" : "article-journal", "volume" : "342" }, "uris" : [ "http://www.mendeley.com/documents/?uuid=5017eac6-1a2d-4538-929a-69327fcb308e" ] }, { "id" : "ITEM-2", "itemData" : { "author" : [ { "dropping-particle" : "", "family" : "Marteau", "given" : "T. M.", "non-dropping-particle" : "", "parse-names" : false, "suffix" : "" }, { "dropping-particle" : "", "family" : "Ogilvie", "given" : "D.", "non-dropping-particle" : "", "parse-names" : false, "suffix" : "" }, { "dropping-particle" : "", "family" : "Ronald", "given" : "M.", "non-dropping-particle" : "", "parse-names" : false, "suffix" : "" }, { "dropping-particle" : "", "family" : "Suhrcke", "given" : "M.", "non-dropping-particle" : "", "parse-names" : false, "suffix" : "" }, { "dropping-particle" : "", "family" : "Kelly", "given" : "M. P.", "non-dropping-particle" : "", "parse-names" : false, "suffix" : "" } ], "container-title" : "BMJ", "id" : "ITEM-2", "issued" : { "date-parts" : [ [ "2011" ] ] }, "page" : "d228", "title" : "Judging nudging: can nudge improve population health?", "type" : "article-journal", "volume" : "342" }, "uris" : [ "http://www.mendeley.com/documents/?uuid=36c3117f-9686-4513-9aae-6818bcfdf973" ] }, { "id" : "ITEM-3", "itemData" : { "DOI" : "10.1136/bmj.d2177", "ISSN" : "0959-8138", "PMID" : "21493668", "author" : [ { "dropping-particle" : "", "family" : "Rayner", "given" : "Geof", "non-dropping-particle" : "", "parse-names" : false, "suffix" : "" }, { "dropping-particle" : "", "family" : "Lang", "given" : "Tim", "non-dropping-particle" : "", "parse-names" : false, "suffix" : "" } ], "container-title" : "BMJ", "id" : "ITEM-3", "issued" : { "date-parts" : [ [ "2011", "4", "13" ] ] }, "page" : "d2177-d2177", "title" : "Is nudge an effective public health strategy to tackle obesity? No", "type" : "article-journal", "volume" : "342" }, "uris" : [ "http://www.mendeley.com/documents/?uuid=a709b102-481d-41a6-998d-d98d32b7a6da" ] } ], "mendeley" : { "formattedCitation" : "(Bonell et al., 2011; Marteau, Ogilvie, Ronald, Suhrcke, &amp; Kelly, 2011; Rayner &amp; Lang, 2011)", "plainTextFormattedCitation" : "(Bonell et al., 2011; Marteau, Ogilvie, Ronald, Suhrcke, &amp; Kelly, 2011; Rayner &amp; Lang, 2011)", "previouslyFormattedCitation" : "(Bonell et al., 2011; Marteau, Ogilvie, Ronald, Suhrcke, &amp; Kelly, 2011; Rayner &amp; Lang, 2011)"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(Bonell et al., 2011; Marteau, Ogilvie, Ronald, Suhrcke, &amp; Kelly, 2011; Rayner &amp; Lang, 2011)</w:t>
      </w:r>
      <w:r>
        <w:rPr>
          <w:rFonts w:ascii="Times New Roman" w:hAnsi="Times New Roman" w:cs="Times New Roman"/>
          <w:sz w:val="24"/>
          <w:szCs w:val="24"/>
        </w:rPr>
        <w:fldChar w:fldCharType="end"/>
      </w:r>
      <w:r>
        <w:rPr>
          <w:rFonts w:ascii="Times New Roman" w:hAnsi="Times New Roman" w:cs="Times New Roman"/>
          <w:sz w:val="24"/>
          <w:szCs w:val="24"/>
        </w:rPr>
        <w:t xml:space="preserve">. If these doubts are warranted, then one area which needs inspection is the theoretical framework on which nudges are built on, given that this forms the rationale for how they are supposed to operate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"10.1111/1468-2230.12094", "ISSN" : "00267961", "author" : [ { "dropping-particle" : "", "family" : "Baldwin", "given" : "Robert", "non-dropping-particle" : "", "parse-names" : false, "suffix" : "" } ], "container-title" : "The Modern Law Review", "id" : "ITEM-1", "issue" : "6", "issued" : { "date-parts" : [ [ "2014", "11", "3" ] ] }, "page" : "831-857", "title" : "From Regulation to Behaviour Change: Giving Nudge the Third Degree", "type" : "article-journal", "volume" : "77" }, "uris" : [ "http://www.mendeley.com/documents/?uuid=5b525afe-fa1f-409e-ba23-647ec7be6592" ] } ], "mendeley" : { "formattedCitation" : "(Baldwin, 2014)", "plainTextFormattedCitation" : "(Baldwin, 2014)", "previouslyFormattedCitation" : "(Baldwin, 2014)"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(Baldwin, 2014)</w:t>
      </w:r>
      <w:r>
        <w:rPr>
          <w:rFonts w:ascii="Times New Roman" w:hAnsi="Times New Roman" w:cs="Times New Roman"/>
          <w:sz w:val="24"/>
          <w:szCs w:val="24"/>
        </w:rPr>
        <w:fldChar w:fldCharType="end"/>
      </w:r>
      <w:r>
        <w:rPr>
          <w:rFonts w:ascii="Times New Roman" w:hAnsi="Times New Roman" w:cs="Times New Roman"/>
          <w:sz w:val="24"/>
          <w:szCs w:val="24"/>
        </w:rPr>
        <w:t xml:space="preserve">. We use this as a point of departure in our review by first examining the proposed psychological mechanisms that underpin nudges, and the problems associated with the theoretical framework adopted. We use this opportunity to propose an alternative theoretical account of nudges as a way to rethink the evidence based of nudge interventions in the health domain. We end the review by discussing how the issues we raise also have implications for ethical debates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"10.1136/medethics-2012-100727", "ISBN" : "1473-4257 (Electronic)\\r0306-6800 (Linking)", "ISSN" : "0306-6800", "PMID" : "23427215", "abstract" : "In recent years, 'nudge' theory has gained increasing attention for the design of population-wide health interventions. The concept of nudge puts a label on efficacious influences that preserve freedom of choice without engaging the influencees' deliberative capacities. Given disagreements over what it takes genuinely to preserve freedom of choice, the question is whether health influences relying on automatic cognitive processes may preserve freedom of choice in a sufficiently robust sense to be serviceable for the moral evaluation of actions and policies. In this article, I offer an argument to this effect, explicating preservation of freedom of choice in terms of choice-set preservation and noncontrol. I also briefly explore the healthcare contexts in which nudges may have priority over more controlling influences.", "author" : [ { "dropping-particle" : "", "family" : "Saghai", "given" : "Yashar", "non-dropping-particle" : "", "parse-names" : false, "suffix" : "" } ], "container-title" : "Journal of Medical Ethics", "id" : "ITEM-1", "issue" : "8", "issued" : { "date-parts" : [ [ "2013", "8", "1" ] ] }, "page" : "487-493", "title" : "Salvaging the concept of nudge", "type" : "article-journal", "volume" : "39" }, "uris" : [ "http://www.mendeley.com/documents/?uuid=fb0f9bf1-109e-4e14-ad21-4c316fd8e869" ] } ], "mendeley" : { "formattedCitation" : "(Saghai, 2013)", "plainTextFormattedCitation" : "(Saghai, 2013)", "previouslyFormattedCitation" : "(Saghai, 2013)"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(Saghai, 2013)</w:t>
      </w:r>
      <w:r>
        <w:rPr>
          <w:rFonts w:ascii="Times New Roman" w:hAnsi="Times New Roman" w:cs="Times New Roman"/>
          <w:sz w:val="24"/>
          <w:szCs w:val="24"/>
        </w:rPr>
        <w:fldChar w:fldCharType="end"/>
      </w:r>
      <w:r>
        <w:rPr>
          <w:rFonts w:ascii="Times New Roman" w:hAnsi="Times New Roman" w:cs="Times New Roman"/>
          <w:sz w:val="24"/>
          <w:szCs w:val="24"/>
        </w:rPr>
        <w:t xml:space="preserve">, and their impact on applied social policy issues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"abstract" : "In Nudge (2008) Richard Thaler and Cass Sunstein suggested that public policy-makers arrange decision-making contexts in ways to promote behaviour change in the interest of individual citizens as well as that of society. However, in the public sphere and Academia alike widespread discussions have appeared concerning the public acceptability of nudge-based behavioural policy. Thaler and Sunstein's own position is that the anti-nudge posi-tion is a literal non-starter, because citizens are always influenced by the decision making context anyway, and nudging is liberty preserving and acceptable if guided by Libertarian Paternalism and Rawls' publicity principle. A persistent and central tenet in the criticism disputing the acceptability of the approach is that nudging works by manipulating citizens' choices. In this paper, we argue that both lines of argumentation are seriously flawed. We show how the anti-nudge position is not a literal non-starter due to the responsibilities that accrue on policy-makers by the intentional intervention in citizens' life, how nudging is not essentially liberty preserving and why the approach is not necessarily acceptable even if satisfying Rawls' publicity principle. We then use the psychological dual process theory underlying the approach as well as an epistemic transparency criterion identified by Thaler and Sunstein themselves to show that nudging is not necessarily about \" manipulation \" , nor necessarily about influencing \" choice \" . The result is a framework identifying four types of nudges that may be used to provide a central component for more nuanced normative con-siderations as well as a basis for policy recommendations.", "author" : [ { "dropping-particle" : "", "family" : "Hansen", "given" : "Pelle Guldborg", "non-dropping-particle" : "", "parse-names" : false, "suffix" : "" }, { "dropping-particle" : "", "family" : "Jespersen", "given" : "Andreas Maal\u00f8e", "non-dropping-particle" : "", "parse-names" : false, "suffix" : "" } ], "container-title" : "European Journal of Risk Regulation", "id" : "ITEM-1", "issued" : { "date-parts" : [ [ "2013" ] ] }, "page" : "3-28", "title" : "Nudge and the Manipulation of Choice A Framework for the Responsible Use of the Nudge Approach to Behaviour Change in Public Policy", "type" : "article-journal", "volume" : "1" }, "uris" : [ "http://www.mendeley.com/documents/?uuid=b3f6cff4-6ddd-3a26-81d0-eaae53633815" ] } ], "mendeley" : { "formattedCitation" : "(Hansen &amp; Jespersen, 2013)", "plainTextFormattedCitation" : "(Hansen &amp; Jespersen, 2013)", "previouslyFormattedCitation" : "(Hansen &amp; Jespersen, 2013)"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(Hansen &amp; Jespersen, 2013)</w:t>
      </w:r>
      <w:r>
        <w:rPr>
          <w:rFonts w:ascii="Times New Roman" w:hAnsi="Times New Roman" w:cs="Times New Roman"/>
          <w:sz w:val="24"/>
          <w:szCs w:val="24"/>
        </w:rPr>
        <w:fldChar w:fldCharType="end"/>
      </w:r>
      <w:r>
        <w:rPr>
          <w:rFonts w:ascii="Times New Roman" w:hAnsi="Times New Roman" w:cs="Times New Roman"/>
          <w:sz w:val="24"/>
          <w:szCs w:val="24"/>
        </w:rPr>
        <w:t>.</w:t>
      </w:r>
    </w:p>
    <w:p>
      <w:pPr>
        <w:spacing w:line="480" w:lineRule="auto"/>
        <w:contextualSpacing/>
        <w:jc w:val="center"/>
        <w:rPr>
          <w:rFonts w:ascii="Times New Roman" w:hAnsi="Times New Roman" w:cs="Times New Roman"/>
          <w:b/>
          <w:sz w:val="24"/>
          <w:szCs w:val="24"/>
        </w:rPr>
      </w:pPr>
      <w:r>
        <w:rPr>
          <w:rFonts w:ascii="Times New Roman" w:hAnsi="Times New Roman" w:cs="Times New Roman"/>
          <w:b/>
          <w:sz w:val="24"/>
          <w:szCs w:val="24"/>
        </w:rPr>
        <w:t>Dual-System Theoretical Underpinnings of Nudges</w:t>
      </w:r>
    </w:p>
    <w:p>
      <w:pPr>
        <w:spacing w:line="480" w:lineRule="auto"/>
        <w:ind w:firstLine="720"/>
        <w:contextualSpacing/>
        <w:jc w:val="both"/>
        <w:rPr>
          <w:rFonts w:ascii="Times New Roman" w:hAnsi="Times New Roman" w:cs="Times New Roman"/>
          <w:sz w:val="24"/>
          <w:szCs w:val="24"/>
          <w:lang w:eastAsia="zh-CN"/>
        </w:rPr>
      </w:pPr>
      <w:r>
        <w:rPr>
          <w:rFonts w:ascii="Times New Roman" w:hAnsi="Times New Roman" w:cs="Times New Roman"/>
          <w:sz w:val="24"/>
          <w:szCs w:val="24"/>
        </w:rPr>
        <w:t xml:space="preserve">The current theoretical framework used to support the foundations of nudge is based on a dual system framework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"0805824723", "abstract" : "Stanovich, Keith E. Who is rational?: Studies of individual differences in reasoning. Psychology Press, 1999.", "author" : [ { "dropping-particle" : "", "family" : "Stanovich", "given" : "Keith E.", "non-dropping-particle" : "", "parse-names" : false, "suffix" : "" } ], "id" : "ITEM-1", "issued" : { "date-parts" : [ [ "1999" ] ] }, "publisher" : "Lawrence Erlbaum Associates", "publisher-place" : "Mahwah, NJ", "title" : "Who is rational?: Studies of individual differences in reasoning", "type" : "book" }, "uris" : [ "http://www.mendeley.com/documents/?uuid=da89f0d5-6e6a-4048-8569-4ac7a880c3d2" ] }, { "id" : "ITEM-2", "itemData" : { "author" : [ { "dropping-particle" : "", "family" : "Kahneman", "given" : "D.", "non-dropping-particle" : "", "parse-names" : false, "suffix" : "" }, { "dropping-particle" : "", "family" : "Frederick", "given" : "S.", "non-dropping-particle" : "", "parse-names" : false, "suffix" : "" } ], "container-title" : "Heuristics and Biases: The Psychology of Intuitive Judgment", "editor" : [ { "dropping-particle" : "", "family" : "Gilovich", "given" : "T.", "non-dropping-particle" : "", "parse-names" : false, "suffix" : "" }, { "dropping-particle" : "", "family" : "Griffin", "given" : "D.", "non-dropping-particle" : "", "parse-names" : false, "suffix" : "" }, { "dropping-particle" : "", "family" : "Kahneman", "given" : "D.", "non-dropping-particle" : "", "parse-names" : false, "suffix" : "" } ], "id" : "ITEM-2", "issued" : { "date-parts" : [ [ "2002" ] ] }, "page" : "49-81", "publisher" : "Cambridge University Press", "publisher-place" : "New York", "title" : "Representativeness revisited: Attribute substitution in intuitive judgment", "type" : "chapter" }, "uris" : [ "http://www.mendeley.com/documents/?uuid=17abbba6-1c6c-4de6-bbbc-3cb2a5fe2fab" ] } ], "mendeley" : { "formattedCitation" : "(Kahneman &amp; Frederick, 2002; Stanovich, 1999)", "plainTextFormattedCitation" : "(Kahneman &amp; Frederick, 2002; Stanovich, 1999)", "previouslyFormattedCitation" : "(Kahneman &amp; Frederick, 2002; Stanovich, 1999)"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(Kahneman &amp; Frederick, 2002; Stanovich, 1999)</w:t>
      </w:r>
      <w:r>
        <w:rPr>
          <w:rFonts w:ascii="Times New Roman" w:hAnsi="Times New Roman" w:cs="Times New Roman"/>
          <w:sz w:val="24"/>
          <w:szCs w:val="24"/>
        </w:rPr>
        <w:fldChar w:fldCharType="end"/>
      </w:r>
      <w:r>
        <w:rPr>
          <w:rFonts w:ascii="Times New Roman" w:hAnsi="Times New Roman" w:cs="Times New Roman"/>
          <w:sz w:val="24"/>
          <w:szCs w:val="24"/>
        </w:rPr>
        <w:t xml:space="preserve">. The idea is that our judgment, decision-making, and reasoning processes are underpinned by two distinct cognitive systems: System 1 and System 2. The received view on dual-system theories (DST) is that generally there are some family resemblances in the way the two systems operate. In general System 1 processes are heuristic-based, intuitive, biased, associative, automatic, and System 2 processes are rule-based, analytical, flexible and slow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"10.1177/1745691612460685", "ISBN" : "1745-6916\\n1745-6924", "ISSN" : "1745-6916", "abstract" : "Dual-process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 "author" : [ { "dropping-particle" : "", "family" : "Evans", "given" : "J. S. B. T.", "non-dropping-particle" : "", "parse-names" : false, "suffix" : "" }, { "dropping-particle" : "", "family" : "Stanovich", "given" : "K. E.", "non-dropping-particle" : "", "parse-names" : false, "suffix" : "" } ], "container-title" : "Perspectives on Psychological Science", "id" : "ITEM-1", "issue" : "3", "issued" : { "date-parts" : [ [ "2013", "5", "1" ] ] }, "page" : "223-241", "title" : "Dual-Process Theories of Higher Cognition: Advancing the Debate", "type" : "article-journal", "volume" : "8" }, "uris" : [ "http://www.mendeley.com/documents/?uuid=b7ef1a27-5af9-446d-a8c1-95c1502ed029" ] }, { "id" : "ITEM-2", "itemData" : { "author" : [ { "dropping-particle" : "", "family" : "Kahneman", "given" : "D.", "non-dropping-particle" : "", "parse-names" : false, "suffix" : "" } ], "id" : "ITEM-2", "issued" : { "date-parts" : [ [ "2011" ] ] }, "publisher" : "Allen Lane", "publisher-place" : "London", "title" : "Thinking Fast and Slow", "type" : "book" }, "uris" : [ "http://www.mendeley.com/documents/?uuid=7ee64c45-384b-44f0-89d7-1ef44c05e331" ] } ], "mendeley" : { "formattedCitation" : "(Evans &amp; Stanovich, 2013; Kahneman, 2011)", "plainTextFormattedCitation" : "(Evans &amp; Stanovich, 2013; Kahneman, 2011)", "previouslyFormattedCitation" : "(Evans &amp; Stanovich, 2013; Kahneman, 2011)"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(Evans &amp; Stanovich, 2013; Kahneman, 2011)</w:t>
      </w:r>
      <w:r>
        <w:rPr>
          <w:rFonts w:ascii="Times New Roman" w:hAnsi="Times New Roman" w:cs="Times New Roman"/>
          <w:sz w:val="24"/>
          <w:szCs w:val="24"/>
        </w:rPr>
        <w:fldChar w:fldCharType="end"/>
      </w:r>
      <w:r>
        <w:rPr>
          <w:rFonts w:ascii="Times New Roman" w:hAnsi="Times New Roman" w:cs="Times New Roman"/>
          <w:sz w:val="24"/>
          <w:szCs w:val="24"/>
        </w:rPr>
        <w:t xml:space="preserve">. Nudge theorists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"0300146817", "abstract" : "style=\"MARGIN: 0in 0in 0pt\"&gt;A groundbreaking discussion of how we can apply the new science of choice architecture to nudge people toward decisions that will improve their lives by making them healthier, wealthier, and more free", "author" : [ { "dropping-particle" : "", "family" : "Thaler", "given" : "Richard H.", "non-dropping-particle" : "", "parse-names" : false, "suffix" : "" }, { "dropping-particle" : "", "family" : "Sunstein", "given" : "C. R.", "non-dropping-particle" : "", "parse-names" : false, "suffix" : "" } ], "id" : "ITEM-1", "issued" : { "date-parts" : [ [ "2008" ] ] }, "number-of-pages" : "293", "publisher" : "Yale University Press", "publisher-place" : "New Haven", "title" : "Nudge: Improving Decisions about Health, Wealth, and Happiness", "type" : "book" }, "uris" : [ "http://www.mendeley.com/documents/?uuid=c441f339-9711-4f66-9a29-dd13dbb39baf" ] }, { "id" : "ITEM-2", "itemData" : { "DOI" : "10.1007/s13164-015-0266-z", "ISSN" : "1878-5158", "author" : [ { "dropping-particle" : "", "family" : "Sunstein", "given" : "C. R.", "non-dropping-particle" : "", "parse-names" : false, "suffix" : "" } ], "container-title" : "Review of Philosophy and Psychology", "id" : "ITEM-2", "issue" : "3", "issued" : { "date-parts" : [ [ "2015", "9", "21" ] ] }, "page" : "511-529", "title" : "Nudges, Agency, and Abstraction: A Reply to Critics", "type" : "article-journal", "volume" : "6" }, "uris" : [ "http://www.mendeley.com/documents/?uuid=0958b42a-8729-4701-89e7-6cac947cfc9b" ] }, { "id" : "ITEM-3", "itemData" : { "DOI" : "10.2139/ssrn.2604084", "ISSN" : "1556-5068", "author" : [ { "dropping-particle" : "", "family" : "Sunstein", "given" : "C. R.", "non-dropping-particle" : "", "parse-names" : false, "suffix" : "" } ], "container-title" : "Administrative Law Review, Forthcoming", "id" : "ITEM-3", "issued" : { "date-parts" : [ [ "2016" ] ] }, "title" : "Do People Like Nudges?", "type" : "article-journal" }, "uris" : [ "http://www.mendeley.com/documents/?uuid=5837dd45-d60f-3868-a645-47c6789554c9" ] } ], "mendeley" : { "formattedCitation" : "(Sunstein, 2015, 2016a; Thaler &amp; Sunstein, 2008)", "plainTextFormattedCitation" : "(Sunstein, 2015, 2016a; Thaler &amp; Sunstein, 2008)", "previouslyFormattedCitation" : "(Sunstein, 2015, 2016a; Thaler &amp; Sunstein, 2008)"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(Sunstein, 2015, 2016a; Thaler &amp; Sunstein, 2008)</w:t>
      </w:r>
      <w:r>
        <w:rPr>
          <w:rFonts w:ascii="Times New Roman" w:hAnsi="Times New Roman" w:cs="Times New Roman"/>
          <w:sz w:val="24"/>
          <w:szCs w:val="24"/>
        </w:rPr>
        <w:fldChar w:fldCharType="end"/>
      </w:r>
      <w:r>
        <w:rPr>
          <w:rFonts w:ascii="Times New Roman" w:hAnsi="Times New Roman" w:cs="Times New Roman"/>
          <w:sz w:val="24"/>
          <w:szCs w:val="24"/>
        </w:rPr>
        <w:t xml:space="preserve"> claim that the basis on which we make poor lifestyle choices is commonly through the activation of System 1 type processes. Because of this, a practical way of generating positive behavioral change is to target System 1 process by re-orienting the features of the choice contexts on which heuristics and biases are invoked; this is typically achieved covertly without the decision-maker’s awareness. This in turn relies on a distinction between implicit and explicit processes </w:t>
      </w:r>
      <w:r>
        <w:rPr>
          <w:rFonts w:ascii="Times New Roman" w:hAnsi="Times New Roman" w:cs="Times New Roman"/>
          <w:sz w:val="24"/>
          <w:szCs w:val="24"/>
        </w:rPr>
        <w:lastRenderedPageBreak/>
        <w:t xml:space="preserve">whereby implicit processing occurs without awareness, whereas explicit processing is deliberate and is accompanied by awareness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"0863774385", "ISSN" : "00070882", "PMID" : "381240", "abstract" : "This book addresses an apparent paradox in the psychology of thinking. On the one hand, human beings are a highly successful species. On the other, intelligent adults are known to exhibit numerous errors and biases in laboratory studies of reasoning and decision making. There has been much debate among both philosophers and psychologists about the implications of such studies for human rationality. The authors argue that this debate is marked by a confusion between two distinct notions: (a) personal rationality (rationality1Evans and Over argue that people have a high degree of rationality1 but only a limited capacity for rationality2. The book re-interprets the psychological literature on reasoning and decision making, showing that many normative errors, by abstract standards, reflect the operation of processes that would normally help to achieve ordinary goals. Topics discussed include relevance effects in reasoning and decision making, the influence of prior beliefs on thinking, and the argument that apparently non-logical reasoning can reflect efficient decision making. The authors also discuss the problem of deductive competence - whether people have it, and what mechanism can account for it.As the book progresses, increasing emphasis is given to the authors' dual process theory of thinking, in which a distinction between tacit and explicit cognitive systems is developed. It is argued that much of human capacity for rationality1 is invested in tacit cognitive processes, which reflect both innate mechanisms and biologically constrained learning. However, the authors go on to argue that human beings also possess an explicit thinking system, which underlies their unique - if limited - capacity to be rational.", "author" : [ { "dropping-particle" : "", "family" : "Evans", "given" : "J. S. B. T.", "non-dropping-particle" : "", "parse-names" : false, "suffix" : "" }, { "dropping-particle" : "", "family" : "Over", "given" : "D. E.", "non-dropping-particle" : "", "parse-names" : false, "suffix" : "" } ], "container-title" : "International Journal of Psychology", "id" : "ITEM-1", "issued" : { "date-parts" : [ [ "1996" ] ] }, "number-of-pages" : "1310", "publisher" : "Psychology Press", "publisher-place" : "East Sussex", "title" : "Rationality and reasoning", "type" : "book", "volume" : "31" }, "uris" : [ "http://www.mendeley.com/documents/?uuid=54262110-617e-4b66-9798-b7e1e46b7a61" ] }, { "id" : "ITEM-2", "itemData" : { "DOI" : "10.1017/S0140525X00623439", "ISBN" : "0140-525X", "ISSN" : "0140525X", "abstract" : "In this response, we clarify several misunderstandings of the understanding/acceptance principle and defend our specific operationalization of that principle. We reiterate the importance of addressing the problem of rational task construal and we elaborate the notion of computational limitations contained in our target article. Our concept of thinking dispositions as variable intentional-level styles of epistemic and behavioral regulation is explained, as is its relation to the rationality debate. Many of the suggestions of the commentators for elaborating two-process models are easily integrated into our generic dual-process account. We further explicate how we view the relation between System 1 and System 2 and evolutionary and normative rationality. We clarify our attempt to fuse the contributions of the cognitive ecologists with the insights of the original heuristics and biases researchers.", "author" : [ { "dropping-particle" : "", "family" : "Stanovich", "given" : "Keith E.", "non-dropping-particle" : "", "parse-names" : false, "suffix" : "" }, { "dropping-particle" : "", "family" : "West", "given" : "Richard F.", "non-dropping-particle" : "", "parse-names" : false, "suffix" : "" } ], "container-title" : "Behavioral and Brain Sciences", "id" : "ITEM-2", "issue" : "5", "issued" : { "date-parts" : [ [ "2000", "10" ] ] }, "page" : "701- 717", "title" : "Advancing the rationality debate", "type" : "article-journal", "volume" : "23" }, "uris" : [ "http://www.mendeley.com/documents/?uuid=1b9472dd-adb2-4fe2-b322-06efc4497619" ] } ], "mendeley" : { "formattedCitation" : "(Evans &amp; Over, 1996; Stanovich &amp; West, 2000)", "plainTextFormattedCitation" : "(Evans &amp; Over, 1996; Stanovich &amp; West, 2000)", "previouslyFormattedCitation" : "(Evans &amp; Over, 1996; Stanovich &amp; West, 2000)"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(Evans &amp; Over, 1996; Stanovich &amp; West, 2000)</w:t>
      </w:r>
      <w:r>
        <w:rPr>
          <w:rFonts w:ascii="Times New Roman" w:hAnsi="Times New Roman" w:cs="Times New Roman"/>
          <w:sz w:val="24"/>
          <w:szCs w:val="24"/>
        </w:rPr>
        <w:fldChar w:fldCharType="end"/>
      </w:r>
      <w:r>
        <w:rPr>
          <w:rFonts w:ascii="Times New Roman" w:hAnsi="Times New Roman" w:cs="Times New Roman"/>
          <w:sz w:val="24"/>
          <w:szCs w:val="24"/>
        </w:rPr>
        <w:t xml:space="preserve">. Two core issues that we focus on in the evaluation of System 1/System 2 distinctions are: 1) the nature of the interaction between the two systems, 2) the lack of precision around the details of key distinctions between the two systems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"ISSN" : "2269-8450", "abstract" : "1. Nudge: The Pitch Suppose that a government\u2019s social policy agenda is to promote a healthier, wealthier, and happier population. The problem is that our psychological makeup means that we find it hard to behave in ways that consistently meet these objectives. Over half a century, a steady accumulation of social scientific research shows that people are susceptible to cognitive biases, that they fail to exercise self-control when it really matters, give in to their emotions too easily, and m...", "author" : [ { "dropping-particle" : "", "family" : "Osman", "given" : "Magda", "non-dropping-particle" : "", "parse-names" : false, "suffix" : "" } ], "container-title" : "\u0152conomia. History, Methodology, Philosophy", "id" : "ITEM-1", "issue" : "6-4", "issued" : { "date-parts" : [ [ "2016" ] ] }, "page" : "557-570", "publisher" : "Association \u0152conomia", "title" : "Nudge: How Far Have We Come?", "type" : "article-journal" }, "uris" : [ "http://www.mendeley.com/documents/?uuid=a2a8b5dc-00ad-37f4-8dd9-ef60a0f09da3" ] } ], "mendeley" : { "formattedCitation" : "(Osman, 2016)", "plainTextFormattedCitation" : "(Osman, 2016)", "previouslyFormattedCitation" : "(Osman, 2016)"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(Osman, 2016)</w:t>
      </w:r>
      <w:r>
        <w:rPr>
          <w:rFonts w:ascii="Times New Roman" w:hAnsi="Times New Roman" w:cs="Times New Roman"/>
          <w:sz w:val="24"/>
          <w:szCs w:val="24"/>
        </w:rPr>
        <w:fldChar w:fldCharType="end"/>
      </w:r>
      <w:r>
        <w:rPr>
          <w:rFonts w:ascii="Times New Roman" w:hAnsi="Times New Roman" w:cs="Times New Roman"/>
          <w:sz w:val="24"/>
          <w:szCs w:val="24"/>
        </w:rPr>
        <w:t xml:space="preserve">. Our evaluation is designed to better understand how to target behavior via nudges, since having a better idea of the actual underlying mechanism that guides decision-making should reveal where and where not nudges are likely to be effective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"10.1017/S0266267115000425", "ISSN" : "0266-2671", "abstract" : "Proponents of behavioural policies seek to justify them as \u2018evidence-based\u2019. Yet they typically fail to show through which mechanisms these policies operate. This paper shows \u2013 at the hand of examples from economics and psychology \u2013 that without sufficient mechanistic evidence, one often cannot determine whether a given policy in its target environment will be effective, robust, persistent or welfare-improving. Because these properties are important for justification, policies that lack sufficient support from mechanistic evidence should not be called \u2018evidence-based\u2019.", "author" : [ { "dropping-particle" : "", "family" : "Gr\u00fcne-Yanoff", "given" : "Till", "non-dropping-particle" : "", "parse-names" : false, "suffix" : "" } ], "container-title" : "Economics and Philosophy", "id" : "ITEM-1", "issue" : "3", "issued" : { "date-parts" : [ [ "2016", "11", "20" ] ] }, "page" : "463-483", "title" : "Why behavioural policy needs mechanistic evidence", "type" : "article-journal", "volume" : "32" }, "uris" : [ "http://www.mendeley.com/documents/?uuid=d932cc40-608f-4712-91aa-151787e9afcd" ] }, { "id" : "ITEM-2", "itemData" : { "DOI" : "10.1007/s11023-015-9367-9", "ISSN" : "0924-6495", "author" : [ { "dropping-particle" : "", "family" : "Gr\u00fcne-Yanoff", "given" : "Till", "non-dropping-particle" : "", "parse-names" : false, "suffix" : "" }, { "dropping-particle" : "", "family" : "Hertwig", "given" : "Ralph", "non-dropping-particle" : "", "parse-names" : false, "suffix" : "" } ], "container-title" : "Minds and Machines", "id" : "ITEM-2", "issue" : "1-2", "issued" : { "date-parts" : [ [ "2015", "4", "23" ] ] }, "page" : "1-52", "publisher" : "Springer Netherlands", "title" : "Nudge Versus Boost: How Coherent are Policy and Theory?", "type" : "article-journal", "volume" : "26" }, "uris" : [ "http://www.mendeley.com/documents/?uuid=23011586-75a2-4dcd-a26b-f25d10556eac" ] } ], "mendeley" : { "formattedCitation" : "(Gr\u00fcne-Yanoff, 2016; Gr\u00fcne-Yanoff &amp; Hertwig, 2015)", "plainTextFormattedCitation" : "(Gr\u00fcne-Yanoff, 2016; Gr\u00fcne-Yanoff &amp; Hertwig, 2015)", "previouslyFormattedCitation" : "(Gr\u00fcne-Yanoff, 2016; Gr\u00fcne-Yanoff &amp; Hertwig, 2015)"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(Grüne-Yanoff, 2016; Grüne-Yanoff &amp; Hertwig, 2015)</w:t>
      </w:r>
      <w:r>
        <w:rPr>
          <w:rFonts w:ascii="Times New Roman" w:hAnsi="Times New Roman" w:cs="Times New Roman"/>
          <w:sz w:val="24"/>
          <w:szCs w:val="24"/>
        </w:rPr>
        <w:fldChar w:fldCharType="end"/>
      </w:r>
      <w:r>
        <w:rPr>
          <w:rFonts w:ascii="Times New Roman" w:hAnsi="Times New Roman" w:cs="Times New Roman"/>
          <w:sz w:val="24"/>
          <w:szCs w:val="24"/>
          <w:lang w:eastAsia="zh-CN"/>
        </w:rPr>
        <w:t xml:space="preserve">. </w:t>
      </w:r>
    </w:p>
    <w:p>
      <w:pPr>
        <w:spacing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Critical issues with Dual-System theories</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b/>
          <w:sz w:val="24"/>
          <w:szCs w:val="24"/>
        </w:rPr>
        <w:t>Issue 1</w:t>
      </w:r>
      <w:r>
        <w:rPr>
          <w:rFonts w:ascii="Times New Roman" w:hAnsi="Times New Roman" w:cs="Times New Roman"/>
          <w:sz w:val="24"/>
          <w:szCs w:val="24"/>
        </w:rPr>
        <w:t xml:space="preserve">. The nature of the relationship between System 1 and 2. DSTs do not all make the same claims regarding the relationship between systems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"10.1177/1745691612460685", "ISBN" : "1745-6916\\n1745-6924", "ISSN" : "1745-6916", "abstract" : "Dual-process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 "author" : [ { "dropping-particle" : "", "family" : "Evans", "given" : "J. S. B. T.", "non-dropping-particle" : "", "parse-names" : false, "suffix" : "" }, { "dropping-particle" : "", "family" : "Stanovich", "given" : "K. E.", "non-dropping-particle" : "", "parse-names" : false, "suffix" : "" } ], "container-title" : "Perspectives on Psychological Science", "id" : "ITEM-1", "issue" : "3", "issued" : { "date-parts" : [ [ "2013", "5", "1" ] ] }, "page" : "223-241", "title" : "Dual-Process Theories of Higher Cognition: Advancing the Debate", "type" : "article-journal", "volume" : "8" }, "uris" : [ "http://www.mendeley.com/documents/?uuid=b7ef1a27-5af9-446d-a8c1-95c1502ed029" ] } ], "mendeley" : { "formattedCitation" : "(Evans &amp; Stanovich, 2013)", "plainTextFormattedCitation" : "(Evans &amp; Stanovich, 2013)", "previouslyFormattedCitation" : "(Evans &amp; Stanovich, 2013)"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(Evans &amp; Stanovich, 2013)</w:t>
      </w:r>
      <w:r>
        <w:rPr>
          <w:rFonts w:ascii="Times New Roman" w:hAnsi="Times New Roman" w:cs="Times New Roman"/>
          <w:sz w:val="24"/>
          <w:szCs w:val="24"/>
        </w:rPr>
        <w:fldChar w:fldCharType="end"/>
      </w:r>
      <w:r>
        <w:rPr>
          <w:rFonts w:ascii="Times New Roman" w:hAnsi="Times New Roman" w:cs="Times New Roman"/>
          <w:sz w:val="24"/>
          <w:szCs w:val="24"/>
        </w:rPr>
        <w:t xml:space="preserve">. Some dual-system theorists claim that the systems are interactive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"10.1037/0033-2909.119.1.3", "ISBN" : "1939-1455 (Electronic); 0033-2909 (Print)", "ISSN" : "0033-2909", "abstract" : "Distinctions have been proposed between systems of reasoning for centuries. This article distills properties shared by many of these distinctions and characterizes the resulting systems in light of recent findings and theoretical developments. One system is associative because its computations reflect similarity structure and relations of temporal contiguity. The other is \"rule based\" because it operates on symbolic structures that have logical content and variables and because its computations have the properties that are normally assigned to rules. The systems serve complementary functions and can simultaneously generate different solutions to a reasoning problem. The rule-based system can suppress the associative system but not completely inhibit it. The article reviews evidence in favor of the distinction and its characterization. One", "author" : [ { "dropping-particle" : "", "family" : "Sloman", "given" : "Steven A.", "non-dropping-particle" : "", "parse-names" : false, "suffix" : "" } ], "container-title" : "Psychological Bulletin", "id" : "ITEM-1", "issued" : { "date-parts" : [ [ "1996" ] ] }, "page" : "3-22", "title" : "The empirical case for two systems of reasoning", "type" : "article-journal", "volume" : "119" }, "uris" : [ "http://www.mendeley.com/documents/?uuid=ea6ce9e3-05e0-4420-b06f-3f6148716200" ] } ], "mendeley" : { "formattedCitation" : "(Sloman, 1996)", "plainTextFormattedCitation" : "(Sloman, 1996)", "previouslyFormattedCitation" : "(Sloman, 1996)"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(Sloman, 1996)</w:t>
      </w:r>
      <w:r>
        <w:rPr>
          <w:rFonts w:ascii="Times New Roman" w:hAnsi="Times New Roman" w:cs="Times New Roman"/>
          <w:sz w:val="24"/>
          <w:szCs w:val="24"/>
        </w:rPr>
        <w:fldChar w:fldCharType="end"/>
      </w:r>
      <w:r>
        <w:rPr>
          <w:rFonts w:ascii="Times New Roman" w:hAnsi="Times New Roman" w:cs="Times New Roman"/>
          <w:sz w:val="24"/>
          <w:szCs w:val="24"/>
        </w:rPr>
        <w:t xml:space="preserve">, some claim that they operate in parallel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"10.1037/h0034679", "ISBN" : "0003-066X (Print)\\r0003-066X (Linking)", "ISSN" : "0003-066X", "PMID" : "4703058", "abstract" : "Attempts to integrate phenomenological theories of the self-concept into a broader framework compatible with an objective approach. The phenomenological theories that identify the self-concept as the nucleus of the personality with directive and integrative properties become intelligible when the self-concept is redefined as a \"self-theory\" that the individual has unwittingly constructed about himself as an experiencing, functioning individual. The self-theory supplements a \"world theory,\" which encompasses the remaining significant aspects of experience. An individual's self-theory consists of a hierarchical arrangement of major and minor postulates. The postulates can be operationally identified by the cognitions implicit in the individual's emotional responses to events. The individual develops his self-theory to assist in the maintenance of a favorable pleasure-pain balance, assimilate the data of experience, and maintain self-esteem. A failure in any of these functions produces mounting stress, and ultimately collapse of the self-theory, which can be adaptive in providing an opportunity for drastic reorganization. (22 ref.) (PsycINFO Database Record (c) 2006 APA, all rights reserved)", "author" : [ { "dropping-particle" : "", "family" : "Epstein", "given" : "Seymour", "non-dropping-particle" : "", "parse-names" : false, "suffix" : "" } ], "container-title" : "American Psychologist", "id" : "ITEM-1", "issue" : "5", "issued" : { "date-parts" : [ [ "1973" ] ] }, "page" : "404-416", "title" : "The self-concept revisited: Or a theory of a theory.", "type" : "article-journal", "volume" : "28" }, "uris" : [ "http://www.mendeley.com/documents/?uuid=f81a6b41-8c19-43de-a2f1-14d63895b0b8" ] }, { "id" : "ITEM-2", "itemData" : { "PMID" : "8092614", "author" : [ { "dropping-particle" : "", "family" : "Epstein", "given" : "Seymour", "non-dropping-particle" : "", "parse-names" : false, "suffix" : "" } ], "container-title" : "The American Psychologist", "id" : "ITEM-2", "issued" : { "date-parts" : [ [ "1994" ] ] }, "page" : "729-724", "title" : "Integration of the cognitive and the psychodynamic unconscious", "type" : "article-journal", "volume" : "49" }, "uris" : [ "http://www.mendeley.com/documents/?uuid=43ffc68c-ee02-49c9-b09b-854db702cee5" ] }, { "id" : "ITEM-3", "itemData" : { "ISBN" : "0863774385", "ISSN" : "00070882", "PMID" : "381240", "abstract" : "This book addresses an apparent paradox in the psychology of thinking. On the one hand, human beings are a highly successful species. On the other, intelligent adults are known to exhibit numerous errors and biases in laboratory studies of reasoning and decision making. There has been much debate among both philosophers and psychologists about the implications of such studies for human rationality. The authors argue that this debate is marked by a confusion between two distinct notions: (a) personal rationality (rationality1Evans and Over argue that people have a high degree of rationality1 but only a limited capacity for rationality2. The book re-interprets the psychological literature on reasoning and decision making, showing that many normative errors, by abstract standards, reflect the operation of processes that would normally help to achieve ordinary goals. Topics discussed include relevance effects in reasoning and decision making, the influence of prior beliefs on thinking, and the argument that apparently non-logical reasoning can reflect efficient decision making. The authors also discuss the problem of deductive competence - whether people have it, and what mechanism can account for it.As the book progresses, increasing emphasis is given to the authors' dual process theory of thinking, in which a distinction between tacit and explicit cognitive systems is developed. It is argued that much of human capacity for rationality1 is invested in tacit cognitive processes, which reflect both innate mechanisms and biologically constrained learning. However, the authors go on to argue that human beings also possess an explicit thinking system, which underlies their unique - if limited - capacity to be rational.", "author" : [ { "dropping-particle" : "", "family" : "Evans", "given" : "J. S. B. T.", "non-dropping-particle" : "", "parse-names" : false, "suffix" : "" }, { "dropping-particle" : "", "family" : "Over", "given" : "D. E.", "non-dropping-particle" : "", "parse-names" : false, "suffix" : "" } ], "container-title" : "International Journal of Psychology", "id" : "ITEM-3", "issued" : { "date-parts" : [ [ "1996" ] ] }, "number-of-pages" : "1310", "publisher" : "Psychology Press", "publisher-place" : "East Sussex", "title" : "Rationality and reasoning", "type" : "book", "volume" : "31" }, "uris" : [ "http://www.mendeley.com/documents/?uuid=54262110-617e-4b66-9798-b7e1e46b7a61" ] } ], "mendeley" : { "formattedCitation" : "(Epstein, 1973, 1994; Evans &amp; Over, 1996)", "plainTextFormattedCitation" : "(Epstein, 1973, 1994; Evans &amp; Over, 1996)", "previouslyFormattedCitation" : "(Epstein, 1973, 1994; Evans &amp; Over, 1996)"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(Epstein, 1973, 1994; Evans &amp; Over, 1996)</w:t>
      </w:r>
      <w:r>
        <w:rPr>
          <w:rFonts w:ascii="Times New Roman" w:hAnsi="Times New Roman" w:cs="Times New Roman"/>
          <w:sz w:val="24"/>
          <w:szCs w:val="24"/>
        </w:rPr>
        <w:fldChar w:fldCharType="end"/>
      </w:r>
      <w:r>
        <w:rPr>
          <w:rFonts w:ascii="Times New Roman" w:hAnsi="Times New Roman" w:cs="Times New Roman"/>
          <w:sz w:val="24"/>
          <w:szCs w:val="24"/>
        </w:rPr>
        <w:t xml:space="preserve">, and some claim that they operate serially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"0-89862-379-0", "abstract" : "(from the introduction) intentional inferences about another's traits (and attitudes and moods) . . . occur in two stages / a relatively automatic \"characterization\" stage in which the person and focal behavior are similarly described / a more deliberate \"correction\" stage in which the characterization may be modified in light of situational constraints series of experiments shows [that demanding concurrent tasks and \"cognitive busyness\" prevents subjects from correcting their initial impressions] / nonverbal information may be processed more efficiently than verbal information how is the inferential system designed to employ conscious attention and why is it designed this way ((c) 1997 APA/PsycINFO, all rights reserved)", "author" : [ { "dropping-particle" : "", "family" : "Gilbert", "given" : "Daniel T", "non-dropping-particle" : "", "parse-names" : false, "suffix" : "" } ], "container-title" : "Unintended thought", "editor" : [ { "dropping-particle" : "", "family" : "Uleman", "given" : "J. S.", "non-dropping-particle" : "", "parse-names" : false, "suffix" : "" }, { "dropping-particle" : "", "family" : "Bargh", "given" : "J. A.", "non-dropping-particle" : "", "parse-names" : false, "suffix" : "" } ], "id" : "ITEM-1", "issued" : { "date-parts" : [ [ "1989" ] ] }, "page" : "189-211", "publisher" : "Guilford Press", "publisher-place" : "New York", "title" : "Thinking lightly about others: Automatic components of the social inference process", "type" : "chapter" }, "uris" : [ "http://www.mendeley.com/documents/?uuid=7dd5174b-2108-4d98-8fdf-8b87f22fcc66" ] } ], "mendeley" : { "formattedCitation" : "(Gilbert, 1989)", "plainTextFormattedCitation" : "(Gilbert, 1989)", "previouslyFormattedCitation" : "(Gilbert, 1989)"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(Gilbert, 1989)</w:t>
      </w:r>
      <w:r>
        <w:rPr>
          <w:rFonts w:ascii="Times New Roman" w:hAnsi="Times New Roman" w:cs="Times New Roman"/>
          <w:sz w:val="24"/>
          <w:szCs w:val="24"/>
        </w:rPr>
        <w:fldChar w:fldCharType="end"/>
      </w:r>
      <w:r>
        <w:rPr>
          <w:rFonts w:ascii="Times New Roman" w:hAnsi="Times New Roman" w:cs="Times New Roman"/>
          <w:sz w:val="24"/>
          <w:szCs w:val="24"/>
        </w:rPr>
        <w:t>; System 1 is the default system, and only later does System 2 kick in to monitor the outputs of System 1</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"10.1177/1745691612460685", "ISBN" : "1745-6916\\n1745-6924", "ISSN" : "1745-6916", "abstract" : "Dual-process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 "author" : [ { "dropping-particle" : "", "family" : "Evans", "given" : "J. S. B. T.", "non-dropping-particle" : "", "parse-names" : false, "suffix" : "" }, { "dropping-particle" : "", "family" : "Stanovich", "given" : "K. E.", "non-dropping-particle" : "", "parse-names" : false, "suffix" : "" } ], "container-title" : "Perspectives on Psychological Science", "id" : "ITEM-1", "issue" : "3", "issued" : { "date-parts" : [ [ "2013", "5", "1" ] ] }, "page" : "223-241", "title" : "Dual-Process Theories of Higher Cognition: Advancing the Debate", "type" : "article-journal", "volume" : "8" }, "uris" : [ "http://www.mendeley.com/documents/?uuid=b7ef1a27-5af9-446d-a8c1-95c1502ed029" ] }, { "id" : "ITEM-2", "itemData" : { "abstract" : "The work cited by the Nobel committee was done jointly with the late Amos Tversky (1937\u20131996) during a long and unusually close collaboration. Together, we explored the psychology of intuitive beliefs and choices and ex-amined their bounded rationality. This essay presents a current perspective on the three major topics of our joint work: heuristics of judgment, risky choice, and framing effects. In all three domains we studied intuitions \u2013 thoughts and preferences that come to mind quickly and without much re-flection. I review the older research and some recent developments in light of two ideas that have become central to social-cognitive psychology in the in-tervening decades: the notion that thoughts differ in a dimension of accessi-bility \u2013 some come to mind much more easily than others \u2013 and the distinc-tion between intuitive and deliberate thought processes. Section 1 distinguishes two generic modes of cognitive function: an intui-tive mode in which judgments and decisions are made automatically and rapidly, and a controlled mode, which is deliberate and slower. Section 2 de-scribes the factors that determine the relative accessibility of different judg-ments and responses. Section 3 explains framing effects in terms of differen-tial salience and accessibility. Section 4 relates prospect theory to the general * This essay revisits problems that Amos Tversky and I studied together many years ago, and con-tinued to discuss in a conversation that spanned several decades.", "author" : [ { "dropping-particle" : "", "family" : "Kahneman", "given" : "D.", "non-dropping-particle" : "", "parse-names" : false, "suffix" : "" } ], "container-title" : "Lex Prix Nobel: The Nobel Prizes 2002", "editor" : [ { "dropping-particle" : "", "family" : "Frangsmyr", "given" : "T.", "non-dropping-particle" : "", "parse-names" : false, "suffix" : "" } ], "id" : "ITEM-2", "issued" : { "date-parts" : [ [ "2003" ] ] }, "page" : "449-89", "publisher" : "Almquist &amp; Wiksell International", "publisher-place" : "Stockholm", "title" : "Maps of bounded rationality: a perspective on intuitive judgement and choice", "type" : "chapter" }, "uris" : [ "http://www.mendeley.com/documents/?uuid=aeb3977e-b817-3d56-a687-fb35b86cba21" ] } ], "mendeley" : { "formattedCitation" : "(Evans &amp; Stanovich, 2013; Kahneman, 2003)", "plainTextFormattedCitation" : "(Evans &amp; Stanovich, 2013; Kahneman, 2003)", "previouslyFormattedCitation" : "(Evans &amp; Stanovich, 2013; Kahneman, 2003)"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(Evans &amp; Stanovich, 2013; Kahneman, 2003)</w:t>
      </w:r>
      <w:r>
        <w:rPr>
          <w:rFonts w:ascii="Times New Roman" w:hAnsi="Times New Roman" w:cs="Times New Roman"/>
          <w:sz w:val="24"/>
          <w:szCs w:val="24"/>
        </w:rPr>
        <w:fldChar w:fldCharType="end"/>
      </w:r>
      <w:r>
        <w:rPr>
          <w:rFonts w:ascii="Times New Roman" w:hAnsi="Times New Roman" w:cs="Times New Roman"/>
          <w:sz w:val="24"/>
          <w:szCs w:val="24"/>
        </w:rPr>
        <w:t xml:space="preserve"> – known as the default-interventionist approach. If, as nudge proponents claim, System 1 and 2 are dissociated and they do not interact, then it makes better sense to try to directly tap into System 1 processes to generate behavioral change; this is the default system that gives rise to many of the core decision-making and reasoning processes that drive sub-optimal lifestyle choices. Though, by doing so, nudge theorists and practitioners need to identify which common sub-optimal behaviors are exclusively driven by System 1 processes, which thus far the program of nudges has yet to do. However, if it is the case that the two systems do interact, then does it still make sense to introduce an intervention solely on System 1?  If not, then nudges may not operate in the way that they are intended. In other words, if the grounds on </w:t>
      </w:r>
      <w:r>
        <w:rPr>
          <w:rFonts w:ascii="Times New Roman" w:hAnsi="Times New Roman" w:cs="Times New Roman"/>
          <w:sz w:val="24"/>
          <w:szCs w:val="24"/>
        </w:rPr>
        <w:lastRenderedPageBreak/>
        <w:t xml:space="preserve">which they are based is theoretically problematic, this may also explain why they are not as effective as they are purported to be.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To explore Issue 1 further we consider the bat and ball task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"Kahneman", "given" : "D.", "non-dropping-particle" : "", "parse-names" : false, "suffix" : "" }, { "dropping-particle" : "", "family" : "Frederick", "given" : "S.", "non-dropping-particle" : "", "parse-names" : false, "suffix" : "" } ], "container-title" : "Heuristics and Biases: The Psychology of Intuitive Judgment", "editor" : [ { "dropping-particle" : "", "family" : "Gilovich", "given" : "T.", "non-dropping-particle" : "", "parse-names" : false, "suffix" : "" }, { "dropping-particle" : "", "family" : "Griffin", "given" : "D.", "non-dropping-particle" : "", "parse-names" : false, "suffix" : "" }, { "dropping-particle" : "", "family" : "Kahneman", "given" : "D.", "non-dropping-particle" : "", "parse-names" : false, "suffix" : "" } ], "id" : "ITEM-1", "issued" : { "date-parts" : [ [ "2002" ] ] }, "page" : "49-81", "publisher" : "Cambridge University Press", "publisher-place" : "New York", "title" : "Representativeness revisited: Attribute substitution in intuitive judgment", "type" : "chapter" }, "uris" : [ "http://www.mendeley.com/documents/?uuid=17abbba6-1c6c-4de6-bbbc-3cb2a5fe2fab" ] } ], "mendeley" : { "formattedCitation" : "(Kahneman &amp; Frederick, 2002)", "plainTextFormattedCitation" : "(Kahneman &amp; Frederick, 2002)", "previouslyFormattedCitation" : "(Kahneman &amp; Frederick, 2002)"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(Kahneman &amp; Frederick, 2002)</w:t>
      </w:r>
      <w:r>
        <w:rPr>
          <w:rFonts w:ascii="Times New Roman" w:hAnsi="Times New Roman" w:cs="Times New Roman"/>
          <w:sz w:val="24"/>
          <w:szCs w:val="24"/>
        </w:rPr>
        <w:fldChar w:fldCharType="end"/>
      </w:r>
      <w:r>
        <w:rPr>
          <w:rFonts w:ascii="Times New Roman" w:hAnsi="Times New Roman" w:cs="Times New Roman"/>
          <w:sz w:val="24"/>
          <w:szCs w:val="24"/>
        </w:rPr>
        <w:t xml:space="preserve"> that Thaler and Sunstein (2008) use to illustrate the relationship between System 1 and 2. The task involves presenting participants with this simple description and a question: “A bat and ball cost $1.10 in total. The bat costs $1.00 more than the ball. How much does the ball cost?”. Typically the majority of participants will intuitively answer 10 cents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"Kahneman", "given" : "D.", "non-dropping-particle" : "", "parse-names" : false, "suffix" : "" }, { "dropping-particle" : "", "family" : "Frederick", "given" : "S.", "non-dropping-particle" : "", "parse-names" : false, "suffix" : "" } ], "container-title" : "Heuristics and Biases: The Psychology of Intuitive Judgment", "editor" : [ { "dropping-particle" : "", "family" : "Gilovich", "given" : "T.", "non-dropping-particle" : "", "parse-names" : false, "suffix" : "" }, { "dropping-particle" : "", "family" : "Griffin", "given" : "D.", "non-dropping-particle" : "", "parse-names" : false, "suffix" : "" }, { "dropping-particle" : "", "family" : "Kahneman", "given" : "D.", "non-dropping-particle" : "", "parse-names" : false, "suffix" : "" } ], "id" : "ITEM-1", "issued" : { "date-parts" : [ [ "2002" ] ] }, "page" : "49-81", "publisher" : "Cambridge University Press", "publisher-place" : "New York", "title" : "Representativeness revisited: Attribute substitution in intuitive judgment", "type" : "chapter" }, "uris" : [ "http://www.mendeley.com/documents/?uuid=17abbba6-1c6c-4de6-bbbc-3cb2a5fe2fab" ] } ], "mendeley" : { "formattedCitation" : "(Kahneman &amp; Frederick, 2002)", "plainTextFormattedCitation" : "(Kahneman &amp; Frederick, 2002)", "previouslyFormattedCitation" : "(Kahneman &amp; Frederick, 2002)"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(Kahneman &amp; Frederick, 2002)</w:t>
      </w:r>
      <w:r>
        <w:rPr>
          <w:rFonts w:ascii="Times New Roman" w:hAnsi="Times New Roman" w:cs="Times New Roman"/>
          <w:sz w:val="24"/>
          <w:szCs w:val="24"/>
        </w:rPr>
        <w:fldChar w:fldCharType="end"/>
      </w:r>
      <w:r>
        <w:rPr>
          <w:rFonts w:ascii="Times New Roman" w:hAnsi="Times New Roman" w:cs="Times New Roman"/>
          <w:sz w:val="24"/>
          <w:szCs w:val="24"/>
        </w:rPr>
        <w:t xml:space="preserve">, where the correct answer is 5 cents. Just based on this task alone, DSTs vary significantly in their explanations for this common error. One interpretation is that System 1 is invoked automatically and is the sole driver of the error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"Kahneman", "given" : "D.", "non-dropping-particle" : "", "parse-names" : false, "suffix" : "" }, { "dropping-particle" : "", "family" : "Frederick", "given" : "S.", "non-dropping-particle" : "", "parse-names" : false, "suffix" : "" } ], "container-title" : "Tge Cnmbridge Handbook of Thinking and Reasoning", "editor" : [ { "dropping-particle" : "", "family" : "Holyoack", "given" : "K. J.", "non-dropping-particle" : "", "parse-names" : false, "suffix" : "" }, { "dropping-particle" : "", "family" : "Morrison", "given" : "R. G.", "non-dropping-particle" : "", "parse-names" : false, "suffix" : "" } ], "id" : "ITEM-1", "issued" : { "date-parts" : [ [ "2005" ] ] }, "page" : "267-293", "publisher" : "Cambridge University Press", "publisher-place" : "New York", "title" : "A model of heuristic judgment", "type" : "chapter" }, "uris" : [ "http://www.mendeley.com/documents/?uuid=43b29b8c-633e-489b-8c75-7d0b9cd708f9" ] }, { "id" : "ITEM-2", "itemData" : { "author" : [ { "dropping-particle" : "", "family" : "Kahneman", "given" : "D.", "non-dropping-particle" : "", "parse-names" : false, "suffix" : "" }, { "dropping-particle" : "", "family" : "Frederick", "given" : "S.", "non-dropping-particle" : "", "parse-names" : false, "suffix" : "" } ], "container-title" : "Heuristics and Biases: The Psychology of Intuitive Judgment", "editor" : [ { "dropping-particle" : "", "family" : "Gilovich", "given" : "T.", "non-dropping-particle" : "", "parse-names" : false, "suffix" : "" }, { "dropping-particle" : "", "family" : "Griffin", "given" : "D.", "non-dropping-particle" : "", "parse-names" : false, "suffix" : "" }, { "dropping-particle" : "", "family" : "Kahneman", "given" : "D.", "non-dropping-particle" : "", "parse-names" : false, "suffix" : "" } ], "id" : "ITEM-2", "issued" : { "date-parts" : [ [ "2002" ] ] }, "page" : "49-81", "publisher" : "Cambridge University Press", "publisher-place" : "New York", "title" : "Representativeness revisited: Attribute substitution in intuitive judgment", "type" : "chapter" }, "uris" : [ "http://www.mendeley.com/documents/?uuid=17abbba6-1c6c-4de6-bbbc-3cb2a5fe2fab" ] } ], "mendeley" : { "formattedCitation" : "(Kahneman &amp; Frederick, 2002, 2005)", "plainTextFormattedCitation" : "(Kahneman &amp; Frederick, 2002, 2005)", "previouslyFormattedCitation" : "(Kahneman &amp; Frederick, 2002, 2005)"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(Kahneman &amp; Frederick, 2002, 2005)</w:t>
      </w:r>
      <w:r>
        <w:rPr>
          <w:rFonts w:ascii="Times New Roman" w:hAnsi="Times New Roman" w:cs="Times New Roman"/>
          <w:sz w:val="24"/>
          <w:szCs w:val="24"/>
        </w:rPr>
        <w:fldChar w:fldCharType="end"/>
      </w:r>
      <w:r>
        <w:rPr>
          <w:rFonts w:ascii="Times New Roman" w:hAnsi="Times New Roman" w:cs="Times New Roman"/>
          <w:sz w:val="24"/>
          <w:szCs w:val="24"/>
        </w:rPr>
        <w:t xml:space="preserve">, which is the favored interpretation of Thaler and Sunstein (2008). An alternative explanation is that System 2 is also in operation but fails to detect the error generated by System 1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"10.1016/0010-0277(82)90022-1", "author" : [ { "dropping-particle" : "", "family" : "Kahneman", "given" : "D.", "non-dropping-particle" : "", "parse-names" : false, "suffix" : "" }, { "dropping-particle" : "", "family" : "Tversky", "given" : "Amos", "non-dropping-particle" : "", "parse-names" : false, "suffix" : "" } ], "container-title" : "Judgement under uncertainty: Heuristics and biases", "editor" : [ { "dropping-particle" : "", "family" : "Kahneman", "given" : "D.", "non-dropping-particle" : "", "parse-names" : false, "suffix" : "" }, { "dropping-particle" : "", "family" : "Slovic", "given" : "P.", "non-dropping-particle" : "", "parse-names" : false, "suffix" : "" }, { "dropping-particle" : "", "family" : "Tversky", "given" : "A.", "non-dropping-particle" : "", "parse-names" : false, "suffix" : "" } ], "id" : "ITEM-1", "issued" : { "date-parts" : [ [ "1982", "3" ] ] }, "page" : "493-508", "publisher" : "Camrbidge University Press", "publisher-place" : "New York", "title" : "On the study of statistical intuitions", "type" : "chapter" }, "uris" : [ "http://www.mendeley.com/documents/?uuid=3de7d870-3338-3f56-b674-af9525b26caf" ] } ], "mendeley" : { "formattedCitation" : "(Kahneman &amp; Tversky, 1982)", "plainTextFormattedCitation" : "(Kahneman &amp; Tversky, 1982)", "previouslyFormattedCitation" : "(Kahneman &amp; Tversky, 1982)"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(Kahneman &amp; Tversky, 1982)</w:t>
      </w:r>
      <w:r>
        <w:rPr>
          <w:rFonts w:ascii="Times New Roman" w:hAnsi="Times New Roman" w:cs="Times New Roman"/>
          <w:sz w:val="24"/>
          <w:szCs w:val="24"/>
        </w:rPr>
        <w:fldChar w:fldCharType="end"/>
      </w:r>
      <w:r>
        <w:rPr>
          <w:rFonts w:ascii="Times New Roman" w:hAnsi="Times New Roman" w:cs="Times New Roman"/>
          <w:sz w:val="24"/>
          <w:szCs w:val="24"/>
        </w:rPr>
        <w:t xml:space="preserve">, and a third interpretation is that because System 2 is slower than System 1, System 2 detects the error but cannot intervene quickly enough to prevent the error being made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"0-89862-379-0", "abstract" : "(from the introduction) intentional inferences about another's traits (and attitudes and moods) . . . occur in two stages / a relatively automatic \"characterization\" stage in which the person and focal behavior are similarly described / a more deliberate \"correction\" stage in which the characterization may be modified in light of situational constraints series of experiments shows [that demanding concurrent tasks and \"cognitive busyness\" prevents subjects from correcting their initial impressions] / nonverbal information may be processed more efficiently than verbal information how is the inferential system designed to employ conscious attention and why is it designed this way ((c) 1997 APA/PsycINFO, all rights reserved)", "author" : [ { "dropping-particle" : "", "family" : "Gilbert", "given" : "Daniel T", "non-dropping-particle" : "", "parse-names" : false, "suffix" : "" } ], "container-title" : "Unintended thought", "editor" : [ { "dropping-particle" : "", "family" : "Uleman", "given" : "J. S.", "non-dropping-particle" : "", "parse-names" : false, "suffix" : "" }, { "dropping-particle" : "", "family" : "Bargh", "given" : "J. A.", "non-dropping-particle" : "", "parse-names" : false, "suffix" : "" } ], "id" : "ITEM-1", "issued" : { "date-parts" : [ [ "1989" ] ] }, "page" : "189-211", "publisher" : "Guilford Press", "publisher-place" : "New York", "title" : "Thinking lightly about others: Automatic components of the social inference process", "type" : "chapter" }, "uris" : [ "http://www.mendeley.com/documents/?uuid=7dd5174b-2108-4d98-8fdf-8b87f22fcc66" ] } ], "mendeley" : { "formattedCitation" : "(Gilbert, 1989)", "plainTextFormattedCitation" : "(Gilbert, 1989)", "previouslyFormattedCitation" : "(Gilbert, 1989)"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(Gilbert, 1989; Stanovich &amp; West, 2000)</w:t>
      </w:r>
      <w:r>
        <w:rPr>
          <w:rFonts w:ascii="Times New Roman" w:hAnsi="Times New Roman" w:cs="Times New Roman"/>
          <w:sz w:val="24"/>
          <w:szCs w:val="24"/>
        </w:rPr>
        <w:fldChar w:fldCharType="end"/>
      </w:r>
      <w:r>
        <w:rPr>
          <w:rFonts w:ascii="Times New Roman" w:hAnsi="Times New Roman" w:cs="Times New Roman"/>
          <w:sz w:val="24"/>
          <w:szCs w:val="24"/>
        </w:rPr>
        <w:t xml:space="preserve">. The role that System 2 plays in this task in turn has implications for how researchers develop methods to ameliorate the error effectively. Thus, the same problem extends to nudges, in which the reasons behind a poor choice being made, in turn will impact what appropriate intervention is needed to reduce the chances of it continually being made.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b/>
          <w:sz w:val="24"/>
          <w:szCs w:val="24"/>
        </w:rPr>
        <w:t>Issue 2.</w:t>
      </w:r>
      <w:r>
        <w:rPr>
          <w:rFonts w:ascii="Times New Roman" w:hAnsi="Times New Roman" w:cs="Times New Roman"/>
          <w:sz w:val="24"/>
          <w:szCs w:val="24"/>
        </w:rPr>
        <w:t xml:space="preserve"> Lack of precision regarding the critical distinctions between the two systems. There are essentially three different proposals regarding the core qualitative difference between System 1 and System 2. One view is that they can be differentiated based on their demands on working memory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"10.1111/j.1467-9280.2006.01723.x", "ISSN" : "0956-7976", "PMID" : "16683931", "abstract" : "Human reasoning has been characterized as an interplay between an automatic belief-based system and a demanding logic-based reasoning system. The present study tested a fundamental claim about the nature of individual differences in reasoning and the processing demands of both systems. Participants varying in working memory capacity performed a reasoning task while their executive resources were burdened with a secondary task. Results were consistent with the dual-process claim: The executive burden hampered correct reasoning when the believability of a conclusion conflicted with its logical validity, but not when beliefs cued the correct response. However, although participants with high working memory spans performed better than those with lower spans in cases of a conflict, all reasoners showed similar effects of load. The findings support the idea that there are two reasoning systems with differential processing demands, but constitute evidence against qualitative individual differences in the human reasoning machinery.", "author" : [ { "dropping-particle" : "", "family" : "Neys", "given" : "W. D.", "non-dropping-particle" : "De", "parse-names" : false, "suffix" : "" } ], "container-title" : "Psychological Science", "id" : "ITEM-1", "issue" : "5", "issued" : { "date-parts" : [ [ "2006", "5", "1" ] ] }, "page" : "428-433", "title" : "Dual Processing in Reasoning: Two Systems but One Reasoner", "type" : "article-journal", "volume" : "17" }, "uris" : [ "http://www.mendeley.com/documents/?uuid=51925dd7-0070-393a-8232-25703c0ce748" ] }, { "id" : "ITEM-2", "itemData" : { "DOI" : "10.1177/1745691612460685", "ISBN" : "1745-6916\\n1745-6924", "ISSN" : "1745-6916", "abstract" : "Dual-process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 "author" : [ { "dropping-particle" : "", "family" : "Evans", "given" : "J. S. B. T.", "non-dropping-particle" : "", "parse-names" : false, "suffix" : "" }, { "dropping-particle" : "", "family" : "Stanovich", "given" : "K. E.", "non-dropping-particle" : "", "parse-names" : false, "suffix" : "" } ], "container-title" : "Perspectives on Psychological Science", "id" : "ITEM-2", "issue" : "3", "issued" : { "date-parts" : [ [ "2013", "5", "1" ] ] }, "page" : "223-241", "title" : "Dual-Process Theories of Higher Cognition: Advancing the Debate", "type" : "article-journal", "volume" : "8" }, "uris" : [ "http://www.mendeley.com/documents/?uuid=b7ef1a27-5af9-446d-a8c1-95c1502ed029" ] }, { "id" : "ITEM-3", "itemData" : { "DOI" : "10.1016/j.tics.2008.02.014", "ISSN" : "13646613", "PMID" : "18468944", "abstract" : "Fluency - the subjective experience of ease or difficulty associated with completing a mental task - has been shown to be an influential cue in a wide array of judgments. Recently researchers have begun to look at how fluency impacts judgment through more subtle and indirect routes. Fluency impacts whether information is represented in working memory and what aspects of that information are attended to. Additionally, fluency has an impact in strategy selection; depending on how fluent information is, people engage in qualitatively different cognitive operations. This suggests that the role of fluency is more nuanced than previously believed and that understanding fluency could be of critical importance to understanding cognition more generally.", "author" : [ { "dropping-particle" : "", "family" : "Oppenheimer", "given" : "Daniel M.", "non-dropping-particle" : "", "parse-names" : false, "suffix" : "" } ], "container-title" : "Trends in Cognitive Sciences", "id" : "ITEM-3", "issue" : "6", "issued" : { "date-parts" : [ [ "2008", "6" ] ] }, "page" : "237-241", "title" : "The secret life of fluency", "type" : "article-journal", "volume" : "12" }, "uris" : [ "http://www.mendeley.com/documents/?uuid=0b56560e-f46d-351b-8a47-5284da731011" ] } ], "mendeley" : { "formattedCitation" : "(De Neys, 2006; Evans &amp; Stanovich, 2013; Oppenheimer, 2008)", "plainTextFormattedCitation" : "(De Neys, 2006; Evans &amp; Stanovich, 2013; Oppenheimer, 2008)", "previouslyFormattedCitation" : "(De Neys, 2006; Evans &amp; Stanovich, 2013; Oppenheimer, 2008)"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(De Neys, 2006; Evans &amp; Stanovich, 2013; Oppenheimer, 2008)</w:t>
      </w:r>
      <w:r>
        <w:rPr>
          <w:rFonts w:ascii="Times New Roman" w:hAnsi="Times New Roman" w:cs="Times New Roman"/>
          <w:sz w:val="24"/>
          <w:szCs w:val="24"/>
        </w:rPr>
        <w:fldChar w:fldCharType="end"/>
      </w:r>
      <w:r>
        <w:rPr>
          <w:rFonts w:ascii="Times New Roman" w:hAnsi="Times New Roman" w:cs="Times New Roman"/>
          <w:sz w:val="24"/>
          <w:szCs w:val="24"/>
        </w:rPr>
        <w:t xml:space="preserve">; working memory is a </w:t>
      </w:r>
      <w:r>
        <w:rPr>
          <w:rFonts w:ascii="Times New Roman" w:hAnsi="Times New Roman" w:cs="Times New Roman"/>
          <w:sz w:val="24"/>
          <w:szCs w:val="24"/>
          <w:lang w:val="en-GB"/>
        </w:rPr>
        <w:t>system for the temporary holding and manipulation of information during the performance of a range of cognitive tasks. A second claim is that they differ depending on the</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extent to which metacognitive processes are invoked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"Thompson", "given" : "Valerie A.", "non-dropping-particle" : "", "parse-names" : false, "suffix" : "" } ], "container-title" : "In two minds: Dual processes and beyond", "editor" : [ { "dropping-particle" : "", "family" : "Evans", "given" : "J. S. B. T.", "non-dropping-particle" : "", "parse-names" : false, "suffix" : "" }, { "dropping-particle" : "", "family" : "Frankish", "given" : "K.", "non-dropping-particle" : "", "parse-names" : false, "suffix" : "" } ], "id" : "ITEM-1", "issued" : { "date-parts" : [ [ "2009" ] ] }, "page" : "171-196", "publisher" : "Oxford University Press", "publisher-place" : "Oxford, England", "title" : "Dual process theories: A metacognitive perspective", "type" : "chapter" }, "uris" : [ "http://www.mendeley.com/documents/?uuid=2074710f-4a3b-3a9f-813f-f740810499d2" ] } ], "mendeley" : { "formattedCitation" : "(Thompson, 2009)", "plainTextFormattedCitation" : "(Thompson, 2009)", "previouslyFormattedCitation" : "(Thompson, 2009)"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(Thompson, 2009)</w:t>
      </w:r>
      <w:r>
        <w:rPr>
          <w:rFonts w:ascii="Times New Roman" w:hAnsi="Times New Roman" w:cs="Times New Roman"/>
          <w:sz w:val="24"/>
          <w:szCs w:val="24"/>
        </w:rPr>
        <w:fldChar w:fldCharType="end"/>
      </w:r>
      <w:r>
        <w:rPr>
          <w:rFonts w:ascii="Times New Roman" w:hAnsi="Times New Roman" w:cs="Times New Roman"/>
          <w:sz w:val="24"/>
          <w:szCs w:val="24"/>
        </w:rPr>
        <w:t xml:space="preserve">; metacognition broadly refers to explicit </w:t>
      </w:r>
      <w:r>
        <w:rPr>
          <w:rFonts w:ascii="Times New Roman" w:hAnsi="Times New Roman" w:cs="Times New Roman"/>
          <w:sz w:val="24"/>
          <w:szCs w:val="24"/>
          <w:lang w:val="en-GB"/>
        </w:rPr>
        <w:t xml:space="preserve">knowledge or beliefs of factors that affect the outcome of a cognitive operation. The third is that they vary to the extent to which </w:t>
      </w:r>
      <w:r>
        <w:rPr>
          <w:rFonts w:ascii="Times New Roman" w:hAnsi="Times New Roman" w:cs="Times New Roman"/>
          <w:sz w:val="24"/>
          <w:szCs w:val="24"/>
        </w:rPr>
        <w:t xml:space="preserve">representations are accessible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"abstract" : "The work cited by the Nobel committee was done jointly with the late Amos Tversky (1937\u20131996) during a long and unusually close collaboration. Together, we explored the psychology of intuitive beliefs and choices and ex-amined their bounded rationality. This essay presents a current perspective on the three major topics of our joint work: heuristics of judgment, risky choice, and framing effects. In all three domains we studied intuitions \u2013 thoughts and preferences that come to mind quickly and without much re-flection. I review the older research and some recent developments in light of two ideas that have become central to social-cognitive psychology in the in-tervening decades: the notion that thoughts differ in a dimension of accessi-bility \u2013 some come to mind much more easily than others \u2013 and the distinc-tion between intuitive and deliberate thought processes. Section 1 distinguishes two generic modes of cognitive function: an intui-tive mode in which judgments and decisions are made automatically and rapidly, and a controlled mode, which is deliberate and slower. Section 2 de-scribes the factors that determine the relative accessibility of different judg-ments and responses. Section 3 explains framing effects in terms of differen-tial salience and accessibility. Section 4 relates prospect theory to the general * This essay revisits problems that Amos Tversky and I studied together many years ago, and con-tinued to discuss in a conversation that spanned several decades.", "author" : [ { "dropping-particle" : "", "family" : "Kahneman", "given" : "D.", "non-dropping-particle" : "", "parse-names" : false, "suffix" : "" } ], "container-title" : "Lex Prix Nobel: The Nobel Prizes 2002", "editor" : [ { "dropping-particle" : "", "family" : "Frangsmyr", "given" : "T.", "non-dropping-particle" : "", "parse-names" : false, "suffix" : "" } ], "id" : "ITEM-1", "issued" : { "date-parts" : [ [ "2003" ] ] }, "page" : "449-89", "publisher" : "Almquist &amp; Wiksell International", "publisher-place" : "Stockholm", "title" : "Maps of bounded rationality: a perspective on intuitive judgement and choice", "type" : "chapter" }, "uris" : [ "http://www.mendeley.com/documents/?uuid=aeb3977e-b817-3d56-a687-fb35b86cba21" ] } ], "mendeley" : { "formattedCitation" : "(Kahneman, 2003)", "plainTextFormattedCitation" : "(Kahneman, 2003)", "previouslyFormattedCitation" : "(Kahneman, 2003)"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(Kahneman, 2003)</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lang w:val="en-GB"/>
        </w:rPr>
        <w:t>the ease (or effort) with which particular mental contents come explicitly to mind. Essentially, t</w:t>
      </w:r>
      <w:r>
        <w:rPr>
          <w:rFonts w:ascii="Times New Roman" w:hAnsi="Times New Roman" w:cs="Times New Roman"/>
          <w:sz w:val="24"/>
          <w:szCs w:val="24"/>
        </w:rPr>
        <w:t xml:space="preserve">he greater the dependency on working memory, or metacognitive processes, or difficulty in accessing representations suggests System 2 is in operation, and the opposite applies for System 1.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There are three main problems with the apparent qualitative distinctions between System 1 and 2. The first is, and as has been highlighted by DSTs, that in actual fact the three qualities essentially reduce to one single factor, namely dependency on working memory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"10.1177/1745691612460685", "ISBN" : "1745-6916\\n1745-6924", "ISSN" : "1745-6916", "abstract" : "Dual-process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 "author" : [ { "dropping-particle" : "", "family" : "Evans", "given" : "J. S. B. T.", "non-dropping-particle" : "", "parse-names" : false, "suffix" : "" }, { "dropping-particle" : "", "family" : "Stanovich", "given" : "K. E.", "non-dropping-particle" : "", "parse-names" : false, "suffix" : "" } ], "container-title" : "Perspectives on Psychological Science", "id" : "ITEM-1", "issue" : "3", "issued" : { "date-parts" : [ [ "2013", "5", "1" ] ] }, "page" : "223-241", "title" : "Dual-Process Theories of Higher Cognition: Advancing the Debate", "type" : "article-journal", "volume" : "8" }, "uris" : [ "http://www.mendeley.com/documents/?uuid=b7ef1a27-5af9-446d-a8c1-95c1502ed029" ] } ], "mendeley" : { "formattedCitation" : "(Evans &amp; Stanovich, 2013)", "plainTextFormattedCitation" : "(Evans &amp; Stanovich, 2013)", "previouslyFormattedCitation" : "(Evans &amp; Stanovich, 2013)"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(Evans &amp; Stanovich, 2013)</w:t>
      </w:r>
      <w:r>
        <w:rPr>
          <w:rFonts w:ascii="Times New Roman" w:hAnsi="Times New Roman" w:cs="Times New Roman"/>
          <w:sz w:val="24"/>
          <w:szCs w:val="24"/>
        </w:rPr>
        <w:fldChar w:fldCharType="end"/>
      </w:r>
      <w:r>
        <w:rPr>
          <w:rFonts w:ascii="Times New Roman" w:hAnsi="Times New Roman" w:cs="Times New Roman"/>
          <w:sz w:val="24"/>
          <w:szCs w:val="24"/>
        </w:rPr>
        <w:t xml:space="preserve">. This in and of itself is not necessarily a concern, since it suggests strong compatibility between the theoretical claims. However, what is a concern is that dependency on working memory is not all or nothing, and modelling and empirical demonstrations of the way in which high order cognition relies on working memory is based on quantitative differences not qualitative ones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"Schmiedek", "given" : "F.", "non-dropping-particle" : "", "parse-names" : false, "suffix" : "" }, { "dropping-particle" : "", "family" : "Oberauer", "given" : "K.", "non-dropping-particle" : "", "parse-names" : false, "suffix" : "" }, { "dropping-particle" : "", "family" : "Wilhelm", "given" : "O.", "non-dropping-particle" : "", "parse-names" : false, "suffix" : "" }, { "dropping-particle" : "", "family" : "S\u00fc\u00df", "given" : "H. M.", "non-dropping-particle" : "", "parse-names" : false, "suffix" : "" }, { "dropping-particle" : "", "family" : "Wittmann", "given" : "W. W.", "non-dropping-particle" : "", "parse-names" : false, "suffix" : "" } ], "container-title" : "Journal of Experimental Psychology: General", "id" : "ITEM-1", "issue" : "3", "issued" : { "date-parts" : [ [ "2007" ] ] }, "page" : "414", "title" : "Individual differences in components of reaction time distributions and their relations to working memory and intelligence", "type" : "article-journal", "volume" : "136" }, "uris" : [ "http://www.mendeley.com/documents/?uuid=678fdb98-ac6c-4b59-a6bd-aa107701a4ad" ] } ], "mendeley" : { "formattedCitation" : "(Schmiedek, Oberauer, Wilhelm, S\u00fc\u00df, &amp; Wittmann, 2007)", "manualFormatting" : "(e.g., Schmiedek, Oberauer, Wilhelm, S\u00fc\u00df, &amp; Wittmann, 2007)", "plainTextFormattedCitation" : "(Schmiedek, Oberauer, Wilhelm, S\u00fc\u00df, &amp; Wittmann, 2007)", "previouslyFormattedCitation" : "(Schmiedek, Oberauer, Wilhelm, S\u00fc\u00df, &amp; Wittmann, 2007)"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(e.g., Schmiedek, Oberauer, Wilhelm, Süß, &amp; Wittmann, 2007)</w:t>
      </w:r>
      <w:r>
        <w:rPr>
          <w:rFonts w:ascii="Times New Roman" w:hAnsi="Times New Roman" w:cs="Times New Roman"/>
          <w:sz w:val="24"/>
          <w:szCs w:val="24"/>
        </w:rPr>
        <w:fldChar w:fldCharType="end"/>
      </w:r>
      <w:r>
        <w:rPr>
          <w:rFonts w:ascii="Times New Roman" w:hAnsi="Times New Roman" w:cs="Times New Roman"/>
          <w:sz w:val="24"/>
          <w:szCs w:val="24"/>
        </w:rPr>
        <w:t xml:space="preserve">.  Second is that the purported core qualitative distinction between System 1 and 2, be that working memory, metacognition, accessibility of representations, is used to explain why one system is implicit/automatic, and the other is explicit. As with working memory, measures identifying automatic and explicit processes often rely on speed of response which is a continuous measure, meaning that there are a variety of judgments, choices and inferences that are made, some of which are faster than others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"10.3758/BF03196730", "ISBN" : "1069-9384", "ISSN" : "1069-9384", "PMID" : "15875969", "abstract" : "Current theories propose that reasoning comprises two underlying systems (Evans &amp; Over, 1996; Sloman, 1996; Stanovich &amp; West, 2000). The systems are identified as having functionally distinct roles, differ according to the type of information encoded, vary according to the level of expressible knowledge, and result in different responses. This article evaluates the arguments and the evidence from a select number of key tasks that have been supportive of dual-reasoning theorists' proposals. The review contrasts the dualist approach with a single-system framework that conjectures that different types of reasoning arise through the graded properties of the representations that are utilized while reasoning, and the different functional roles that consciousness has in cognition. The article concludes by arguing in favor of the alternative framework, which attempts to unify thedifferent forms of reasoning identified by dual-process theorists under a single system.", "author" : [ { "dropping-particle" : "", "family" : "Osman", "given" : "Magda", "non-dropping-particle" : "", "parse-names" : false, "suffix" : "" } ], "container-title" : "Psychonomic Bulletin &amp; Review", "id" : "ITEM-1", "issue" : "6", "issued" : { "date-parts" : [ [ "2004", "12" ] ] }, "page" : "988-1010", "title" : "An evaluation of dual-process theories of reasoning", "type" : "article-journal", "volume" : "11" }, "uris" : [ "http://www.mendeley.com/documents/?uuid=89bddc2b-7115-4909-8a9c-1d1afc10023d" ] }, { "id" : "ITEM-2", "itemData" : { "author" : [ { "dropping-particle" : "", "family" : "Osman", "given" : "Magda", "non-dropping-particle" : "", "parse-names" : false, "suffix" : "" }, { "dropping-particle" : "", "family" : "Stavy", "given" : "R.", "non-dropping-particle" : "", "parse-names" : false, "suffix" : "" } ], "container-title" : "Psychonomic bulletin &amp; review", "id" : "ITEM-2", "issue" : "935-53", "issued" : { "date-parts" : [ [ "2006" ] ] }, "title" : "Intuitive rules: From formative to developed reasoning", "type" : "article-journal", "volume" : "13" }, "uris" : [ "http://www.mendeley.com/documents/?uuid=ae94301a-79c8-4186-b677-e5f3fb717b67" ] }, { "id" : "ITEM-3", "itemData" : { "DOI" : "10.1177/1745691613483475", "ISBN" : "1745-6916 1745-6924", "ISSN" : "1745-6916", "abstract" : "Dual-process theories of higher order cognition (DPTs) have been enjoying much success, particularly since Kahneman\u2019s 2002 Nobel prize address and recent book Thinking, Fast and Slow (2009). Historically, DPTs have attempted to provide a conceptual framework that helps classify and predict differences in patterns of behavior found under some circumstances and not others in a host of reasoning, judgment, and decision-making tasks. As evidence has changed and techniques for examining behavior have moved on, so too have DPTs. Killing two birds with one stone, Evans and Stanovich (2013, this issue) respond to five main criticisms of DPTs. Along with addressing each criticism in turn, they set out to clarify the essential defining characteristics that distinguish one form of higher order cognition from the other. The aim of this commentary is to consider the defining characteristics of Type 1 and Type 2 processing that have been proposed and to suggest that the evidence can be taken to support quantitative differences rather than qualitatively distinct processes.", "author" : [ { "dropping-particle" : "", "family" : "Osman", "given" : "Magda", "non-dropping-particle" : "", "parse-names" : false, "suffix" : "" } ], "container-title" : "Prospect Psychological Science", "id" : "ITEM-3", "issue" : "3", "issued" : { "date-parts" : [ [ "2013", "5" ] ] }, "page" : "248-52", "title" : "A Case Study: Dual-Process Theories of Higher Cognition-Commentary on Evans &amp; Stanovich (2013)", "type" : "article-journal", "volume" : "8" }, "uris" : [ "http://www.mendeley.com/documents/?uuid=4ad84e9b-c5e3-4360-90cd-fafbf0dae975" ] }, { "id" : "ITEM-4", "itemData" : { "author" : [ { "dropping-particle" : "", "family" : "Osman", "given" : "Magda", "non-dropping-particle" : "", "parse-names" : false, "suffix" : "" } ], "id" : "ITEM-4", "issued" : { "date-parts" : [ [ "2014" ] ] }, "publisher" : "Palgrave Macmillan", "publisher-place" : "New York", "title" : "Future-minded: The Psychology of Agency and Control", "type" : "book" }, "uris" : [ "http://www.mendeley.com/documents/?uuid=bf0af7c0-575a-44f4-94ea-9d55c253c4cd" ] }, { "id" : "ITEM-5", "itemData" : { "author" : [ { "dropping-particle" : "", "family" : "Osman", "given" : "Magda", "non-dropping-particle" : "", "parse-names" : false, "suffix" : "" } ], "container-title" : "Memory &amp; Cognition", "id" : "ITEM-5", "issue" : "2", "issued" : { "date-parts" : [ [ "2007" ] ] }, "page" : "342-351", "title" : "Can tutoring improve performance on a reasoning task under deadline conditions?", "type" : "article-journal", "volume" : "35" }, "uris" : [ "http://www.mendeley.com/documents/?uuid=5310da5b-d13c-446f-a3c4-5ed5ec9d428b" ] } ], "mendeley" : { "formattedCitation" : "(Osman, 2004, 2007, 2013, 2014; Osman &amp; Stavy, 2006)", "plainTextFormattedCitation" : "(Osman, 2004, 2007, 2013, 2014; Osman &amp; Stavy, 2006)", "previouslyFormattedCitation" : "(Osman, 2004, 2007, 2013, 2014; Osman &amp; Stavy, 2006)"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(Osman, 2004, 2007, 2013, 2014; Osman &amp; Stavy, 2006)</w:t>
      </w:r>
      <w:r>
        <w:rPr>
          <w:rFonts w:ascii="Times New Roman" w:hAnsi="Times New Roman" w:cs="Times New Roman"/>
          <w:sz w:val="24"/>
          <w:szCs w:val="24"/>
        </w:rPr>
        <w:fldChar w:fldCharType="end"/>
      </w:r>
      <w:r>
        <w:rPr>
          <w:rFonts w:ascii="Times New Roman" w:hAnsi="Times New Roman" w:cs="Times New Roman"/>
          <w:sz w:val="24"/>
          <w:szCs w:val="24"/>
        </w:rPr>
        <w:t xml:space="preserve">. The relative nature by which automatic and explicit responses are identified, means that it makes better sense to claim that some responses are faster than others, rather than some are automatic and others are explicit. Thus far no DST theorist has presented the necessary and sufficient conditions by which to identify automatic responses independently </w:t>
      </w:r>
      <w:r>
        <w:rPr>
          <w:rFonts w:ascii="Times New Roman" w:hAnsi="Times New Roman" w:cs="Times New Roman"/>
          <w:sz w:val="24"/>
          <w:szCs w:val="24"/>
        </w:rPr>
        <w:lastRenderedPageBreak/>
        <w:t xml:space="preserve">of explicit responses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"10.3758/BF03196730", "ISBN" : "1069-9384", "ISSN" : "1069-9384", "PMID" : "15875969", "abstract" : "Current theories propose that reasoning comprises two underlying systems (Evans &amp; Over, 1996; Sloman, 1996; Stanovich &amp; West, 2000). The systems are identified as having functionally distinct roles, differ according to the type of information encoded, vary according to the level of expressible knowledge, and result in different responses. This article evaluates the arguments and the evidence from a select number of key tasks that have been supportive of dual-reasoning theorists' proposals. The review contrasts the dualist approach with a single-system framework that conjectures that different types of reasoning arise through the graded properties of the representations that are utilized while reasoning, and the different functional roles that consciousness has in cognition. The article concludes by arguing in favor of the alternative framework, which attempts to unify thedifferent forms of reasoning identified by dual-process theorists under a single system.", "author" : [ { "dropping-particle" : "", "family" : "Osman", "given" : "Magda", "non-dropping-particle" : "", "parse-names" : false, "suffix" : "" } ], "container-title" : "Psychonomic Bulletin &amp; Review", "id" : "ITEM-1", "issue" : "6", "issued" : { "date-parts" : [ [ "2004", "12" ] ] }, "page" : "988-1010", "title" : "An evaluation of dual-process theories of reasoning", "type" : "article-journal", "volume" : "11" }, "uris" : [ "http://www.mendeley.com/documents/?uuid=89bddc2b-7115-4909-8a9c-1d1afc10023d" ] } ], "mendeley" : { "formattedCitation" : "(Osman, 2004)", "plainTextFormattedCitation" : "(Osman, 2004)", "previouslyFormattedCitation" : "(Osman, 2004)"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(Osman, 2004)</w:t>
      </w:r>
      <w:r>
        <w:rPr>
          <w:rFonts w:ascii="Times New Roman" w:hAnsi="Times New Roman" w:cs="Times New Roman"/>
          <w:sz w:val="24"/>
          <w:szCs w:val="24"/>
        </w:rPr>
        <w:fldChar w:fldCharType="end"/>
      </w:r>
      <w:r>
        <w:rPr>
          <w:rFonts w:ascii="Times New Roman" w:hAnsi="Times New Roman" w:cs="Times New Roman"/>
          <w:sz w:val="24"/>
          <w:szCs w:val="24"/>
        </w:rPr>
        <w:t xml:space="preserve">. Moreover, not all behaviors associated with System 1 are fast, and not all behaviors associated with System 2 are slow, and to accommodate this some theorists have proposed a four system framework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"Klaczynski", "given" : "P. A.", "non-dropping-particle" : "", "parse-names" : false, "suffix" : "" } ], "container-title" : "Child development", "id" : "ITEM-1", "issue" : "3", "issued" : { "date-parts" : [ [ "2001" ] ] }, "page" : "844-861", "title" : "Analytic and Heuristic Processing Influences on Adolescent Reasoning and Decision Making", "type" : "article-journal", "volume" : "72" }, "uris" : [ "http://www.mendeley.com/documents/?uuid=3cf9ab51-c6fc-4bd1-95e4-de21d94a76e1" ] }, { "id" : "ITEM-2", "itemData" : { "author" : [ { "dropping-particle" : "", "family" : "Sun", "given" : "R.", "non-dropping-particle" : "", "parse-names" : false, "suffix" : "" }, { "dropping-particle" : "", "family" : "Slusarz", "given" : "P.", "non-dropping-particle" : "", "parse-names" : false, "suffix" : "" }, { "dropping-particle" : "", "family" : "Terry", "given" : "C.", "non-dropping-particle" : "", "parse-names" : false, "suffix" : "" } ], "container-title" : "Psychological Review", "id" : "ITEM-2", "issue" : "1", "issued" : { "date-parts" : [ [ "2005" ] ] }, "page" : "159", "title" : "The interaction of the explicit and the implicit in skill learning: a dual-process approach", "type" : "article-journal", "volume" : "112" }, "uris" : [ "http://www.mendeley.com/documents/?uuid=0357c340-15ac-4347-9429-e99918f816c0" ] } ], "mendeley" : { "formattedCitation" : "(Klaczynski, 2001; Sun, Slusarz, &amp; Terry, 2005)", "plainTextFormattedCitation" : "(Klaczynski, 2001; Sun, Slusarz, &amp; Terry, 2005)", "previouslyFormattedCitation" : "(Klaczynski, 2001; Sun, Slusarz, &amp; Terry, 2005)"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(Klaczynski, 2001; Sun, Slusarz, &amp; Terry, 2005)</w:t>
      </w:r>
      <w:r>
        <w:rPr>
          <w:rFonts w:ascii="Times New Roman" w:hAnsi="Times New Roman" w:cs="Times New Roman"/>
          <w:sz w:val="24"/>
          <w:szCs w:val="24"/>
        </w:rPr>
        <w:fldChar w:fldCharType="end"/>
      </w:r>
      <w:r>
        <w:rPr>
          <w:rFonts w:ascii="Times New Roman" w:hAnsi="Times New Roman" w:cs="Times New Roman"/>
          <w:sz w:val="24"/>
          <w:szCs w:val="24"/>
        </w:rPr>
        <w:t>. Third, t</w:t>
      </w:r>
      <w:r>
        <w:rPr>
          <w:rFonts w:ascii="Times New Roman" w:hAnsi="Times New Roman" w:cs="Times New Roman"/>
          <w:sz w:val="24"/>
          <w:szCs w:val="24"/>
          <w:lang w:val="en-GB"/>
        </w:rPr>
        <w:t>he same initial observations that led to the formation of DSTs, and used to theorize about the key qualitative property that determines the difference between the two systems, are re-described to form predictions of the same observations which identify differences between the two systems. Put simply, it would be akin to detecting that sometimes people make erroneous choices quickly, and correct choices slowly, and then theorize that this is because of two underlying systems one of which is fast, the other which is slow; each of which differ based on ease of access of information. From this, a prediction is formed which outlines that when the slow system is being used people will make correct choices, but not when the fast system is invoked. This is referred to as a particular type of circular argument (self-dependent justification), which has been commonly found in the area of DSTs of decision-making, judgment and reasoning</w:t>
      </w:r>
      <w:r>
        <w:rPr>
          <w:rFonts w:ascii="Times New Roman" w:hAnsi="Times New Roman" w:cs="Times New Roman"/>
          <w:sz w:val="24"/>
          <w:szCs w:val="24"/>
          <w:lang w:val="en-GB" w:eastAsia="zh-CN"/>
        </w:rPr>
        <w:t xml:space="preserve"> </w:t>
      </w:r>
      <w:r>
        <w:rPr>
          <w:rFonts w:ascii="Times New Roman" w:hAnsi="Times New Roman" w:cs="Times New Roman"/>
          <w:sz w:val="24"/>
          <w:szCs w:val="24"/>
          <w:lang w:val="en-GB" w:eastAsia="zh-CN"/>
        </w:rPr>
        <w:fldChar w:fldCharType="begin" w:fldLock="1"/>
      </w:r>
      <w:r>
        <w:rPr>
          <w:rFonts w:ascii="Times New Roman" w:hAnsi="Times New Roman" w:cs="Times New Roman"/>
          <w:sz w:val="24"/>
          <w:szCs w:val="24"/>
          <w:lang w:val="en-GB" w:eastAsia="zh-CN"/>
        </w:rPr>
        <w:instrText>ADDIN CSL_CITATION { "citationItems" : [ { "id" : "ITEM-1", "itemData" : { "author" : [ { "dropping-particle" : "", "family" : "Hahn", "given" : "U.", "non-dropping-particle" : "", "parse-names" : false, "suffix" : "" } ], "container-title" : "Perspectives on Psychological Science", "id" : "ITEM-1", "issue" : "2", "issued" : { "date-parts" : [ [ "2011" ] ] }, "page" : "172-182", "title" : "The problem of circularity in evidence, argument, and explanation", "type" : "article-journal", "volume" : "6" }, "uris" : [ "http://www.mendeley.com/documents/?uuid=05e9278c-1920-4a19-8f17-b73eec784f38" ] } ], "mendeley" : { "formattedCitation" : "(Hahn, 2011)", "plainTextFormattedCitation" : "(Hahn, 2011)", "previouslyFormattedCitation" : "(Hahn, 2011)" }, "properties" : { "noteIndex" : 0 }, "schema" : "https://github.com/citation-style-language/schema/raw/master/csl-citation.json" }</w:instrText>
      </w:r>
      <w:r>
        <w:rPr>
          <w:rFonts w:ascii="Times New Roman" w:hAnsi="Times New Roman" w:cs="Times New Roman"/>
          <w:sz w:val="24"/>
          <w:szCs w:val="24"/>
          <w:lang w:val="en-GB" w:eastAsia="zh-CN"/>
        </w:rPr>
        <w:fldChar w:fldCharType="separate"/>
      </w:r>
      <w:r>
        <w:rPr>
          <w:rFonts w:ascii="Times New Roman" w:hAnsi="Times New Roman" w:cs="Times New Roman"/>
          <w:noProof/>
          <w:sz w:val="24"/>
          <w:szCs w:val="24"/>
          <w:lang w:val="en-GB" w:eastAsia="zh-CN"/>
        </w:rPr>
        <w:t>(Hahn, 2011)</w:t>
      </w:r>
      <w:r>
        <w:rPr>
          <w:rFonts w:ascii="Times New Roman" w:hAnsi="Times New Roman" w:cs="Times New Roman"/>
          <w:sz w:val="24"/>
          <w:szCs w:val="24"/>
          <w:lang w:val="en-GB" w:eastAsia="zh-CN"/>
        </w:rPr>
        <w:fldChar w:fldCharType="end"/>
      </w:r>
      <w:r>
        <w:rPr>
          <w:rFonts w:ascii="Times New Roman" w:hAnsi="Times New Roman" w:cs="Times New Roman"/>
          <w:sz w:val="24"/>
          <w:szCs w:val="24"/>
          <w:lang w:val="en-GB" w:eastAsia="zh-CN"/>
        </w:rPr>
        <w:t>. Given the serious concerns discussed around Issue 1 and 2, we propose an alternative.</w:t>
      </w:r>
    </w:p>
    <w:p>
      <w:pPr>
        <w:spacing w:line="480" w:lineRule="auto"/>
        <w:contextualSpacing/>
        <w:jc w:val="center"/>
        <w:rPr>
          <w:rFonts w:ascii="Times New Roman" w:hAnsi="Times New Roman" w:cs="Times New Roman"/>
          <w:b/>
          <w:sz w:val="24"/>
          <w:szCs w:val="24"/>
        </w:rPr>
      </w:pPr>
      <w:r>
        <w:rPr>
          <w:rFonts w:ascii="Times New Roman" w:hAnsi="Times New Roman" w:cs="Times New Roman"/>
          <w:b/>
          <w:sz w:val="24"/>
          <w:szCs w:val="24"/>
        </w:rPr>
        <w:t>A Single System Account of Nudge</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Many dual system theorists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"0863774385", "ISSN" : "00070882", "PMID" : "381240", "abstract" : "This book addresses an apparent paradox in the psychology of thinking. On the one hand, human beings are a highly successful species. On the other, intelligent adults are known to exhibit numerous errors and biases in laboratory studies of reasoning and decision making. There has been much debate among both philosophers and psychologists about the implications of such studies for human rationality. The authors argue that this debate is marked by a confusion between two distinct notions: (a) personal rationality (rationality1Evans and Over argue that people have a high degree of rationality1 but only a limited capacity for rationality2. The book re-interprets the psychological literature on reasoning and decision making, showing that many normative errors, by abstract standards, reflect the operation of processes that would normally help to achieve ordinary goals. Topics discussed include relevance effects in reasoning and decision making, the influence of prior beliefs on thinking, and the argument that apparently non-logical reasoning can reflect efficient decision making. The authors also discuss the problem of deductive competence - whether people have it, and what mechanism can account for it.As the book progresses, increasing emphasis is given to the authors' dual process theory of thinking, in which a distinction between tacit and explicit cognitive systems is developed. It is argued that much of human capacity for rationality1 is invested in tacit cognitive processes, which reflect both innate mechanisms and biologically constrained learning. However, the authors go on to argue that human beings also possess an explicit thinking system, which underlies their unique - if limited - capacity to be rational.", "author" : [ { "dropping-particle" : "", "family" : "Evans", "given" : "J. S. B. T.", "non-dropping-particle" : "", "parse-names" : false, "suffix" : "" }, { "dropping-particle" : "", "family" : "Over", "given" : "D. E.", "non-dropping-particle" : "", "parse-names" : false, "suffix" : "" } ], "container-title" : "International Journal of Psychology", "id" : "ITEM-1", "issued" : { "date-parts" : [ [ "1996" ] ] }, "number-of-pages" : "1310", "publisher" : "Psychology Press", "publisher-place" : "East Sussex", "title" : "Rationality and reasoning", "type" : "book", "volume" : "31" }, "uris" : [ "http://www.mendeley.com/documents/?uuid=54262110-617e-4b66-9798-b7e1e46b7a61" ] }, { "id" : "ITEM-2", "itemData" : { "DOI" : "10.1177/1745691612460685", "ISBN" : "1745-6916\\n1745-6924", "ISSN" : "1745-6916", "abstract" : "Dual-process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 "author" : [ { "dropping-particle" : "", "family" : "Evans", "given" : "J. S. B. T.", "non-dropping-particle" : "", "parse-names" : false, "suffix" : "" }, { "dropping-particle" : "", "family" : "Stanovich", "given" : "K. E.", "non-dropping-particle" : "", "parse-names" : false, "suffix" : "" } ], "container-title" : "Perspectives on Psychological Science", "id" : "ITEM-2", "issue" : "3", "issued" : { "date-parts" : [ [ "2013", "5", "1" ] ] }, "page" : "223-241", "title" : "Dual-Process Theories of Higher Cognition: Advancing the Debate", "type" : "article-journal", "volume" : "8" }, "uris" : [ "http://www.mendeley.com/documents/?uuid=b7ef1a27-5af9-446d-a8c1-95c1502ed029" ] }, { "id" : "ITEM-3", "itemData" : { "abstract" : "The work cited by the Nobel committee was done jointly with the late Amos Tversky (1937\u20131996) during a long and unusually close collaboration. Together, we explored the psychology of intuitive beliefs and choices and ex-amined their bounded rationality. This essay presents a current perspective on the three major topics of our joint work: heuristics of judgment, risky choice, and framing effects. In all three domains we studied intuitions \u2013 thoughts and preferences that come to mind quickly and without much re-flection. I review the older research and some recent developments in light of two ideas that have become central to social-cognitive psychology in the in-tervening decades: the notion that thoughts differ in a dimension of accessi-bility \u2013 some come to mind much more easily than others \u2013 and the distinc-tion between intuitive and deliberate thought processes. Section 1 distinguishes two generic modes of cognitive function: an intui-tive mode in which judgments and decisions are made automatically and rapidly, and a controlled mode, which is deliberate and slower. Section 2 de-scribes the factors that determine the relative accessibility of different judg-ments and responses. Section 3 explains framing effects in terms of differen-tial salience and accessibility. Section 4 relates prospect theory to the general * This essay revisits problems that Amos Tversky and I studied together many years ago, and con-tinued to discuss in a conversation that spanned several decades.", "author" : [ { "dropping-particle" : "", "family" : "Kahneman", "given" : "D.", "non-dropping-particle" : "", "parse-names" : false, "suffix" : "" } ], "container-title" : "Lex Prix Nobel: The Nobel Prizes 2002", "editor" : [ { "dropping-particle" : "", "family" : "Frangsmyr", "given" : "T.", "non-dropping-particle" : "", "parse-names" : false, "suffix" : "" } ], "id" : "ITEM-3", "issued" : { "date-parts" : [ [ "2003" ] ] }, "page" : "449-89", "publisher" : "Almquist &amp; Wiksell International", "publisher-place" : "Stockholm", "title" : "Maps of bounded rationality: a perspective on intuitive judgement and choice", "type" : "chapter" }, "uris" : [ "http://www.mendeley.com/documents/?uuid=aeb3977e-b817-3d56-a687-fb35b86cba21" ] } ], "mendeley" : { "formattedCitation" : "(Evans &amp; Over, 1996; Evans &amp; Stanovich, 2013; Kahneman, 2003)", "plainTextFormattedCitation" : "(Evans &amp; Over, 1996; Evans &amp; Stanovich, 2013; Kahneman, 2003)", "previouslyFormattedCitation" : "(Evans &amp; Over, 1996; Evans &amp; Stanovich, 2013; Kahneman, 2003)"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(Evans &amp; Over, 1996; Evans &amp; Stanovich, 2013; Kahneman, 2003)</w:t>
      </w:r>
      <w:r>
        <w:rPr>
          <w:rFonts w:ascii="Times New Roman" w:hAnsi="Times New Roman" w:cs="Times New Roman"/>
          <w:sz w:val="24"/>
          <w:szCs w:val="24"/>
        </w:rPr>
        <w:fldChar w:fldCharType="end"/>
      </w:r>
      <w:r>
        <w:rPr>
          <w:rFonts w:ascii="Times New Roman" w:hAnsi="Times New Roman" w:cs="Times New Roman"/>
          <w:sz w:val="24"/>
          <w:szCs w:val="24"/>
        </w:rPr>
        <w:t xml:space="preserve">; as well as critics of them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"10.3758/BF03196730", "ISBN" : "1069-9384", "ISSN" : "1069-9384", "PMID" : "15875969", "abstract" : "Current theories propose that reasoning comprises two underlying systems (Evans &amp; Over, 1996; Sloman, 1996; Stanovich &amp; West, 2000). The systems are identified as having functionally distinct roles, differ according to the type of information encoded, vary according to the level of expressible knowledge, and result in different responses. This article evaluates the arguments and the evidence from a select number of key tasks that have been supportive of dual-reasoning theorists' proposals. The review contrasts the dualist approach with a single-system framework that conjectures that different types of reasoning arise through the graded properties of the representations that are utilized while reasoning, and the different functional roles that consciousness has in cognition. The article concludes by arguing in favor of the alternative framework, which attempts to unify thedifferent forms of reasoning identified by dual-process theorists under a single system.", "author" : [ { "dropping-particle" : "", "family" : "Osman", "given" : "Magda", "non-dropping-particle" : "", "parse-names" : false, "suffix" : "" } ], "container-title" : "Psychonomic Bulletin &amp; Review", "id" : "ITEM-1", "issue" : "6", "issued" : { "date-parts" : [ [ "2004", "12" ] ] }, "page" : "988-1010", "title" : "An evaluation of dual-process theories of reasoning", "type" : "article-journal", "volume" : "11" }, "uris" : [ "http://www.mendeley.com/documents/?uuid=89bddc2b-7115-4909-8a9c-1d1afc10023d" ] }, { "id" : "ITEM-2", "itemData" : { "DOI" : "10.1177/1745691613483475", "ISBN" : "1745-6916 1745-6924", "ISSN" : "1745-6916", "abstract" : "Dual-process theories of higher order cognition (DPTs) have been enjoying much success, particularly since Kahneman\u2019s 2002 Nobel prize address and recent book Thinking, Fast and Slow (2009). Historically, DPTs have attempted to provide a conceptual framework that helps classify and predict differences in patterns of behavior found under some circumstances and not others in a host of reasoning, judgment, and decision-making tasks. As evidence has changed and techniques for examining behavior have moved on, so too have DPTs. Killing two birds with one stone, Evans and Stanovich (2013, this issue) respond to five main criticisms of DPTs. Along with addressing each criticism in turn, they set out to clarify the essential defining characteristics that distinguish one form of higher order cognition from the other. The aim of this commentary is to consider the defining characteristics of Type 1 and Type 2 processing that have been proposed and to suggest that the evidence can be taken to support quantitative differences rather than qualitatively distinct processes.", "author" : [ { "dropping-particle" : "", "family" : "Osman", "given" : "Magda", "non-dropping-particle" : "", "parse-names" : false, "suffix" : "" } ], "container-title" : "Prospect Psychological Science", "id" : "ITEM-2", "issue" : "3", "issued" : { "date-parts" : [ [ "2013", "5" ] ] }, "page" : "248-52", "title" : "A Case Study: Dual-Process Theories of Higher Cognition-Commentary on Evans &amp; Stanovich (2013)", "type" : "article-journal", "volume" : "8" }, "uris" : [ "http://www.mendeley.com/documents/?uuid=4ad84e9b-c5e3-4360-90cd-fafbf0dae975" ] }, { "id" : "ITEM-3", "itemData" : { "author" : [ { "dropping-particle" : "", "family" : "Osman", "given" : "Magda", "non-dropping-particle" : "", "parse-names" : false, "suffix" : "" } ], "id" : "ITEM-3", "issued" : { "date-parts" : [ [ "2014" ] ] }, "publisher" : "Palgrave Macmillan", "publisher-place" : "New York", "title" : "Future-minded: The Psychology of Agency and Control", "type" : "book" }, "uris" : [ "http://www.mendeley.com/documents/?uuid=bf0af7c0-575a-44f4-94ea-9d55c253c4cd" ] } ], "mendeley" : { "formattedCitation" : "(Osman, 2004, 2013, 2014)", "plainTextFormattedCitation" : "(Osman, 2004, 2013, 2014)", "previouslyFormattedCitation" : "(Osman, 2004, 2013, 2014)"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(Osman, 2004, 2013, 2014)</w:t>
      </w:r>
      <w:r>
        <w:rPr>
          <w:rFonts w:ascii="Times New Roman" w:hAnsi="Times New Roman" w:cs="Times New Roman"/>
          <w:sz w:val="24"/>
          <w:szCs w:val="24"/>
        </w:rPr>
        <w:fldChar w:fldCharType="end"/>
      </w:r>
      <w:r>
        <w:rPr>
          <w:rFonts w:ascii="Times New Roman" w:hAnsi="Times New Roman" w:cs="Times New Roman"/>
          <w:sz w:val="24"/>
          <w:szCs w:val="24"/>
        </w:rPr>
        <w:t xml:space="preserve"> agree that a fully dissociationist view of System 1 and System 2 is not adequate for capturing the complexities in which decision-making processes operate. In light of this, and other serious concerns with dual-system frameworks, there are several single-system frameworks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"10.1177/1745691613483477", "ISBN" : "1745-6916\\n1745-6924", "ISSN" : "1745-6916", "abstract" : "Evans and Stanovich (2013, this issue) defend the dual-processing theories of higher cognition after first criticizing them on fundamental grounds. To make that possible, they resurrect the very distinctions between the two alleged \u201ctypes\u201d of processing that they formerly had rejected. At the end, however, the default-interventionist model they embrace, seems similar to the single-process unimodel they contest.", "author" : [ { "dropping-particle" : "", "family" : "Kruglanski", "given" : "Arie W.", "non-dropping-particle" : "", "parse-names" : false, "suffix" : "" } ], "container-title" : "Perspectives on Psychological Science", "id" : "ITEM-1", "issue" : "3", "issued" : { "date-parts" : [ [ "2013", "5", "1" ] ] }, "page" : "242-247", "title" : "Only One? The Default Interventionist Perspective as a Unimodel--Commentary on Evans &amp; Stanovich (2013)", "type" : "article-journal", "volume" : "8" }, "uris" : [ "http://www.mendeley.com/documents/?uuid=af0554c4-dde3-4f7d-ba5d-37189db27ed1" ] }, { "id" : "ITEM-2", "itemData" : { "DOI" : "10.3758/BF03196730", "ISBN" : "1069-9384", "ISSN" : "1069-9384", "PMID" : "15875969", "abstract" : "Current theories propose that reasoning comprises two underlying systems (Evans &amp; Over, 1996; Sloman, 1996; Stanovich &amp; West, 2000). The systems are identified as having functionally distinct roles, differ according to the type of information encoded, vary according to the level of expressible knowledge, and result in different responses. This article evaluates the arguments and the evidence from a select number of key tasks that have been supportive of dual-reasoning theorists' proposals. The review contrasts the dualist approach with a single-system framework that conjectures that different types of reasoning arise through the graded properties of the representations that are utilized while reasoning, and the different functional roles that consciousness has in cognition. The article concludes by arguing in favor of the alternative framework, which attempts to unify thedifferent forms of reasoning identified by dual-process theorists under a single system.", "author" : [ { "dropping-particle" : "", "family" : "Osman", "given" : "Magda", "non-dropping-particle" : "", "parse-names" : false, "suffix" : "" } ], "container-title" : "Psychonomic Bulletin &amp; Review", "id" : "ITEM-2", "issue" : "6", "issued" : { "date-parts" : [ [ "2004", "12" ] ] }, "page" : "988-1010", "title" : "An evaluation of dual-process theories of reasoning", "type" : "article-journal", "volume" : "11" }, "uris" : [ "http://www.mendeley.com/documents/?uuid=89bddc2b-7115-4909-8a9c-1d1afc10023d" ] }, { "id" : "ITEM-3", "itemData" : { "author" : [ { "dropping-particle" : "", "family" : "Osman", "given" : "Magda", "non-dropping-particle" : "", "parse-names" : false, "suffix" : "" } ], "container-title" : "Memory &amp; Cognition", "id" : "ITEM-3", "issue" : "2", "issued" : { "date-parts" : [ [ "2007" ] ] }, "page" : "342-351", "title" : "Can tutoring improve performance on a reasoning task under deadline conditions?", "type" : "article-journal", "volume" : "35" }, "uris" : [ "http://www.mendeley.com/documents/?uuid=5310da5b-d13c-446f-a3c4-5ed5ec9d428b" ] }, { "id" : "ITEM-4", "itemData" : { "DOI" : "10.1177/1745691613483475", "ISBN" : "1745-6916 1745-6924", "ISSN" : "1745-6916", "abstract" : "Dual-process theories of higher order cognition (DPTs) have been enjoying much success, particularly since Kahneman\u2019s 2002 Nobel prize address and recent book Thinking, Fast and Slow (2009). Historically, DPTs have attempted to provide a conceptual framework that helps classify and predict differences in patterns of behavior found under some circumstances and not others in a host of reasoning, judgment, and decision-making tasks. As evidence has changed and techniques for examining behavior have moved on, so too have DPTs. Killing two birds with one stone, Evans and Stanovich (2013, this issue) respond to five main criticisms of DPTs. Along with addressing each criticism in turn, they set out to clarify the essential defining characteristics that distinguish one form of higher order cognition from the other. The aim of this commentary is to consider the defining characteristics of Type 1 and Type 2 processing that have been proposed and to suggest that the evidence can be taken to support quantitative differences rather than qualitatively distinct processes.", "author" : [ { "dropping-particle" : "", "family" : "Osman", "given" : "Magda", "non-dropping-particle" : "", "parse-names" : false, "suffix" : "" } ], "container-title" : "Prospect Psychological Science", "id" : "ITEM-4", "issue" : "3", "issued" : { "date-parts" : [ [ "2013", "5" ] ] }, "page" : "248-52", "title" : "A Case Study: Dual-Process Theories of Higher Cognition-Commentary on Evans &amp; Stanovich (2013)", "type" : "article-journal", "volume" : "8" }, "uris" : [ "http://www.mendeley.com/documents/?uuid=4ad84e9b-c5e3-4360-90cd-fafbf0dae975" ] }, { "id" : "ITEM-5", "itemData" : { "author" : [ { "dropping-particle" : "", "family" : "Osman", "given" : "Magda", "non-dropping-particle" : "", "parse-names" : false, "suffix" : "" }, { "dropping-particle" : "", "family" : "Stavy", "given" : "R.", "non-dropping-particle" : "", "parse-names" : false, "suffix" : "" } ], "container-title" : "Psychonomic bulletin &amp; review", "id" : "ITEM-5", "issue" : "935-53", "issued" : { "date-parts" : [ [ "2006" ] ] }, "title" : "Intuitive rules: From formative to developed reasoning", "type" : "article-journal", "volume" : "13" }, "uris" : [ "http://www.mendeley.com/documents/?uuid=ae94301a-79c8-4186-b677-e5f3fb717b67" ] }, { "id" : "ITEM-6", "itemData" : { "author" : [ { "dropping-particle" : "", "family" : "Simon", "given" : "D.", "non-dropping-particle" : "", "parse-names" : false, "suffix" : "" }, { "dropping-particle" : "", "family" : "Snow", "given" : "C. J.", "non-dropping-particle" : "", "parse-names" : false, "suffix" : "" }, { "dropping-particle" : "", "family" : "Read", "given" : "S. J.", "non-dropping-particle" : "", "parse-names" : false, "suffix" : "" } ], "container-title" : "Journal of Personality and Social Psychology", "id" : "ITEM-6", "issue" : "6", "issued" : { "date-parts" : [ [ "2004" ] ] }, "page" : "814-837", "title" : "The redux of cognitive consistency theories: evidence judgments by constraint satisfaction", "type" : "article-journal", "volume" : "86" }, "uris" : [ "http://www.mendeley.com/documents/?uuid=ed3e9bdf-7f9d-426f-84fd-3b78e943754b" ] } ], "mendeley" : { "formattedCitation" : "(Kruglanski, 2013; Osman, 2004, 2007, 2013; Osman &amp; Stavy, 2006; Simon, Snow, &amp; Read, 2004)", "manualFormatting" : "(e.g., Kruglanski, 2013; Osman, 2004, 2007, 2013; Osman &amp; Stavy, 2006; Simon, Snow, &amp; Read, 2004)", "plainTextFormattedCitation" : "(Kruglanski, 2013; Osman, 2004, 2007, 2013; Osman &amp; Stavy, 2006; Simon, Snow, &amp; Read, 2004)", "previouslyFormattedCitation" : "(Kruglanski, 2013; Osman, 2004, 2007, 2013; Osman &amp; Stavy, 2006; Simon, Snow, &amp; Read, 2004)"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(e.g., Kruglanski, 2013; Osman, 2004, 2007, 2013; Osman &amp; Stavy, 2006; Simon, Snow, &amp; Read, 2004)</w:t>
      </w:r>
      <w:r>
        <w:rPr>
          <w:rFonts w:ascii="Times New Roman" w:hAnsi="Times New Roman" w:cs="Times New Roman"/>
          <w:sz w:val="24"/>
          <w:szCs w:val="24"/>
        </w:rPr>
        <w:fldChar w:fldCharType="end"/>
      </w:r>
      <w:r>
        <w:rPr>
          <w:rFonts w:ascii="Times New Roman" w:hAnsi="Times New Roman" w:cs="Times New Roman"/>
          <w:sz w:val="24"/>
          <w:szCs w:val="24"/>
        </w:rPr>
        <w:t xml:space="preserve">. Building on these unitary system frameworks, we extend their proposals by suggesting that they reduce to a parallel constraint satisfaction (PCS) model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"Simon", "given" : "D.", "non-dropping-particle" : "", "parse-names" : false, "suffix" : "" }, { "dropping-particle" : "", "family" : "Snow", "given" : "C. J.", "non-dropping-particle" : "", "parse-names" : false, "suffix" : "" }, { "dropping-particle" : "", "family" : "Read", "given" : "S. J.", "non-dropping-particle" : "", "parse-names" : false, "suffix" : "" } ], "container-title" : "Journal of Personality and Social Psychology", "id" : "ITEM-1", "issue" : "6", "issued" : { "date-parts" : [ [ "2004" ] ] }, "page" : "814-837", "title" : "The redux of cognitive consistency theories: evidence judgments by constraint satisfaction", "type" : "article-journal", "volume" : "86" }, "uris" : [ "http://www.mendeley.com/documents/?uuid=ed3e9bdf-7f9d-426f-84fd-3b78e943754b" ] } ], "mendeley" : { "formattedCitation" : "(Simon et al., 2004)", "plainTextFormattedCitation" : "(Simon et al., 2004)", "previouslyFormattedCitation" : "(Simon et al., 2004)"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(Simon et al., 2004)</w:t>
      </w:r>
      <w:r>
        <w:rPr>
          <w:rFonts w:ascii="Times New Roman" w:hAnsi="Times New Roman" w:cs="Times New Roman"/>
          <w:sz w:val="24"/>
          <w:szCs w:val="24"/>
        </w:rPr>
        <w:fldChar w:fldCharType="end"/>
      </w:r>
      <w:r>
        <w:rPr>
          <w:rFonts w:ascii="Times New Roman" w:hAnsi="Times New Roman" w:cs="Times New Roman"/>
          <w:sz w:val="24"/>
          <w:szCs w:val="24"/>
        </w:rPr>
        <w:t xml:space="preserve">. This is essentially a connectionist approach in which the spread of activation among nodes in the network is fully </w:t>
      </w:r>
      <w:r>
        <w:rPr>
          <w:rFonts w:ascii="Times New Roman" w:hAnsi="Times New Roman" w:cs="Times New Roman"/>
          <w:sz w:val="24"/>
          <w:szCs w:val="24"/>
        </w:rPr>
        <w:lastRenderedPageBreak/>
        <w:t xml:space="preserve">sufficient for the processing of an outcome, e.g. a choice, and the basis on which a decision is made (knowledge, evidence, beliefs) is coded in the network through the pattern of weights among the nodes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"Read", "given" : "S. J.", "non-dropping-particle" : "", "parse-names" : false, "suffix" : "" }, { "dropping-particle" : "", "family" : "Vanman", "given" : "E. J.", "non-dropping-particle" : "", "parse-names" : false, "suffix" : "" }, { "dropping-particle" : "", "family" : "Miller", "given" : "L. C.", "non-dropping-particle" : "", "parse-names" : false, "suffix" : "" } ], "container-title" : "Personality and Social Psychology Review", "id" : "ITEM-1", "issued" : { "date-parts" : [ [ "1997" ] ] }, "page" : "26-53", "title" : "Connectionism, parallel constraint satisfaction processes, and gestalt principles: (Re)introducing cognitive dynamics to social psychology", "type" : "article-journal", "volume" : "1" }, "uris" : [ "http://www.mendeley.com/documents/?uuid=3d0a868c-29ea-41a4-a648-b3592863dbdd" ] } ], "mendeley" : { "formattedCitation" : "(Read, Vanman, &amp; Miller, 1997)", "plainTextFormattedCitation" : "(Read, Vanman, &amp; Miller, 1997)", "previouslyFormattedCitation" : "(Read, Vanman, &amp; Miller, 1997)"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(Read, Vanman, &amp; Miller, 1997)</w:t>
      </w:r>
      <w:r>
        <w:rPr>
          <w:rFonts w:ascii="Times New Roman" w:hAnsi="Times New Roman" w:cs="Times New Roman"/>
          <w:sz w:val="24"/>
          <w:szCs w:val="24"/>
        </w:rPr>
        <w:fldChar w:fldCharType="end"/>
      </w:r>
      <w:r>
        <w:rPr>
          <w:rFonts w:ascii="Times New Roman" w:hAnsi="Times New Roman" w:cs="Times New Roman"/>
          <w:sz w:val="24"/>
          <w:szCs w:val="24"/>
        </w:rPr>
        <w:t xml:space="preserve">. PSC processing is guided by the goal of maximizing consistency, which means the need to reconfigure/re-evaluate/update knowledge/evidence/beliefs from multiple (potentially conflicting) sources that bring about an outcome (i.e. judgment, choice, inference) so that both (representations and outcome) are in alignment (i.e. coherent). Where DSTs identify distinct types of processes that can be classified as System 1 or System 2, in a PSC model, variations in processing of information is predicted and modeled according to the degree of restructuring that needs to occur for coherence (between knowledge and behavior) to be achieved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"Simon", "given" : "D.", "non-dropping-particle" : "", "parse-names" : false, "suffix" : "" }, { "dropping-particle" : "", "family" : "Holyoak", "given" : "K. J.", "non-dropping-particle" : "", "parse-names" : false, "suffix" : "" } ], "container-title" : "Personality and Social Psychology Review", "id" : "ITEM-1", "issued" : { "date-parts" : [ [ "2002" ] ] }, "page" : "283-294", "title" : "Structural dynamics of cognition: From consistency theories to constraint satisfaction", "type" : "article-journal", "volume" : "6" }, "uris" : [ "http://www.mendeley.com/documents/?uuid=1e8f4449-f514-489e-a2e4-e1f3fd834300" ] } ], "mendeley" : { "formattedCitation" : "(Simon &amp; Holyoak, 2002)", "plainTextFormattedCitation" : "(Simon &amp; Holyoak, 2002)", "previouslyFormattedCitation" : "(Simon &amp; Holyoak, 2002)"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(Simon &amp; Holyoak, 2002)</w:t>
      </w:r>
      <w:r>
        <w:rPr>
          <w:rFonts w:ascii="Times New Roman" w:hAnsi="Times New Roman" w:cs="Times New Roman"/>
          <w:sz w:val="24"/>
          <w:szCs w:val="24"/>
        </w:rPr>
        <w:fldChar w:fldCharType="end"/>
      </w:r>
      <w:r>
        <w:rPr>
          <w:rFonts w:ascii="Times New Roman" w:hAnsi="Times New Roman" w:cs="Times New Roman"/>
          <w:sz w:val="24"/>
          <w:szCs w:val="24"/>
        </w:rPr>
        <w:t>.</w:t>
      </w:r>
    </w:p>
    <w:p>
      <w:pPr>
        <w:spacing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How does a single system account apply to nudges?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We extend the PCS single system framework to help classify nudges into two types that differ according to the degree to which processing efforts are needed to maintain psychological coherence (See Table 1 for examples). Type 1 nudges target decision-making contexts which generate responses that are not typically accompanied by critical inspection to prompt reconsideration of the choices made. For instance, familiar consumer-based contexts such as supermarkets involve highly practiced patterns of behavior leading to repetitive choices being made. So, in response, Type 1 nudges involve simple interventions such as re-arranging the presentations of consumer items in food isles to highlight options that would have ordinarily been ignored. Type 1 nudges kind minimally disrupt the choice context to prompt some adjustment in the way information within it is processed at the point of decision, but not enough that the decision-maker detects any dissonance between the nudged choice and their general value-system. Type 2 nudges aim to promote a sustained re-evaluation of the evidence base on which people make their choices, and the choices themselves, by disrupting the coherence between the two. For example, long term educational campaigns promoting exercise present </w:t>
      </w:r>
      <w:r>
        <w:rPr>
          <w:rFonts w:ascii="Times New Roman" w:hAnsi="Times New Roman" w:cs="Times New Roman"/>
          <w:sz w:val="24"/>
          <w:szCs w:val="24"/>
        </w:rPr>
        <w:lastRenderedPageBreak/>
        <w:t xml:space="preserve">the benefits of regular exercise as well as the harmful effects of continuing to be sedentary. Repeated exposure to information of this kind is designed to create dissonance resulting from the costs of maintaining poor habits and the benefits of changing them. Given the cognitive system’s need for coherence, a re-evaluation and restructuring of knowledge representations is needed to bring in alignment the evidence base (knowledge/beliefs) and choice behavior. It is worth reiterating here that the two types of nudges differ according to the amount of re-evaluation of information on which peoples’ choices are made and actions taken based on it, it is not predicated on a difference between qualitative differences in systems of thought. Now that we have considered a simple way to conceptualizing nudges into types, we turn to the evidence base in order to critically consider which type of nudge is shown to be effective. </w:t>
      </w:r>
    </w:p>
    <w:p>
      <w:pPr>
        <w:spacing w:line="480" w:lineRule="auto"/>
        <w:contextualSpacing/>
        <w:jc w:val="center"/>
        <w:rPr>
          <w:rFonts w:ascii="Times New Roman" w:hAnsi="Times New Roman" w:cs="Times New Roman"/>
          <w:b/>
          <w:sz w:val="24"/>
          <w:szCs w:val="24"/>
        </w:rPr>
      </w:pPr>
      <w:r>
        <w:rPr>
          <w:rFonts w:ascii="Times New Roman" w:hAnsi="Times New Roman" w:cs="Times New Roman"/>
          <w:b/>
          <w:sz w:val="24"/>
          <w:szCs w:val="24"/>
        </w:rPr>
        <w:t>Nudges: Evidence-base in the health domain</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In this section we examine a range of nudges (Table 1) implemented in four health domains: 1) poor diet, 2) physical inactivity, 3) alcohol overconsumption and 4) tobacco use. This is not a comprehensive review of the evidence in the literature, but instead is a focused evaluation of core findings that provide a representative impression of the pattern of evidence in this area (see Appendix for further information). </w:t>
      </w:r>
    </w:p>
    <w:p>
      <w:pPr>
        <w:pStyle w:val="Newparagraph"/>
        <w:ind w:firstLine="0"/>
        <w:contextualSpacing/>
        <w:jc w:val="both"/>
        <w:rPr>
          <w:i/>
        </w:rPr>
      </w:pPr>
      <w:r>
        <w:t xml:space="preserve">Table 1. </w:t>
      </w:r>
      <w:r>
        <w:rPr>
          <w:i/>
        </w:rPr>
        <w:t>A summary of the evidence on the effectiveness of Type 1 and Type 2 Nudges.</w:t>
      </w:r>
    </w:p>
    <w:tbl>
      <w:tblPr>
        <w:tblStyle w:val="TableGrid"/>
        <w:tblW w:w="897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2"/>
        <w:gridCol w:w="1950"/>
        <w:gridCol w:w="1296"/>
        <w:gridCol w:w="2308"/>
        <w:gridCol w:w="1739"/>
      </w:tblGrid>
      <w:tr>
        <w:trPr>
          <w:trHeight w:val="310"/>
        </w:trPr>
        <w:tc>
          <w:tcPr>
            <w:tcW w:w="1682" w:type="dxa"/>
            <w:tcBorders>
              <w:top w:val="single" w:sz="4" w:space="0" w:color="auto"/>
              <w:bottom w:val="single" w:sz="4" w:space="0" w:color="auto"/>
            </w:tcBorders>
          </w:tcPr>
          <w:p>
            <w:pPr>
              <w:spacing w:before="120"/>
              <w:jc w:val="center"/>
              <w:rPr>
                <w:rFonts w:ascii="Times New Roman" w:hAnsi="Times New Roman" w:cs="Times New Roman"/>
                <w:sz w:val="24"/>
                <w:szCs w:val="24"/>
              </w:rPr>
            </w:pPr>
          </w:p>
        </w:tc>
        <w:tc>
          <w:tcPr>
            <w:tcW w:w="3246" w:type="dxa"/>
            <w:gridSpan w:val="2"/>
            <w:tcBorders>
              <w:top w:val="single" w:sz="4" w:space="0" w:color="auto"/>
              <w:bottom w:val="single" w:sz="4" w:space="0" w:color="auto"/>
            </w:tcBorders>
          </w:tcPr>
          <w:p>
            <w:pPr>
              <w:spacing w:before="120"/>
              <w:jc w:val="center"/>
              <w:rPr>
                <w:rFonts w:ascii="Times New Roman" w:hAnsi="Times New Roman" w:cs="Times New Roman"/>
                <w:b/>
                <w:sz w:val="24"/>
                <w:szCs w:val="24"/>
              </w:rPr>
            </w:pPr>
            <w:r>
              <w:rPr>
                <w:rFonts w:ascii="Times New Roman" w:hAnsi="Times New Roman" w:cs="Times New Roman"/>
                <w:b/>
                <w:sz w:val="24"/>
                <w:szCs w:val="24"/>
              </w:rPr>
              <w:t>Type 1 Nudges</w:t>
            </w:r>
          </w:p>
        </w:tc>
        <w:tc>
          <w:tcPr>
            <w:tcW w:w="4047" w:type="dxa"/>
            <w:gridSpan w:val="2"/>
            <w:tcBorders>
              <w:top w:val="single" w:sz="4" w:space="0" w:color="auto"/>
              <w:bottom w:val="single" w:sz="4" w:space="0" w:color="auto"/>
            </w:tcBorders>
          </w:tcPr>
          <w:p>
            <w:pPr>
              <w:spacing w:before="120"/>
              <w:jc w:val="center"/>
              <w:rPr>
                <w:rFonts w:ascii="Times New Roman" w:hAnsi="Times New Roman" w:cs="Times New Roman"/>
                <w:b/>
                <w:sz w:val="24"/>
                <w:szCs w:val="24"/>
              </w:rPr>
            </w:pPr>
            <w:r>
              <w:rPr>
                <w:rFonts w:ascii="Times New Roman" w:hAnsi="Times New Roman" w:cs="Times New Roman"/>
                <w:b/>
                <w:sz w:val="24"/>
                <w:szCs w:val="24"/>
              </w:rPr>
              <w:t>Type 2 Nudges</w:t>
            </w:r>
          </w:p>
        </w:tc>
      </w:tr>
      <w:tr>
        <w:trPr>
          <w:trHeight w:val="611"/>
        </w:trPr>
        <w:tc>
          <w:tcPr>
            <w:tcW w:w="1682" w:type="dxa"/>
            <w:tcBorders>
              <w:top w:val="single" w:sz="4" w:space="0" w:color="auto"/>
            </w:tcBorders>
          </w:tcPr>
          <w:p>
            <w:pPr>
              <w:spacing w:before="120"/>
              <w:jc w:val="center"/>
              <w:rPr>
                <w:rFonts w:ascii="Times New Roman" w:hAnsi="Times New Roman" w:cs="Times New Roman"/>
                <w:b/>
                <w:sz w:val="24"/>
                <w:szCs w:val="24"/>
              </w:rPr>
            </w:pPr>
            <w:r>
              <w:rPr>
                <w:rFonts w:ascii="Times New Roman" w:hAnsi="Times New Roman" w:cs="Times New Roman"/>
                <w:b/>
                <w:sz w:val="24"/>
                <w:szCs w:val="24"/>
              </w:rPr>
              <w:t>Unhealthy Diet</w:t>
            </w:r>
          </w:p>
        </w:tc>
        <w:tc>
          <w:tcPr>
            <w:tcW w:w="1950" w:type="dxa"/>
            <w:tcBorders>
              <w:top w:val="single" w:sz="4" w:space="0" w:color="auto"/>
            </w:tcBorders>
          </w:tcPr>
          <w:p>
            <w:pPr>
              <w:spacing w:before="120"/>
              <w:jc w:val="center"/>
              <w:rPr>
                <w:rFonts w:ascii="Times New Roman" w:hAnsi="Times New Roman" w:cs="Times New Roman"/>
                <w:sz w:val="24"/>
                <w:szCs w:val="24"/>
              </w:rPr>
            </w:pPr>
            <w:r>
              <w:rPr>
                <w:rFonts w:ascii="Times New Roman" w:hAnsi="Times New Roman" w:cs="Times New Roman"/>
                <w:sz w:val="24"/>
                <w:szCs w:val="24"/>
              </w:rPr>
              <w:t>smaller plate sizes</w:t>
            </w:r>
          </w:p>
        </w:tc>
        <w:tc>
          <w:tcPr>
            <w:tcW w:w="1296" w:type="dxa"/>
            <w:tcBorders>
              <w:top w:val="single" w:sz="4" w:space="0" w:color="auto"/>
              <w:right w:val="single" w:sz="4" w:space="0" w:color="auto"/>
            </w:tcBorders>
          </w:tcPr>
          <w:p>
            <w:pPr>
              <w:spacing w:before="120"/>
              <w:jc w:val="center"/>
              <w:rPr>
                <w:rFonts w:ascii="Times New Roman" w:hAnsi="Times New Roman" w:cs="Times New Roman"/>
                <w:sz w:val="24"/>
                <w:szCs w:val="24"/>
              </w:rPr>
            </w:pPr>
            <w:r>
              <w:rPr>
                <w:rFonts w:ascii="Times New Roman" w:hAnsi="Times New Roman" w:cs="Times New Roman"/>
                <w:i/>
                <w:sz w:val="24"/>
                <w:szCs w:val="24"/>
              </w:rPr>
              <w:t>Limited effect</w:t>
            </w:r>
          </w:p>
        </w:tc>
        <w:tc>
          <w:tcPr>
            <w:tcW w:w="2308" w:type="dxa"/>
            <w:tcBorders>
              <w:top w:val="single" w:sz="4" w:space="0" w:color="auto"/>
              <w:left w:val="single" w:sz="4" w:space="0" w:color="auto"/>
            </w:tcBorders>
          </w:tcPr>
          <w:p>
            <w:pPr>
              <w:spacing w:before="120"/>
              <w:jc w:val="center"/>
              <w:rPr>
                <w:rFonts w:ascii="Times New Roman" w:hAnsi="Times New Roman" w:cs="Times New Roman"/>
                <w:sz w:val="24"/>
                <w:szCs w:val="24"/>
              </w:rPr>
            </w:pPr>
            <w:r>
              <w:rPr>
                <w:rFonts w:ascii="Times New Roman" w:hAnsi="Times New Roman" w:cs="Times New Roman"/>
                <w:sz w:val="24"/>
                <w:szCs w:val="24"/>
              </w:rPr>
              <w:t>Calorie labelling</w:t>
            </w:r>
          </w:p>
          <w:p>
            <w:pPr>
              <w:spacing w:before="120"/>
              <w:jc w:val="center"/>
              <w:rPr>
                <w:rFonts w:ascii="Times New Roman" w:hAnsi="Times New Roman" w:cs="Times New Roman"/>
                <w:sz w:val="24"/>
                <w:szCs w:val="24"/>
              </w:rPr>
            </w:pPr>
            <w:r>
              <w:rPr>
                <w:rFonts w:ascii="Times New Roman" w:hAnsi="Times New Roman" w:cs="Times New Roman"/>
                <w:sz w:val="24"/>
                <w:szCs w:val="24"/>
              </w:rPr>
              <w:t>Traffic light labelling</w:t>
            </w:r>
          </w:p>
        </w:tc>
        <w:tc>
          <w:tcPr>
            <w:tcW w:w="1739" w:type="dxa"/>
            <w:tcBorders>
              <w:top w:val="single" w:sz="4" w:space="0" w:color="auto"/>
            </w:tcBorders>
          </w:tcPr>
          <w:p>
            <w:pPr>
              <w:spacing w:before="120"/>
              <w:jc w:val="center"/>
              <w:rPr>
                <w:rFonts w:ascii="Times New Roman" w:hAnsi="Times New Roman" w:cs="Times New Roman"/>
                <w:sz w:val="24"/>
                <w:szCs w:val="24"/>
              </w:rPr>
            </w:pPr>
            <w:r>
              <w:rPr>
                <w:rFonts w:ascii="Times New Roman" w:hAnsi="Times New Roman" w:cs="Times New Roman"/>
                <w:i/>
                <w:sz w:val="24"/>
                <w:szCs w:val="24"/>
              </w:rPr>
              <w:t>Ineffective</w:t>
            </w:r>
          </w:p>
          <w:p>
            <w:pPr>
              <w:spacing w:before="120"/>
              <w:jc w:val="center"/>
              <w:rPr>
                <w:rFonts w:ascii="Times New Roman" w:hAnsi="Times New Roman" w:cs="Times New Roman"/>
                <w:sz w:val="24"/>
                <w:szCs w:val="24"/>
              </w:rPr>
            </w:pPr>
            <w:r>
              <w:rPr>
                <w:rFonts w:ascii="Times New Roman" w:hAnsi="Times New Roman" w:cs="Times New Roman"/>
                <w:i/>
                <w:sz w:val="24"/>
                <w:szCs w:val="24"/>
              </w:rPr>
              <w:t>Effective</w:t>
            </w:r>
          </w:p>
        </w:tc>
      </w:tr>
      <w:tr>
        <w:trPr>
          <w:trHeight w:val="583"/>
        </w:trPr>
        <w:tc>
          <w:tcPr>
            <w:tcW w:w="1682" w:type="dxa"/>
          </w:tcPr>
          <w:p>
            <w:pPr>
              <w:spacing w:before="120"/>
              <w:jc w:val="center"/>
              <w:rPr>
                <w:rFonts w:ascii="Times New Roman" w:hAnsi="Times New Roman" w:cs="Times New Roman"/>
                <w:b/>
                <w:sz w:val="24"/>
                <w:szCs w:val="24"/>
              </w:rPr>
            </w:pPr>
            <w:r>
              <w:rPr>
                <w:rFonts w:ascii="Times New Roman" w:hAnsi="Times New Roman" w:cs="Times New Roman"/>
                <w:b/>
                <w:sz w:val="24"/>
                <w:szCs w:val="24"/>
              </w:rPr>
              <w:t>Physical Inactivity</w:t>
            </w:r>
          </w:p>
        </w:tc>
        <w:tc>
          <w:tcPr>
            <w:tcW w:w="1950" w:type="dxa"/>
          </w:tcPr>
          <w:p>
            <w:pPr>
              <w:spacing w:before="120"/>
              <w:jc w:val="center"/>
              <w:rPr>
                <w:rFonts w:ascii="Times New Roman" w:hAnsi="Times New Roman" w:cs="Times New Roman"/>
                <w:sz w:val="24"/>
                <w:szCs w:val="24"/>
              </w:rPr>
            </w:pPr>
            <w:r>
              <w:rPr>
                <w:rFonts w:ascii="Times New Roman" w:hAnsi="Times New Roman" w:cs="Times New Roman"/>
                <w:sz w:val="24"/>
                <w:szCs w:val="24"/>
              </w:rPr>
              <w:t>Footprints</w:t>
            </w:r>
          </w:p>
        </w:tc>
        <w:tc>
          <w:tcPr>
            <w:tcW w:w="1296" w:type="dxa"/>
            <w:tcBorders>
              <w:right w:val="single" w:sz="4" w:space="0" w:color="auto"/>
            </w:tcBorders>
          </w:tcPr>
          <w:p>
            <w:pPr>
              <w:spacing w:before="120"/>
              <w:jc w:val="center"/>
              <w:rPr>
                <w:rFonts w:ascii="Times New Roman" w:hAnsi="Times New Roman" w:cs="Times New Roman"/>
                <w:sz w:val="24"/>
                <w:szCs w:val="24"/>
              </w:rPr>
            </w:pPr>
            <w:r>
              <w:rPr>
                <w:rFonts w:ascii="Times New Roman" w:hAnsi="Times New Roman" w:cs="Times New Roman"/>
                <w:i/>
                <w:sz w:val="24"/>
                <w:szCs w:val="24"/>
              </w:rPr>
              <w:t>Ineffective</w:t>
            </w:r>
          </w:p>
        </w:tc>
        <w:tc>
          <w:tcPr>
            <w:tcW w:w="2308" w:type="dxa"/>
            <w:tcBorders>
              <w:left w:val="single" w:sz="4" w:space="0" w:color="auto"/>
            </w:tcBorders>
          </w:tcPr>
          <w:p>
            <w:pPr>
              <w:spacing w:before="120"/>
              <w:jc w:val="center"/>
              <w:rPr>
                <w:rFonts w:ascii="Times New Roman" w:hAnsi="Times New Roman" w:cs="Times New Roman"/>
                <w:sz w:val="24"/>
                <w:szCs w:val="24"/>
              </w:rPr>
            </w:pPr>
            <w:r>
              <w:rPr>
                <w:rFonts w:ascii="Times New Roman" w:hAnsi="Times New Roman" w:cs="Times New Roman"/>
                <w:sz w:val="24"/>
                <w:szCs w:val="24"/>
              </w:rPr>
              <w:t>Motivational posters</w:t>
            </w:r>
          </w:p>
        </w:tc>
        <w:tc>
          <w:tcPr>
            <w:tcW w:w="1739" w:type="dxa"/>
          </w:tcPr>
          <w:p>
            <w:pPr>
              <w:spacing w:before="120"/>
              <w:jc w:val="center"/>
              <w:rPr>
                <w:rFonts w:ascii="Times New Roman" w:hAnsi="Times New Roman" w:cs="Times New Roman"/>
                <w:i/>
                <w:sz w:val="24"/>
                <w:szCs w:val="24"/>
              </w:rPr>
            </w:pPr>
            <w:r>
              <w:rPr>
                <w:rFonts w:ascii="Times New Roman" w:hAnsi="Times New Roman" w:cs="Times New Roman"/>
                <w:i/>
                <w:sz w:val="24"/>
                <w:szCs w:val="24"/>
              </w:rPr>
              <w:t>Mixed evidence</w:t>
            </w:r>
          </w:p>
        </w:tc>
      </w:tr>
      <w:tr>
        <w:trPr>
          <w:trHeight w:val="608"/>
        </w:trPr>
        <w:tc>
          <w:tcPr>
            <w:tcW w:w="1682" w:type="dxa"/>
          </w:tcPr>
          <w:p>
            <w:pPr>
              <w:spacing w:before="120"/>
              <w:jc w:val="center"/>
              <w:rPr>
                <w:rFonts w:ascii="Times New Roman" w:hAnsi="Times New Roman" w:cs="Times New Roman"/>
                <w:b/>
                <w:sz w:val="24"/>
                <w:szCs w:val="24"/>
              </w:rPr>
            </w:pPr>
            <w:r>
              <w:rPr>
                <w:rFonts w:ascii="Times New Roman" w:hAnsi="Times New Roman" w:cs="Times New Roman"/>
                <w:b/>
                <w:sz w:val="24"/>
                <w:szCs w:val="24"/>
              </w:rPr>
              <w:t>Harmful Use of Alcohol</w:t>
            </w:r>
          </w:p>
        </w:tc>
        <w:tc>
          <w:tcPr>
            <w:tcW w:w="1950" w:type="dxa"/>
          </w:tcPr>
          <w:p>
            <w:pPr>
              <w:spacing w:before="120"/>
              <w:jc w:val="center"/>
              <w:rPr>
                <w:rFonts w:ascii="Times New Roman" w:hAnsi="Times New Roman" w:cs="Times New Roman"/>
                <w:sz w:val="24"/>
                <w:szCs w:val="24"/>
              </w:rPr>
            </w:pPr>
            <w:r>
              <w:rPr>
                <w:rFonts w:ascii="Times New Roman" w:hAnsi="Times New Roman" w:cs="Times New Roman"/>
                <w:sz w:val="24"/>
                <w:szCs w:val="24"/>
              </w:rPr>
              <w:t>Adopting straight glassware</w:t>
            </w:r>
          </w:p>
        </w:tc>
        <w:tc>
          <w:tcPr>
            <w:tcW w:w="1296" w:type="dxa"/>
            <w:tcBorders>
              <w:right w:val="single" w:sz="4" w:space="0" w:color="auto"/>
            </w:tcBorders>
          </w:tcPr>
          <w:p>
            <w:pPr>
              <w:spacing w:before="120"/>
              <w:jc w:val="center"/>
              <w:rPr>
                <w:rFonts w:ascii="Times New Roman" w:hAnsi="Times New Roman" w:cs="Times New Roman"/>
                <w:i/>
                <w:sz w:val="24"/>
                <w:szCs w:val="24"/>
              </w:rPr>
            </w:pPr>
            <w:r>
              <w:rPr>
                <w:rFonts w:ascii="Times New Roman" w:hAnsi="Times New Roman" w:cs="Times New Roman"/>
                <w:i/>
                <w:sz w:val="24"/>
                <w:szCs w:val="24"/>
              </w:rPr>
              <w:t>Insufficient evidence</w:t>
            </w:r>
          </w:p>
        </w:tc>
        <w:tc>
          <w:tcPr>
            <w:tcW w:w="2308" w:type="dxa"/>
            <w:tcBorders>
              <w:left w:val="single" w:sz="4" w:space="0" w:color="auto"/>
            </w:tcBorders>
          </w:tcPr>
          <w:p>
            <w:pPr>
              <w:spacing w:before="120"/>
              <w:jc w:val="center"/>
              <w:rPr>
                <w:rFonts w:ascii="Times New Roman" w:hAnsi="Times New Roman" w:cs="Times New Roman"/>
                <w:sz w:val="24"/>
                <w:szCs w:val="24"/>
              </w:rPr>
            </w:pPr>
            <w:r>
              <w:rPr>
                <w:rFonts w:ascii="Times New Roman" w:hAnsi="Times New Roman" w:cs="Times New Roman"/>
                <w:sz w:val="24"/>
                <w:szCs w:val="24"/>
              </w:rPr>
              <w:t>Correct social norm misapprehension</w:t>
            </w:r>
          </w:p>
        </w:tc>
        <w:tc>
          <w:tcPr>
            <w:tcW w:w="1739" w:type="dxa"/>
          </w:tcPr>
          <w:p>
            <w:pPr>
              <w:spacing w:before="120"/>
              <w:jc w:val="center"/>
              <w:rPr>
                <w:rFonts w:ascii="Times New Roman" w:hAnsi="Times New Roman" w:cs="Times New Roman"/>
                <w:i/>
                <w:sz w:val="24"/>
                <w:szCs w:val="24"/>
              </w:rPr>
            </w:pPr>
            <w:r>
              <w:rPr>
                <w:rFonts w:ascii="Times New Roman" w:hAnsi="Times New Roman" w:cs="Times New Roman"/>
                <w:i/>
                <w:sz w:val="24"/>
                <w:szCs w:val="24"/>
              </w:rPr>
              <w:t>Mixed evidence</w:t>
            </w:r>
          </w:p>
        </w:tc>
      </w:tr>
      <w:tr>
        <w:trPr>
          <w:trHeight w:val="522"/>
        </w:trPr>
        <w:tc>
          <w:tcPr>
            <w:tcW w:w="1682" w:type="dxa"/>
          </w:tcPr>
          <w:p>
            <w:pPr>
              <w:spacing w:before="120"/>
              <w:jc w:val="center"/>
              <w:rPr>
                <w:rFonts w:ascii="Times New Roman" w:hAnsi="Times New Roman" w:cs="Times New Roman"/>
                <w:b/>
                <w:sz w:val="24"/>
                <w:szCs w:val="24"/>
              </w:rPr>
            </w:pPr>
          </w:p>
          <w:p>
            <w:pPr>
              <w:spacing w:before="120"/>
              <w:jc w:val="center"/>
              <w:rPr>
                <w:rFonts w:ascii="Times New Roman" w:hAnsi="Times New Roman" w:cs="Times New Roman"/>
                <w:b/>
                <w:sz w:val="24"/>
                <w:szCs w:val="24"/>
              </w:rPr>
            </w:pPr>
            <w:r>
              <w:rPr>
                <w:rFonts w:ascii="Times New Roman" w:hAnsi="Times New Roman" w:cs="Times New Roman"/>
                <w:b/>
                <w:sz w:val="24"/>
                <w:szCs w:val="24"/>
              </w:rPr>
              <w:t>Tobacco Use</w:t>
            </w:r>
          </w:p>
        </w:tc>
        <w:tc>
          <w:tcPr>
            <w:tcW w:w="1950" w:type="dxa"/>
          </w:tcPr>
          <w:p>
            <w:pPr>
              <w:spacing w:before="120"/>
              <w:jc w:val="center"/>
              <w:rPr>
                <w:rFonts w:ascii="Times New Roman" w:hAnsi="Times New Roman" w:cs="Times New Roman"/>
                <w:sz w:val="24"/>
                <w:szCs w:val="24"/>
              </w:rPr>
            </w:pPr>
          </w:p>
          <w:p>
            <w:pPr>
              <w:spacing w:before="120"/>
              <w:jc w:val="center"/>
              <w:rPr>
                <w:rFonts w:ascii="Times New Roman" w:hAnsi="Times New Roman" w:cs="Times New Roman"/>
                <w:sz w:val="24"/>
                <w:szCs w:val="24"/>
              </w:rPr>
            </w:pPr>
            <w:r>
              <w:rPr>
                <w:rFonts w:ascii="Times New Roman" w:hAnsi="Times New Roman" w:cs="Times New Roman"/>
                <w:sz w:val="24"/>
                <w:szCs w:val="24"/>
              </w:rPr>
              <w:t>Shorter cigarettes</w:t>
            </w:r>
          </w:p>
        </w:tc>
        <w:tc>
          <w:tcPr>
            <w:tcW w:w="1296" w:type="dxa"/>
            <w:tcBorders>
              <w:right w:val="single" w:sz="4" w:space="0" w:color="auto"/>
            </w:tcBorders>
          </w:tcPr>
          <w:p>
            <w:pPr>
              <w:spacing w:before="120"/>
              <w:jc w:val="center"/>
              <w:rPr>
                <w:rFonts w:ascii="Times New Roman" w:hAnsi="Times New Roman" w:cs="Times New Roman"/>
                <w:i/>
                <w:sz w:val="24"/>
                <w:szCs w:val="24"/>
              </w:rPr>
            </w:pPr>
          </w:p>
          <w:p>
            <w:pPr>
              <w:spacing w:before="120"/>
              <w:jc w:val="center"/>
              <w:rPr>
                <w:rFonts w:ascii="Times New Roman" w:hAnsi="Times New Roman" w:cs="Times New Roman"/>
                <w:i/>
                <w:sz w:val="24"/>
                <w:szCs w:val="24"/>
              </w:rPr>
            </w:pPr>
            <w:r>
              <w:rPr>
                <w:rFonts w:ascii="Times New Roman" w:hAnsi="Times New Roman" w:cs="Times New Roman"/>
                <w:i/>
                <w:sz w:val="24"/>
                <w:szCs w:val="24"/>
              </w:rPr>
              <w:t>Ineffective</w:t>
            </w:r>
          </w:p>
        </w:tc>
        <w:tc>
          <w:tcPr>
            <w:tcW w:w="2308" w:type="dxa"/>
            <w:tcBorders>
              <w:left w:val="single" w:sz="4" w:space="0" w:color="auto"/>
            </w:tcBorders>
          </w:tcPr>
          <w:p>
            <w:pPr>
              <w:spacing w:before="120"/>
              <w:jc w:val="center"/>
              <w:rPr>
                <w:rFonts w:ascii="Times New Roman" w:hAnsi="Times New Roman" w:cs="Times New Roman"/>
                <w:sz w:val="24"/>
                <w:szCs w:val="24"/>
              </w:rPr>
            </w:pPr>
            <w:r>
              <w:rPr>
                <w:rFonts w:ascii="Times New Roman" w:hAnsi="Times New Roman" w:cs="Times New Roman"/>
                <w:sz w:val="24"/>
                <w:szCs w:val="24"/>
              </w:rPr>
              <w:t>Health warnings on branded packs</w:t>
            </w:r>
          </w:p>
          <w:p>
            <w:pPr>
              <w:spacing w:before="120"/>
              <w:jc w:val="center"/>
              <w:rPr>
                <w:rFonts w:ascii="Times New Roman" w:hAnsi="Times New Roman" w:cs="Times New Roman"/>
                <w:sz w:val="24"/>
                <w:szCs w:val="24"/>
              </w:rPr>
            </w:pPr>
            <w:r>
              <w:rPr>
                <w:rFonts w:ascii="Times New Roman" w:hAnsi="Times New Roman" w:cs="Times New Roman"/>
                <w:sz w:val="24"/>
                <w:szCs w:val="24"/>
              </w:rPr>
              <w:t>Health Warnings on plain packs</w:t>
            </w:r>
          </w:p>
        </w:tc>
        <w:tc>
          <w:tcPr>
            <w:tcW w:w="1739" w:type="dxa"/>
          </w:tcPr>
          <w:p>
            <w:pPr>
              <w:spacing w:before="120"/>
              <w:jc w:val="center"/>
              <w:rPr>
                <w:rFonts w:ascii="Times New Roman" w:hAnsi="Times New Roman" w:cs="Times New Roman"/>
                <w:i/>
                <w:sz w:val="24"/>
                <w:szCs w:val="24"/>
              </w:rPr>
            </w:pPr>
            <w:r>
              <w:rPr>
                <w:rFonts w:ascii="Times New Roman" w:hAnsi="Times New Roman" w:cs="Times New Roman"/>
                <w:i/>
                <w:sz w:val="24"/>
                <w:szCs w:val="24"/>
              </w:rPr>
              <w:t>Mixed evidence</w:t>
            </w:r>
          </w:p>
          <w:p>
            <w:pPr>
              <w:spacing w:before="120"/>
              <w:jc w:val="center"/>
              <w:rPr>
                <w:rFonts w:ascii="Times New Roman" w:hAnsi="Times New Roman" w:cs="Times New Roman"/>
                <w:i/>
                <w:sz w:val="24"/>
                <w:szCs w:val="24"/>
              </w:rPr>
            </w:pPr>
          </w:p>
          <w:p>
            <w:pPr>
              <w:spacing w:before="120"/>
              <w:jc w:val="center"/>
              <w:rPr>
                <w:rFonts w:ascii="Times New Roman" w:hAnsi="Times New Roman" w:cs="Times New Roman"/>
                <w:sz w:val="24"/>
                <w:szCs w:val="24"/>
              </w:rPr>
            </w:pPr>
            <w:r>
              <w:rPr>
                <w:rFonts w:ascii="Times New Roman" w:hAnsi="Times New Roman" w:cs="Times New Roman"/>
                <w:i/>
                <w:sz w:val="24"/>
                <w:szCs w:val="24"/>
              </w:rPr>
              <w:t>Effective</w:t>
            </w:r>
          </w:p>
        </w:tc>
      </w:tr>
    </w:tbl>
    <w:p>
      <w:pPr>
        <w:pStyle w:val="Newparagraph"/>
        <w:ind w:firstLine="0"/>
        <w:contextualSpacing/>
        <w:jc w:val="both"/>
      </w:pPr>
    </w:p>
    <w:p>
      <w:pPr>
        <w:spacing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Poor Diet </w:t>
      </w:r>
    </w:p>
    <w:p>
      <w:pPr>
        <w:pStyle w:val="Newparagraph"/>
        <w:contextualSpacing/>
        <w:jc w:val="both"/>
        <w:rPr>
          <w:rFonts w:eastAsia="ArialMT"/>
        </w:rPr>
      </w:pPr>
      <w:r>
        <w:rPr>
          <w:rFonts w:eastAsia="ArialMT"/>
        </w:rPr>
        <w:t xml:space="preserve">The size of packaging and the portions of food products has dramatically increased over the past 30 years </w:t>
      </w:r>
      <w:r>
        <w:rPr>
          <w:rFonts w:eastAsia="ArialMT"/>
        </w:rPr>
        <w:fldChar w:fldCharType="begin" w:fldLock="1"/>
      </w:r>
      <w:r>
        <w:rPr>
          <w:rFonts w:eastAsia="ArialMT"/>
        </w:rPr>
        <w:instrText>ADDIN CSL_CITATION { "citationItems" : [ { "id" : "ITEM-1", "itemData" : { "abstract" : "Objectives. Because larger food portions could be contributing to the increasing prevalence of over-weight and obesity, this study was designed to weigh samples of marketplace foods, identify historical changes in the sizes of those foods, and compare current portions with federal standards. Methods. We obtained information about current portions from manufacturers or from direct weigh-ing; we obtained information about past portions from manufacturers or contemporary publications. Results. Marketplace food portions have increased in size and now exceed federal standards. Por-tion sizes began to grow in the 1970s, rose sharply in the 1980s, and have continued in parallel with increasing body weights. Conclusions. Because energy content increases with portion size, educational and other public health efforts to address obesity should focus on the need for people to consume smaller portions.", "author" : [ { "dropping-particle" : "", "family" : "Young", "given" : "Lisa R", "non-dropping-particle" : "", "parse-names" : false, "suffix" : "" }, { "dropping-particle" : "", "family" : "Nestle", "given" : "Marion", "non-dropping-particle" : "", "parse-names" : false, "suffix" : "" } ], "container-title" : "American Journal of Public Health", "id" : "ITEM-1", "issue" : "2", "issued" : { "date-parts" : [ [ "2002" ] ] }, "page" : "246-49", "title" : "The Contribution of Expanding Portion Sizes to the US Obesity Epidemic", "type" : "article-journal", "volume" : "92" }, "uris" : [ "http://www.mendeley.com/documents/?uuid=170b0627-2e19-353e-a147-a6280cb8459f" ] } ], "mendeley" : { "formattedCitation" : "(Young &amp; Nestle, 2002)", "plainTextFormattedCitation" : "(Young &amp; Nestle, 2002)", "previouslyFormattedCitation" : "(Young &amp; Nestle, 2002)" }, "properties" : { "noteIndex" : 0 }, "schema" : "https://github.com/citation-style-language/schema/raw/master/csl-citation.json" }</w:instrText>
      </w:r>
      <w:r>
        <w:rPr>
          <w:rFonts w:eastAsia="ArialMT"/>
        </w:rPr>
        <w:fldChar w:fldCharType="separate"/>
      </w:r>
      <w:r>
        <w:rPr>
          <w:rFonts w:eastAsia="ArialMT"/>
          <w:noProof/>
        </w:rPr>
        <w:t>(Young &amp; Nestle, 2002)</w:t>
      </w:r>
      <w:r>
        <w:rPr>
          <w:rFonts w:eastAsia="ArialMT"/>
        </w:rPr>
        <w:fldChar w:fldCharType="end"/>
      </w:r>
      <w:r>
        <w:rPr>
          <w:rFonts w:eastAsia="ArialMT"/>
        </w:rPr>
        <w:t xml:space="preserve">, which in turn has affected our food consumption. A common Type 1 nudge approach to address overconsumption has been to change visual cues in a food environment which may consist of the availability of certain foods, the variety of food assortments, size of food packages and portions, or shape/size of plates, glasses and bowls. These cues are often used to imply a consumption norm that helps regulate how much we eat or drink in a food environment </w:t>
      </w:r>
      <w:r>
        <w:rPr>
          <w:rFonts w:eastAsia="ArialMT"/>
        </w:rPr>
        <w:fldChar w:fldCharType="begin" w:fldLock="1"/>
      </w:r>
      <w:r>
        <w:rPr>
          <w:rFonts w:eastAsia="ArialMT"/>
        </w:rPr>
        <w:instrText>ADDIN CSL_CITATION { "citationItems" : [ { "id" : "ITEM-1", "itemData" : { "DOI" : "10.1146/annurev.nutr.24.012003.132140", "abstract" : "Package size, plate shape, lighting, socializing, and variety are only a few of the environmental factors that can influence the consumption volume of food far more than most people realize. Although such environmental factors appear unrelated, they generally influence consumption volume by inhibiting consumption monitoring and by suggesting alternative consumption norms. For researchers, this review suggests that redirecting the focus of investigations to the psychological mechanisms behind consumption will raise the profile and impact of research. For health professionals, this review underscores how small structural changes in personal environments can reduce the unknowing overconsumption of food.", "author" : [ { "dropping-particle" : "", "family" : "Wansink", "given" : "Brian", "non-dropping-particle" : "", "parse-names" : false, "suffix" : "" } ], "container-title" : "Annual Review of Nutrition", "id" : "ITEM-1", "issued" : { "date-parts" : [ [ "2004" ] ] }, "page" : "455-79", "title" : "Environmental factors that increase the food intake and consumption volume of unknowing consumers", "type" : "article-journal", "volume" : "24" }, "uris" : [ "http://www.mendeley.com/documents/?uuid=d3e02d4a-c604-31c7-a042-2df1e6d185e7" ] } ], "mendeley" : { "formattedCitation" : "(Wansink, 2004)", "plainTextFormattedCitation" : "(Wansink, 2004)", "previouslyFormattedCitation" : "(Wansink, 2004)" }, "properties" : { "noteIndex" : 0 }, "schema" : "https://github.com/citation-style-language/schema/raw/master/csl-citation.json" }</w:instrText>
      </w:r>
      <w:r>
        <w:rPr>
          <w:rFonts w:eastAsia="ArialMT"/>
        </w:rPr>
        <w:fldChar w:fldCharType="separate"/>
      </w:r>
      <w:r>
        <w:rPr>
          <w:rFonts w:eastAsia="ArialMT"/>
          <w:noProof/>
        </w:rPr>
        <w:t>(Wansink, 2004)</w:t>
      </w:r>
      <w:r>
        <w:rPr>
          <w:rFonts w:eastAsia="ArialMT"/>
        </w:rPr>
        <w:fldChar w:fldCharType="end"/>
      </w:r>
      <w:r>
        <w:rPr>
          <w:rFonts w:eastAsia="ArialMT"/>
        </w:rPr>
        <w:t xml:space="preserve">. In addition, many people adhere to the norm ‘plate clean’, which means that in a food establishment if the plate is large, and the portions match the size, people consume to the size of the portion on the plate, and not to the point of being sated </w:t>
      </w:r>
      <w:r>
        <w:rPr>
          <w:rFonts w:eastAsia="ArialMT"/>
        </w:rPr>
        <w:fldChar w:fldCharType="begin" w:fldLock="1"/>
      </w:r>
      <w:r>
        <w:rPr>
          <w:rFonts w:eastAsia="ArialMT"/>
        </w:rPr>
        <w:instrText>ADDIN CSL_CITATION { "citationItems" : [ { "id" : "ITEM-1", "itemData" : { "DOI" : "10.1146/annurev.soc.24.1.239", "ISSN" : "0360-0572", "abstract" : "Since the late 1970s, theorizing in psychological social psychology has been dominated by the computer metaphor of information processing models, which fostered an emphasis on \u201ccold\u201d cognition and the conceptualization of individuals as isolated information processors. More recent research shows a renewed interest in the interplay of feeling and thinking in social judgment and in the role of unconscious processes in reasoning and behavior. Moreover, research into socially situated cognition and the interplay of communication and cognition highlights the role of conversational norms, social interdependence, and power in social judgment. Experimental research into these issues is reviewed. The emerging picture is compatible with social psychology's latest metaphor, humans as motivated tacticians who pragmatically adapt their reasoning strategies to the requirements at hand.", "author" : [ { "dropping-particle" : "", "family" : "Schwarz", "given" : "Norbert", "non-dropping-particle" : "", "parse-names" : false, "suffix" : "" } ], "container-title" : "Annual Review of Sociology", "id" : "ITEM-1", "issue" : "1", "issued" : { "date-parts" : [ [ "1998", "8" ] ] }, "page" : "239-264", "publisher" : " Annual Reviews  4139 El Camino Way, P.O. Box 10139, Palo Alto, CA 94303-0139, USA  ", "title" : "Warmer and More Social: Recent Developments in Cognitive Social Psychology", "type" : "article-journal", "volume" : "24" }, "uris" : [ "http://www.mendeley.com/documents/?uuid=6f035508-3b64-3629-b51f-20575484caef" ] } ], "mendeley" : { "formattedCitation" : "(Schwarz, 1998)", "plainTextFormattedCitation" : "(Schwarz, 1998)", "previouslyFormattedCitation" : "(Schwarz, 1998)" }, "properties" : { "noteIndex" : 0 }, "schema" : "https://github.com/citation-style-language/schema/raw/master/csl-citation.json" }</w:instrText>
      </w:r>
      <w:r>
        <w:rPr>
          <w:rFonts w:eastAsia="ArialMT"/>
        </w:rPr>
        <w:fldChar w:fldCharType="separate"/>
      </w:r>
      <w:r>
        <w:rPr>
          <w:rFonts w:eastAsia="ArialMT"/>
          <w:noProof/>
        </w:rPr>
        <w:t>(Schwarz, 1998)</w:t>
      </w:r>
      <w:r>
        <w:rPr>
          <w:rFonts w:eastAsia="ArialMT"/>
        </w:rPr>
        <w:fldChar w:fldCharType="end"/>
      </w:r>
      <w:r>
        <w:rPr>
          <w:rFonts w:eastAsia="ArialMT"/>
        </w:rPr>
        <w:t xml:space="preserve">. For example, depending on the plate size, up to 45% more food is consumed in a Chinese buffet setting </w:t>
      </w:r>
      <w:r>
        <w:rPr>
          <w:rFonts w:eastAsia="ArialMT"/>
        </w:rPr>
        <w:fldChar w:fldCharType="begin" w:fldLock="1"/>
      </w:r>
      <w:r>
        <w:rPr>
          <w:rFonts w:eastAsia="ArialMT"/>
        </w:rPr>
        <w:instrText>ADDIN CSL_CITATION { "citationItems" : [ { "id" : "ITEM-1", "itemData" : { "DOI" : "10.1037/a0035053", "ISSN" : "1939-2192", "author" : [ { "dropping-particle" : "", "family" : "Wansink", "given" : "Brian", "non-dropping-particle" : "", "parse-names" : false, "suffix" : "" }, { "dropping-particle" : "", "family" : "Ittersum", "given" : "Koert", "non-dropping-particle" : "van", "parse-names" : false, "suffix" : "" } ], "container-title" : "Journal of Experimental Psychology: Applied", "id" : "ITEM-1", "issue" : "4", "issued" : { "date-parts" : [ [ "2013" ] ] }, "page" : "320-332", "title" : "Portion size me: Plate-size induced consumption norms and win-win solutions for reducing food intake and waste.", "type" : "article-journal", "volume" : "19" }, "uris" : [ "http://www.mendeley.com/documents/?uuid=652c97dd-cd59-3ec3-88f9-62c6dd4630c3" ] } ], "mendeley" : { "formattedCitation" : "(Wansink &amp; van Ittersum, 2013)", "plainTextFormattedCitation" : "(Wansink &amp; van Ittersum, 2013)", "previouslyFormattedCitation" : "(Wansink &amp; van Ittersum, 2013)" }, "properties" : { "noteIndex" : 0 }, "schema" : "https://github.com/citation-style-language/schema/raw/master/csl-citation.json" }</w:instrText>
      </w:r>
      <w:r>
        <w:rPr>
          <w:rFonts w:eastAsia="ArialMT"/>
        </w:rPr>
        <w:fldChar w:fldCharType="separate"/>
      </w:r>
      <w:r>
        <w:rPr>
          <w:rFonts w:eastAsia="ArialMT"/>
          <w:noProof/>
        </w:rPr>
        <w:t>(Wansink &amp; van Ittersum, 2013)</w:t>
      </w:r>
      <w:r>
        <w:rPr>
          <w:rFonts w:eastAsia="ArialMT"/>
        </w:rPr>
        <w:fldChar w:fldCharType="end"/>
      </w:r>
      <w:r>
        <w:rPr>
          <w:rFonts w:eastAsia="ArialMT"/>
        </w:rPr>
        <w:t xml:space="preserve">. A comparison of 58 studies (6603 participants) in a recent Cochrane review found that people consistently ate more food when offered larger-sized portions, packages or items of tableware, than when offered smaller-sized versions </w:t>
      </w:r>
      <w:r>
        <w:rPr>
          <w:rFonts w:eastAsia="ArialMT"/>
        </w:rPr>
        <w:fldChar w:fldCharType="begin" w:fldLock="1"/>
      </w:r>
      <w:r>
        <w:rPr>
          <w:rFonts w:eastAsia="ArialMT"/>
        </w:rPr>
        <w:instrText>ADDIN CSL_CITATION { "citationItems" : [ { "id" : "ITEM-1", "itemData" : { "DOI" : "10.1002/14651858.CD011045.pub2", "author" : [ { "dropping-particle" : "", "family" : "Hollands", "given" : "Gareth J", "non-dropping-particle" : "", "parse-names" : false, "suffix" : "" }, { "dropping-particle" : "", "family" : "Shemilt", "given" : "Ian", "non-dropping-particle" : "", "parse-names" : false, "suffix" : "" }, { "dropping-particle" : "", "family" : "Marteau", "given" : "Theresa M", "non-dropping-particle" : "", "parse-names" : false, "suffix" : "" }, { "dropping-particle" : "", "family" : "Jebb", "given" : "Susan A", "non-dropping-particle" : "", "parse-names" : false, "suffix" : "" }, { "dropping-particle" : "", "family" : "Lewis", "given" : "Hannah B", "non-dropping-particle" : "", "parse-names" : false, "suffix" : "" }, { "dropping-particle" : "", "family" : "Wei", "given" : "Yinghui", "non-dropping-particle" : "", "parse-names" : false, "suffix" : "" }, { "dropping-particle" : "", "family" : "Higgins", "given" : "Julian", "non-dropping-particle" : "", "parse-names" : false, "suffix" : "" }, { "dropping-particle" : "", "family" : "Ogilvie", "given" : "David", "non-dropping-particle" : "", "parse-names" : false, "suffix" : "" } ], "container-title" : "Cochrane Database of Systematic Reviews", "editor" : [ { "dropping-particle" : "", "family" : "Hollands", "given" : "Gareth J", "non-dropping-particle" : "", "parse-names" : false, "suffix" : "" } ], "id" : "ITEM-1", "issued" : { "date-parts" : [ [ "2015", "9", "14" ] ] }, "publisher" : "John Wiley &amp; Sons, Ltd", "publisher-place" : "UK", "title" : "Portion, package or tableware size for changing selection and consumption of food, alcohol and tobacco", "type" : "chapter" }, "uris" : [ "http://www.mendeley.com/documents/?uuid=93ff53c8-eb17-42be-a6fc-86713199f4ef" ] } ], "mendeley" : { "formattedCitation" : "(Hollands et al., 2015)", "plainTextFormattedCitation" : "(Hollands et al., 2015)", "previouslyFormattedCitation" : "(Hollands et al., 2015)" }, "properties" : { "noteIndex" : 0 }, "schema" : "https://github.com/citation-style-language/schema/raw/master/csl-citation.json" }</w:instrText>
      </w:r>
      <w:r>
        <w:rPr>
          <w:rFonts w:eastAsia="ArialMT"/>
        </w:rPr>
        <w:fldChar w:fldCharType="separate"/>
      </w:r>
      <w:r>
        <w:rPr>
          <w:rFonts w:eastAsia="ArialMT"/>
          <w:noProof/>
        </w:rPr>
        <w:t>(Hollands et al., 2015)</w:t>
      </w:r>
      <w:r>
        <w:rPr>
          <w:rFonts w:eastAsia="ArialMT"/>
        </w:rPr>
        <w:fldChar w:fldCharType="end"/>
      </w:r>
      <w:r>
        <w:rPr>
          <w:rFonts w:eastAsia="ArialMT"/>
        </w:rPr>
        <w:t xml:space="preserve">. </w:t>
      </w:r>
      <w:r>
        <w:t xml:space="preserve">Introducing Type 1 nudges that reduce plate size in food establishments was shown to have a reasonable effect in reducing intake, but was dependent on participants being unaware of the manipulation </w:t>
      </w:r>
      <w:r>
        <w:fldChar w:fldCharType="begin" w:fldLock="1"/>
      </w:r>
      <w:r>
        <w:instrText>ADDIN CSL_CITATION { "citationItems" : [ { "id" : "ITEM-1", "itemData" : { "author" : [ { "dropping-particle" : "", "family" : "Holden", "given" : "S. S.", "non-dropping-particle" : "", "parse-names" : false, "suffix" : "" }, { "dropping-particle" : "", "family" : "Zlatevska", "given" : "N.", "non-dropping-particle" : "", "parse-names" : false, "suffix" : "" }, { "dropping-particle" : "", "family" : "Dubelaar", "given" : "C.", "non-dropping-particle" : "", "parse-names" : false, "suffix" : "" } ], "container-title" : "Journal of the Association for Consumer Research", "id" : "ITEM-1", "issue" : "1", "issued" : { "date-parts" : [ [ "2016" ] ] }, "page" : "134-146", "title" : "Whether Smaller Plates Reduce Consumption Depends on Who\u2019s Serving and Who\u2019s Looking: A Meta-Analysis", "type" : "article-journal", "volume" : "1" }, "uris" : [ "http://www.mendeley.com/documents/?uuid=111f62d9-549c-4534-bc8b-eb40e61e3cf4" ] } ], "mendeley" : { "formattedCitation" : "(Holden, Zlatevska, &amp; Dubelaar, 2016)", "plainTextFormattedCitation" : "(Holden, Zlatevska, &amp; Dubelaar, 2016)", "previouslyFormattedCitation" : "(Holden, Zlatevska, &amp; Dubelaar, 2016)" }, "properties" : { "noteIndex" : 0 }, "schema" : "https://github.com/citation-style-language/schema/raw/master/csl-citation.json" }</w:instrText>
      </w:r>
      <w:r>
        <w:fldChar w:fldCharType="separate"/>
      </w:r>
      <w:r>
        <w:rPr>
          <w:noProof/>
        </w:rPr>
        <w:t>(Holden, Zlatevska, &amp; Dubelaar, 2016)</w:t>
      </w:r>
      <w:r>
        <w:fldChar w:fldCharType="end"/>
      </w:r>
      <w:r>
        <w:t xml:space="preserve">. However, it isn’t clear that the intervention successfully generalizes to contexts beyond the one in which the nudge was implemented. Moreover, </w:t>
      </w:r>
      <w:r>
        <w:rPr>
          <w:rFonts w:eastAsia="ArialMT"/>
        </w:rPr>
        <w:t xml:space="preserve">there are many factors that significantly influence our eating habits. Eating is often a social activity, and we take our cues as to how much to consume from our dining partners, and, distractions also encourage us to over consume (e.g., watching television, watching movies at the cinema), which suggests that there are multiple countervailing factors that limit the scope of Type 1 nudges </w:t>
      </w:r>
      <w:r>
        <w:rPr>
          <w:rFonts w:eastAsia="ArialMT"/>
        </w:rPr>
        <w:fldChar w:fldCharType="begin" w:fldLock="1"/>
      </w:r>
      <w:r>
        <w:rPr>
          <w:rFonts w:eastAsia="ArialMT"/>
        </w:rPr>
        <w:instrText>ADDIN CSL_CITATION { "citationItems" : [ { "id" : "ITEM-1", "itemData" : { "DOI" : "10.1146/annurev.nutr.24.012003.132140", "abstract" : "Package size, plate shape, lighting, socializing, and variety are only a few of the environmental factors that can influence the consumption volume of food far more than most people realize. Although such environmental factors appear unrelated, they generally influence consumption volume by inhibiting consumption monitoring and by suggesting alternative consumption norms. For researchers, this review suggests that redirecting the focus of investigations to the psychological mechanisms behind consumption will raise the profile and impact of research. For health professionals, this review underscores how small structural changes in personal environments can reduce the unknowing overconsumption of food.", "author" : [ { "dropping-particle" : "", "family" : "Wansink", "given" : "Brian", "non-dropping-particle" : "", "parse-names" : false, "suffix" : "" } ], "container-title" : "Annual Review of Nutrition", "id" : "ITEM-1", "issued" : { "date-parts" : [ [ "2004" ] ] }, "page" : "455-79", "title" : "Environmental factors that increase the food intake and consumption volume of unknowing consumers", "type" : "article-journal", "volume" : "24" }, "uris" : [ "http://www.mendeley.com/documents/?uuid=d3e02d4a-c604-31c7-a042-2df1e6d185e7" ] } ], "mendeley" : { "formattedCitation" : "(Wansink, 2004)", "plainTextFormattedCitation" : "(Wansink, 2004)", "previouslyFormattedCitation" : "(Wansink, 2004)" }, "properties" : { "noteIndex" : 0 }, "schema" : "https://github.com/citation-style-language/schema/raw/master/csl-citation.json" }</w:instrText>
      </w:r>
      <w:r>
        <w:rPr>
          <w:rFonts w:eastAsia="ArialMT"/>
        </w:rPr>
        <w:fldChar w:fldCharType="separate"/>
      </w:r>
      <w:r>
        <w:rPr>
          <w:rFonts w:eastAsia="ArialMT"/>
          <w:noProof/>
        </w:rPr>
        <w:t>(Wansink, 2004)</w:t>
      </w:r>
      <w:r>
        <w:rPr>
          <w:rFonts w:eastAsia="ArialMT"/>
        </w:rPr>
        <w:fldChar w:fldCharType="end"/>
      </w:r>
      <w:r>
        <w:rPr>
          <w:rFonts w:eastAsia="ArialMT"/>
        </w:rPr>
        <w:t xml:space="preserve">.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In this context, as an alternative to Type 1 nudges, Type 2 nudges focus on improving the presentation of information on which people make their food choices, such as providing </w:t>
      </w:r>
      <w:r>
        <w:rPr>
          <w:rFonts w:ascii="Times New Roman" w:hAnsi="Times New Roman" w:cs="Times New Roman"/>
          <w:sz w:val="24"/>
          <w:szCs w:val="24"/>
        </w:rPr>
        <w:lastRenderedPageBreak/>
        <w:t xml:space="preserve">calorie counts on food menus to draw attention to both healthy and unhealthy options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"10.1257/aer.99.2.159", "ISBN" : "0002-8282", "ISSN" : "0002-8282", "abstract" : "Between 1960 and 2004, the proportion of Americans meeting standard criteria for obesity increased from 13 percent to 31 percent (Katherine M. Flegal et al. 2002), and it has been proposed that, if this trend is not reversed, obesity may soon overtake smoking as the leading preventable cause of death (Ali H. Mokdad et al. 2004). Consequently, obesity is now one of the major causes of rising health care costs (Eric A. Finkelstein, Christopher J. Ruhm, and Katherine M. Kosa 2005). Empirical analyses suggest that an increase in caloric intake, rather than a change in calorie expenditure, is responsible for much of the trend (David M. Cutler, Edward L. Glaeser, and Jesse M. Shapiro 2003). The main policy response to what is often referred to as the \"obesity epidemic\" has been to enhance access to information. The most prominent example of such a policy is the Nutrition Labeling and Education Act (United States Food and Drug Administration 1994), but, recently, the tactic has been receiving more attention after New York City required restaurants with 15 or more outlets to post the caloric content of each food item next to its price on menu boards. Lawmakers and independent companies alike are now following New York City's lead (Kim Severson 2008). However, there is little evidence that information alone does much to improve diet (Jayachandran N. Variyam and John Cawley 2006; Kelli K. Garcia 2007; Clare M. Hasler 2008)", "author" : [ { "dropping-particle" : "", "family" : "Downs", "given" : "Julie S.", "non-dropping-particle" : "", "parse-names" : false, "suffix" : "" }, { "dropping-particle" : "", "family" : "Loewenstein", "given" : "George", "non-dropping-particle" : "", "parse-names" : false, "suffix" : "" }, { "dropping-particle" : "", "family" : "Wisdom", "given" : "Jessica", "non-dropping-particle" : "", "parse-names" : false, "suffix" : "" } ], "container-title" : "American Economic Review", "id" : "ITEM-1", "issue" : "2", "issued" : { "date-parts" : [ [ "2009", "4" ] ] }, "page" : "159-164", "title" : "Strategies for Promoting Healthier Food Choices", "type" : "article-journal", "volume" : "99" }, "uris" : [ "http://www.mendeley.com/documents/?uuid=e3df1a41-0b95-4d60-a2fc-5b2b67933b74" ] } ], "mendeley" : { "formattedCitation" : "(Downs, Loewenstein, &amp; Wisdom, 2009)", "plainTextFormattedCitation" : "(Downs, Loewenstein, &amp; Wisdom, 2009)", "previouslyFormattedCitation" : "(Downs, Loewenstein, &amp; Wisdom, 2009)"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(Downs, Loewenstein, &amp; Wisdom, 2009)</w:t>
      </w:r>
      <w:r>
        <w:rPr>
          <w:rFonts w:ascii="Times New Roman" w:hAnsi="Times New Roman" w:cs="Times New Roman"/>
          <w:sz w:val="24"/>
          <w:szCs w:val="24"/>
        </w:rPr>
        <w:fldChar w:fldCharType="end"/>
      </w:r>
      <w:r>
        <w:rPr>
          <w:rFonts w:ascii="Times New Roman" w:hAnsi="Times New Roman" w:cs="Times New Roman"/>
          <w:sz w:val="24"/>
          <w:szCs w:val="24"/>
        </w:rPr>
        <w:t xml:space="preserve">. However, evidence suggests that this has had limited effects in increasing healthy food choices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"10.1136/bmj.e3482", "ISSN" : "1756-1833", "PMID" : "22623635", "abstract" : "Behavioural economics is becoming increasingly popular as a way to improve public health. George Loewenstein and colleagues point out some of the pitfalls and warn that it cannot be used as a substitute for conventional policies to tackle fundamental problems", "author" : [ { "dropping-particle" : "", "family" : "Loewenstein", "given" : "G.", "non-dropping-particle" : "", "parse-names" : false, "suffix" : "" }, { "dropping-particle" : "", "family" : "Asch", "given" : "D. A.", "non-dropping-particle" : "", "parse-names" : false, "suffix" : "" }, { "dropping-particle" : "", "family" : "Friedman", "given" : "J. Y.", "non-dropping-particle" : "", "parse-names" : false, "suffix" : "" }, { "dropping-particle" : "", "family" : "Melichar", "given" : "L. A.", "non-dropping-particle" : "", "parse-names" : false, "suffix" : "" }, { "dropping-particle" : "", "family" : "Volpp", "given" : "K. G.", "non-dropping-particle" : "", "parse-names" : false, "suffix" : "" }, { "dropping-particle" : "", "family" : "Lowenstein", "given" : "G.", "non-dropping-particle" : "", "parse-names" : false, "suffix" : "" }, { "dropping-particle" : "", "family" : "Asch", "given" : "D. A.", "non-dropping-particle" : "", "parse-names" : false, "suffix" : "" }, { "dropping-particle" : "", "family" : "Friedman", "given" : "J. Y.", "non-dropping-particle" : "", "parse-names" : false, "suffix" : "" }, { "dropping-particle" : "", "family" : "Meilchar", "given" : "L. A.", "non-dropping-particle" : "", "parse-names" : false, "suffix" : "" }, { "dropping-particle" : "", "family" : "Volpp", "given" : "K. G.", "non-dropping-particle" : "", "parse-names" : false, "suffix" : "" } ], "container-title" : "BMJ", "id" : "ITEM-1", "issued" : { "date-parts" : [ [ "2012" ] ] }, "page" : "e3482", "title" : "Can behavioural economics make us healthier?", "type" : "article-journal", "volume" : "344" }, "uris" : [ "http://www.mendeley.com/documents/?uuid=f8bc1a66-2ac2-426f-b48c-745de00fcd26" ] } ], "mendeley" : { "formattedCitation" : "(Loewenstein et al., 2012)", "plainTextFormattedCitation" : "(Loewenstein et al., 2012)", "previouslyFormattedCitation" : "(Loewenstein et al., 2012)"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(Loewenstein et al., 2012)</w:t>
      </w:r>
      <w:r>
        <w:rPr>
          <w:rFonts w:ascii="Times New Roman" w:hAnsi="Times New Roman" w:cs="Times New Roman"/>
          <w:sz w:val="24"/>
          <w:szCs w:val="24"/>
        </w:rPr>
        <w:fldChar w:fldCharType="end"/>
      </w:r>
      <w:r>
        <w:rPr>
          <w:rFonts w:ascii="Times New Roman" w:hAnsi="Times New Roman" w:cs="Times New Roman"/>
          <w:sz w:val="24"/>
          <w:szCs w:val="24"/>
        </w:rPr>
        <w:t xml:space="preserve">. One reason for this is that calorie labels do not provide an obvious reference point as to which specific options are best for people. In and of themselves, they do not reliably motivate people to systematically monitor and translate calorie counts to shift their choices over a sustained period of time. Indeed, a recent systematic review of the impact of reading calorie labels at the point of purchase or consumption has had little to no effect on positively changing people’s choice behavior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"10.1007/s10900-014-9876-0", "ISSN" : "1573-3610", "PMID" : "24760208", "abstract" : "Obesity is a challenging public health problem that affects millions of Americans. Increasingly policy makers are seeking environmental and policy-based solutions to combat and prevent its serious health effects. Calorie labeling mandates, including the provision in the 2010 Patient Protection and Affordable Care Act that is set to begin in 2014, have been one of the most popular and most studied approaches. This review examines 31 studies published from January 1, 2007 through July 19, 2013. It builds on Harnack and French's 2008 review and assesses the evidence on the effectiveness of calorie labeling at the point of purchase. We find that, while there are some positive results reported from studies examining the effects of calorie labeling, overall the best designed studies (real world studies, with a comparison group) show that calorie labels do not have the desired effect in reducing total calories ordered at the population level. Moving forward, researchers should consider novel, more effective ways of presenting nutrition information, while keeping a focus on particular subgroups that may be differentially affected by nutrition policies.", "author" : [ { "dropping-particle" : "", "family" : "Kiszko", "given" : "Kamila M", "non-dropping-particle" : "", "parse-names" : false, "suffix" : "" }, { "dropping-particle" : "", "family" : "Martinez", "given" : "Olivia D", "non-dropping-particle" : "", "parse-names" : false, "suffix" : "" }, { "dropping-particle" : "", "family" : "Abrams", "given" : "Courtney", "non-dropping-particle" : "", "parse-names" : false, "suffix" : "" }, { "dropping-particle" : "", "family" : "Elbel", "given" : "Brian", "non-dropping-particle" : "", "parse-names" : false, "suffix" : "" } ], "container-title" : "Journal of community health", "id" : "ITEM-1", "issue" : "6", "issued" : { "date-parts" : [ [ "2014", "12" ] ] }, "page" : "1248-69", "publisher" : "NIH Public Access", "title" : "The influence of calorie labeling on food orders and consumption: a review of the literature.", "type" : "article-journal", "volume" : "39" }, "uris" : [ "http://www.mendeley.com/documents/?uuid=4a218a0e-59ea-33db-9b28-55a06ef1d544" ] }, { "id" : "ITEM-2", "itemData" : { "DOI" : "10.1016/j.jand.2014.05.014", "ISSN" : "2212-2672", "PMID" : "25037558", "abstract" : "Recent menu labeling initiatives in North America involve posting the calorie content of standard menu items, sometimes with other nutrients of public health concern, with or without contextual information (such as the recommended daily caloric intake for an average adult) or interpretive information (such as traffic light symbols). It is not clear whether this is an effective method to convey nutrition information to consumers wanting to make more-informed food choices. Of particular concern are those consumers who may be limited in their food and health literacy skills to make informed food choices to meet their dietary needs or goals. The purpose of this systematic review was to determine whether the provision of menu-based nutrition information affects the selection and consumption of calories in restaurants and other foodservice establishments. A secondary objective was to determine whether the format of the nutrition information (informative vs contextual or interpretive) influences calorie selection or consumption. Several bibliographic databases were searched for experimental or quasiexperimental studies that tested the effect of providing nutrition information in a restaurant or other foodservice setting on calories selected or consumed. Studies that recruited generally healthy, noninstitutionalized adolescents or adults were included. When two or more studies reported similar outcomes and sufficient data were available, meta-analysis was performed. Menu labeling with calories alone did not have the intended effect of decreasing calories selected or consumed (-31 kcal [P=0.35] and -13 kcal [P=0.61], respectively). The addition of contextual or interpretive nutrition information on menus appeared to assist consumers in the selection and consumption of fewer calories (-67 kcal [P=0.008] and -81 kcal [P=0.007], respectively). Sex influenced the effect of menu labeling on selection and consumption of calories, with women using the information to select and consume fewer calories. The findings of this review support the inclusion of contextual or interpretive nutrition information with calories on restaurant menus to help consumers select and consume fewer calories when eating outside the home. Further exploration is needed to determine the optimal approach for providing this menu-based nutrition information, particularly for those consumers who may be limited in their food and health literacy skills.", "author" : [ { "dropping-particle" : "", "family" : "Sinclair", "given" : "Susan E.", "non-dropping-particle" : "", "parse-names" : false, "suffix" : "" }, { "dropping-particle" : "", "family" : "Cooper", "given" : "Marcia", "non-dropping-particle" : "", "parse-names" : false, "suffix" : "" }, { "dropping-particle" : "", "family" : "Mansfield", "given" : "Elizabeth D.", "non-dropping-particle" : "", "parse-names" : false, "suffix" : "" } ], "container-title" : "Journal of the Academy of Nutrition and Dietetics", "id" : "ITEM-2", "issue" : "9", "issued" : { "date-parts" : [ [ "2014", "9" ] ] }, "page" : "1375-1388", "title" : "The Influence of Menu Labeling on Calories Selected or Consumed: A Systematic Review and Meta-Analysis", "type" : "article-journal", "volume" : "114" }, "uris" : [ "http://www.mendeley.com/documents/?uuid=9d9f4e09-99a1-42b8-9521-09572dcfe93f" ] } ], "mendeley" : { "formattedCitation" : "(Kiszko, Martinez, Abrams, &amp; Elbel, 2014; Sinclair, Cooper, &amp; Mansfield, 2014)", "plainTextFormattedCitation" : "(Kiszko, Martinez, Abrams, &amp; Elbel, 2014; Sinclair, Cooper, &amp; Mansfield, 2014)", "previouslyFormattedCitation" : "(Kiszko, Martinez, Abrams, &amp; Elbel, 2014; Sinclair, Cooper, &amp; Mansfield, 2014)"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(Kiszko, Martinez, Abrams, &amp; Elbel, 2014; Sinclair, Cooper, &amp; Mansfield, 2014)</w:t>
      </w:r>
      <w:r>
        <w:rPr>
          <w:rFonts w:ascii="Times New Roman" w:hAnsi="Times New Roman" w:cs="Times New Roman"/>
          <w:sz w:val="24"/>
          <w:szCs w:val="24"/>
        </w:rPr>
        <w:fldChar w:fldCharType="end"/>
      </w:r>
      <w:r>
        <w:rPr>
          <w:rFonts w:ascii="Times New Roman" w:hAnsi="Times New Roman" w:cs="Times New Roman"/>
          <w:sz w:val="24"/>
          <w:szCs w:val="24"/>
        </w:rPr>
        <w:t xml:space="preserve">. The review found that regardless of the length of the intervention, the Type 2 nudge was generally ineffective [4 week period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"10.1038/ijo.2011.4", "ISSN" : "1476-5497", "PMID" : "21326209", "abstract" : "OBJECTIVE: Obesity is an enormous public health problem and children have been particularly highlighted for intervention. Of notable concern is the fast-food consumption of children . However, we know very little about how children or their parents make fast-food choices, including how they respond to mandatory calorie labeling. We examined children's and adolescents' fast-food choice and the influence of calorie labels in low-income communities in New York City (NYC) and in a comparison city (Newark, NJ). DESIGN: Natural experiment: Survey and receipt data were collected from low-income areas in NYC, and Newark, NJ (as a comparison city), before and after mandatory labeling began in NYC. Study restaurants included four of the largest chains located in NYC and Newark: McDonald's, Burger King, Wendy's and Kentucky Fried Chicken. SUBJECTS: A total of 349 children and adolescents aged 1-17 years, who visited the restaurants with their parents (69%) or alone (31%) before or after labeling was introduced. In total, 90% were from racial or ethnic minority groups. RESULTS: We found no statistically significant differences in calories purchased before and after labeling; many adolescents reported noticing calorie labels after their introduction (57% in NYC) and a few considered the information when ordering (9%). Approximately 35% of adolescents ate fast food six or more times per week and 72% of adolescents reported that taste was the most important factor in their meal selection. Adolescents in our sample reported that parents have some influence on their meal selection. CONCLUSIONS: Adolescents in low-income communities notice calorie information at similar rates as adults, although they report being slightly less responsive to it than adults. We did not find evidence that labeling influenced adolescent food choice or parental food choices for children in this population.", "author" : [ { "dropping-particle" : "", "family" : "Elbel", "given" : "B", "non-dropping-particle" : "", "parse-names" : false, "suffix" : "" }, { "dropping-particle" : "", "family" : "Gyamfi", "given" : "J", "non-dropping-particle" : "", "parse-names" : false, "suffix" : "" }, { "dropping-particle" : "", "family" : "Kersh", "given" : "R", "non-dropping-particle" : "", "parse-names" : false, "suffix" : "" } ], "container-title" : "International Journal of Obesity (London)", "id" : "ITEM-1", "issue" : "4", "issued" : { "date-parts" : [ [ "2011", "4" ] ] }, "page" : "493-500", "publisher" : "Nature Publishing Group", "title" : "Child and adolescent fast-food choice and the influence of calorie labeling: a natural experiment.", "type" : "article-journal", "volume" : "35" }, "uris" : [ "http://www.mendeley.com/documents/?uuid=a0a14a18-7bfb-4326-85d3-90758c0dc4a0" ] }, { "id" : "ITEM-2", "itemData" : { "DOI" : "10.1377/hlthaff.28.6.w1110", "ISBN" : "02782715", "ISSN" : "0278-2715", "PMID" : "19808705", "abstract" : "We examined the influence of menu calorie labels on fast food choices in the wake of New York City's labeling mandate. Receipts and survey responses were collected from 1,156 adults at fast-food restaurants in low-income, minority New York communities. These were compared to a sample in Newark, New Jersey, a city that had not introduced menu labeling. We found that 27.7 percent who saw calorie labeling in New York said the information influenced their choices. However, we did not detect a change in calories purchased after the introduction of calorie labeling. We encourage more research on menu labeling and greater attention to evaluating and implementing other obesity-related policies.", "author" : [ { "dropping-particle" : "", "family" : "Elbel", "given" : "B.", "non-dropping-particle" : "", "parse-names" : false, "suffix" : "" }, { "dropping-particle" : "", "family" : "Kersh", "given" : "R.", "non-dropping-particle" : "", "parse-names" : false, "suffix" : "" }, { "dropping-particle" : "", "family" : "Brescoll", "given" : "V. L.", "non-dropping-particle" : "", "parse-names" : false, "suffix" : "" }, { "dropping-particle" : "", "family" : "Dixon", "given" : "L. B.", "non-dropping-particle" : "", "parse-names" : false, "suffix" : "" } ], "container-title" : "Health Affairs", "id" : "ITEM-2", "issue" : "6", "issued" : { "date-parts" : [ [ "2009", "11", "1" ] ] }, "page" : "w1110-w1121", "title" : "Calorie Labeling And Food Choices: A First Look At The Effects On Low-Income People In New York City", "type" : "article-journal", "volume" : "28" }, "uris" : [ "http://www.mendeley.com/documents/?uuid=0323c133-1333-4e40-bc89-f63b96ac2cec" ] }, { "id" : "ITEM-3", "itemData" : { "DOI" : "10.1080/19320248.2011.576210", "ISSN" : "1932-0248", "abstract" : "This study evaluated a calorie labeling intervention in Kaiser Permanente Hospital cafeterias. Three cafeteria conditions were no labeling; calorie and nutrient labeling on posters only; posters plus point-of-purchase menu board calorie labeling. More respondents noticed calorie information at poster plus menu board sites than at poster-only sites (P &lt; 0.05). Over 80% of patrons supported provision of calorie information. There was a significant increase in purchases of lower calorie side dishes (P &lt; 0.0001) and snacks (P = 0.006) at the menu board site, compared with the no-labeling site. These findings support the premise that menu labeling can be useful in worksite wellness initiatives.", "author" : [ { "dropping-particle" : "", "family" : "Webb", "given" : "K. L.", "non-dropping-particle" : "", "parse-names" : false, "suffix" : "" }, { "dropping-particle" : "", "family" : "Solomon", "given" : "Loel S.", "non-dropping-particle" : "", "parse-names" : false, "suffix" : "" }, { "dropping-particle" : "", "family" : "Sanders", "given" : "Jan", "non-dropping-particle" : "", "parse-names" : false, "suffix" : "" }, { "dropping-particle" : "", "family" : "Akiyama", "given" : "Carol", "non-dropping-particle" : "", "parse-names" : false, "suffix" : "" }, { "dropping-particle" : "", "family" : "Crawford", "given" : "Patricia B.", "non-dropping-particle" : "", "parse-names" : false, "suffix" : "" } ], "container-title" : "Journal of Hunger &amp; Environmental Nutrition", "id" : "ITEM-3", "issue" : "2", "issued" : { "date-parts" : [ [ "2011", "4", "26" ] ] }, "language" : "en", "page" : "166-178", "publisher" : "Taylor &amp; Francis Group", "title" : "Menu labeling responsive to consumer concerns and shows promise for changing patron purchases", "type" : "article-journal", "volume" : "6" }, "uris" : [ "http://www.mendeley.com/documents/?uuid=f71605c5-1446-42f3-8df9-641674869e08" ] } ], "mendeley" : { "formattedCitation" : "(Elbel, Gyamfi, &amp; Kersh, 2011; Elbel, Kersh, Brescoll, &amp; Dixon, 2009; K. L. Webb, Solomon, Sanders, Akiyama, &amp; Crawford, 2011)", "plainTextFormattedCitation" : "(Elbel, Gyamfi, &amp; Kersh, 2011; Elbel, Kersh, Brescoll, &amp; Dixon, 2009; K. L. Webb, Solomon, Sanders, Akiyama, &amp; Crawford, 2011)", "previouslyFormattedCitation" : "(Elbel, Gyamfi, &amp; Kersh, 2011; Elbel, Kersh, Brescoll, &amp; Dixon, 2009; K. L. Webb, Solomon, Sanders, Akiyama, &amp; Crawford, 2011)"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(Elbel, Gyamfi, &amp; Kersh, 2011; Elbel, Kersh, Brescoll, &amp; Dixon, 2009; K. L. Webb, Solomon, Sanders, Akiyama, &amp; Crawford, 2011)</w:t>
      </w:r>
      <w:r>
        <w:rPr>
          <w:rFonts w:ascii="Times New Roman" w:hAnsi="Times New Roman" w:cs="Times New Roman"/>
          <w:sz w:val="24"/>
          <w:szCs w:val="24"/>
        </w:rPr>
        <w:fldChar w:fldCharType="end"/>
      </w:r>
      <w:r>
        <w:rPr>
          <w:rFonts w:ascii="Times New Roman" w:hAnsi="Times New Roman" w:cs="Times New Roman"/>
          <w:sz w:val="24"/>
          <w:szCs w:val="24"/>
        </w:rPr>
        <w:t xml:space="preserve">,  2 month period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"Holmes", "given" : "A. S.", "non-dropping-particle" : "", "parse-names" : false, "suffix" : "" }, { "dropping-particle" : "", "family" : "Serrano", "given" : "E. L.", "non-dropping-particle" : "", "parse-names" : false, "suffix" : "" }, { "dropping-particle" : "", "family" : "Machin", "given" : "J. E.", "non-dropping-particle" : "", "parse-names" : false, "suffix" : "" }, { "dropping-particle" : "", "family" : "Duetsch", "given" : "T.", "non-dropping-particle" : "", "parse-names" : false, "suffix" : "" }, { "dropping-particle" : "", "family" : "Davis", "given" : "G. C.", "non-dropping-particle" : "", "parse-names" : false, "suffix" : "" } ], "container-title" : "Appetite", "id" : "ITEM-1", "issued" : { "date-parts" : [ [ "2013" ] ] }, "page" : "198-202", "title" : "Effect of different children's menu labeling designs on family purchases", "type" : "article-journal", "volume" : "62" }, "uris" : [ "http://www.mendeley.com/documents/?uuid=7b67fd81-7abc-46ea-a4a9-d4d3b828c4f0" ] } ], "mendeley" : { "formattedCitation" : "(Holmes, Serrano, Machin, Duetsch, &amp; Davis, 2013)", "plainTextFormattedCitation" : "(Holmes, Serrano, Machin, Duetsch, &amp; Davis, 2013)", "previouslyFormattedCitation" : "(Holmes, Serrano, Machin, Duetsch, &amp; Davis, 2013)"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(Holmes, Serrano, Machin, Duetsch, &amp; Davis, 2013)</w:t>
      </w:r>
      <w:r>
        <w:rPr>
          <w:rFonts w:ascii="Times New Roman" w:hAnsi="Times New Roman" w:cs="Times New Roman"/>
          <w:sz w:val="24"/>
          <w:szCs w:val="24"/>
        </w:rPr>
        <w:fldChar w:fldCharType="end"/>
      </w:r>
      <w:r>
        <w:rPr>
          <w:rFonts w:ascii="Times New Roman" w:hAnsi="Times New Roman" w:cs="Times New Roman"/>
          <w:sz w:val="24"/>
          <w:szCs w:val="24"/>
        </w:rPr>
        <w:t xml:space="preserve">, 13 month period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"10.1016/j.amepre.2010.10.019", "ISBN" : "1873-2607 (Electronic)\\r0749-3797 (Linking)", "ISSN" : "07493797", "PMID" : "21238859", "abstract" : "Background As part of a comprehensive effort to stem the rise in obesity, King County, Washington, enforced a mandatory menu-labeling regulation requiring all restaurant chains with 15 or more locations to disclose calorie information at the point of purchase beginning in January 2009. Purpose The purpose of this study is to quantify the impact of the King County regulation on transactions and purchasing behavior at one Mexican fast-food chain with locations within and adjacent to King County. Methods To examine the effect of the King County regulation, a difference-in-difference approach was used to compare total transactions and average calories per transaction between seven King County restaurants and seven control locations focusing on two time periods: one period immediately following the law until the posting of drive-through menu boards (January 2009 to July 2009) and a second period following the drive-through postings (August 2009 through January 2010). Analyses were conducted in 2010. Results No impact of the regulation on purchasing behavior was found. Trends in transactions and calories per transaction did not vary between control and intervention locations after the law was enacted. Conclusions In this setting, mandatory menu labeling did not promote healthier food-purchasing behavior. \u00a9 2011 American Journal of Preventive Medicine.", "author" : [ { "dropping-particle" : "", "family" : "Finkelstein", "given" : "Eric A.", "non-dropping-particle" : "", "parse-names" : false, "suffix" : "" }, { "dropping-particle" : "", "family" : "Strombotne", "given" : "Kiersten L.", "non-dropping-particle" : "", "parse-names" : false, "suffix" : "" }, { "dropping-particle" : "", "family" : "Chan", "given" : "Nadine L.", "non-dropping-particle" : "", "parse-names" : false, "suffix" : "" }, { "dropping-particle" : "", "family" : "Krieger", "given" : "James", "non-dropping-particle" : "", "parse-names" : false, "suffix" : "" } ], "container-title" : "American Journal of Preventive Medicine", "id" : "ITEM-1", "issue" : "2", "issued" : { "date-parts" : [ [ "2011", "2" ] ] }, "page" : "122-127", "title" : "Mandatory Menu Labeling in One Fast-Food Chain in King County, Washington", "type" : "article-journal", "volume" : "40" }, "uris" : [ "http://www.mendeley.com/documents/?uuid=8d5a7264-a79d-4d89-b5f8-84742915f218" ] } ], "mendeley" : { "formattedCitation" : "(Finkelstein, Strombotne, Chan, &amp; Krieger, 2011)", "plainTextFormattedCitation" : "(Finkelstein, Strombotne, Chan, &amp; Krieger, 2011)", "previouslyFormattedCitation" : "(Finkelstein, Strombotne, Chan, &amp; Krieger, 2011)"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(Finkelstein, Strombotne, Chan, &amp; Krieger, 2011)</w:t>
      </w:r>
      <w:r>
        <w:rPr>
          <w:rFonts w:ascii="Times New Roman" w:hAnsi="Times New Roman" w:cs="Times New Roman"/>
          <w:sz w:val="24"/>
          <w:szCs w:val="24"/>
        </w:rPr>
        <w:fldChar w:fldCharType="end"/>
      </w:r>
      <w:r>
        <w:rPr>
          <w:rFonts w:ascii="Times New Roman" w:hAnsi="Times New Roman" w:cs="Times New Roman"/>
          <w:sz w:val="24"/>
          <w:szCs w:val="24"/>
        </w:rPr>
        <w:t xml:space="preserve">]. To deal with these concerns, traffic light systems have been used as a way to make calorie information more salient and intuitively simpler to interpret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"10.1093/heapro/dap032", "ISSN" : "1460-2245", "PMID" : "19815614", "abstract" : "Front-of-pack 'traffic-light' nutrition labelling has been widely proposed as a tool to improve public health nutrition. This study examined changes to consumer food purchases after the introduction of traffic-light labels with the aim of assessing the impact of the labels on the 'healthiness' of foods purchased. The study examined sales data from a major UK retailer in 2007. We analysed products in two categories ('ready meals' and sandwiches), investigating the percentage change in sales 4 weeks before and after traffic-light labels were introduced, and taking into account seasonality, product promotions and product life-cycle. We investigated whether changes in sales were related to the healthiness of products. All products that were not new and not on promotion immediately before or after the introduction of traffic-light labels were selected for the analysis (n = 6 for ready meals and n = 12 for sandwiches). For the selected ready-meals, sales increased (by 2.4% of category sales) in the 4 weeks after the introduction of traffic-light labels, whereas sales of the selected sandwiches did not change significantly. Critically, there was no association between changes in product sales and the healthiness of the products. This short-term study based on a small number of ready meals and sandwiches found that the introduction of a system of four traffic-light labels had no discernable effect on the relative healthiness of consumer purchases. Further research on the influence of nutrition signposting will be needed before this labelling format can be considered a promising public health intervention.", "author" : [ { "dropping-particle" : "", "family" : "Sacks", "given" : "Gary", "non-dropping-particle" : "", "parse-names" : false, "suffix" : "" }, { "dropping-particle" : "", "family" : "Rayner", "given" : "Mike", "non-dropping-particle" : "", "parse-names" : false, "suffix" : "" }, { "dropping-particle" : "", "family" : "Swinburn", "given" : "Boyd", "non-dropping-particle" : "", "parse-names" : false, "suffix" : "" } ], "container-title" : "Health Promotion International", "id" : "ITEM-1", "issue" : "4", "issued" : { "date-parts" : [ [ "2009", "12", "1" ] ] }, "page" : "344-52", "title" : "Impact of front-of-pack 'traffic-light' nutrition labelling on consumer food purchases in the UK", "type" : "article-journal", "volume" : "24" }, "uris" : [ "http://www.mendeley.com/documents/?uuid=0c93b517-03a9-45f6-aa72-ee23f904576b" ] }, { "id" : "ITEM-2", "itemData" : { "DOI" : "10.1016/j.ypmed.2013.07.001", "ISSN" : "1096-0260", "PMID" : "23859926", "abstract" : "OBJECTIVE: We surveyed customers in a hospital cafeteria in Boston, Massachusetts before and after implementation of traffic light food labeling to determine the effect of labels on customers' awareness and purchase of healthy foods.\n\nMETHODS: Cafeteria items were identified as red (unhealthy), yellow (less healthy), or green (healthy). Customers were interviewed before (N=166) and after (N=223) labeling was implemented. Each respondent was linked to cash register data to determine the proportion of red, yellow, and green items purchased. Data were collected from February-April 2010. We compared responses to survey questions and mean proportion of red, yellow, and green items per transaction between customers interviewed during baseline and customers interviewed during the intervention. Survey response rate was 60%.\n\nRESULTS: Comparing responses during labeling intervention to baseline, more respondents identified health/nutrition as an important factor in their purchase (61% vs. 46%, p=0.004) and reported looking at nutrition information (33% vs. 15%, p&lt;0.001). Respondents who noticed labels during the intervention and reported that labels influenced their purchases were more likely to purchase healthier items than respondents who did not notice labels (p&lt;0.001 for both).\n\nCONCLUSION: Traffic light food labels prompted individuals to consider their health and to make healthier choices at point-of-purchase.", "author" : [ { "dropping-particle" : "", "family" : "Sonnenberg", "given" : "Lillian", "non-dropping-particle" : "", "parse-names" : false, "suffix" : "" }, { "dropping-particle" : "", "family" : "Gelsomin", "given" : "Emily", "non-dropping-particle" : "", "parse-names" : false, "suffix" : "" }, { "dropping-particle" : "", "family" : "Levy", "given" : "Douglas E.", "non-dropping-particle" : "", "parse-names" : false, "suffix" : "" }, { "dropping-particle" : "", "family" : "Riis", "given" : "Jason", "non-dropping-particle" : "", "parse-names" : false, "suffix" : "" }, { "dropping-particle" : "", "family" : "Barraclough", "given" : "Susan", "non-dropping-particle" : "", "parse-names" : false, "suffix" : "" }, { "dropping-particle" : "", "family" : "Thorndike", "given" : "Anne N.", "non-dropping-particle" : "", "parse-names" : false, "suffix" : "" } ], "container-title" : "Preventive Medicine", "id" : "ITEM-2", "issue" : "4", "issued" : { "date-parts" : [ [ "2013", "10" ] ] }, "page" : "253-57", "title" : "A traffic light food labeling intervention increases consumer awareness of health and healthy choices at the point-of-purchase", "type" : "article-journal", "volume" : "57" }, "uris" : [ "http://www.mendeley.com/documents/?uuid=435afc20-f2d5-42a9-b630-5c762732dba2" ] } ], "mendeley" : { "formattedCitation" : "(Sacks, Rayner, &amp; Swinburn, 2009; Sonnenberg et al., 2013)", "plainTextFormattedCitation" : "(Sacks, Rayner, &amp; Swinburn, 2009; Sonnenberg et al., 2013)", "previouslyFormattedCitation" : "(Sacks, Rayner, &amp; Swinburn, 2009; Sonnenberg et al., 2013)"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(Sacks, Rayner, &amp; Swinburn, 2009; Sonnenberg et al., 2013)</w:t>
      </w:r>
      <w:r>
        <w:rPr>
          <w:rFonts w:ascii="Times New Roman" w:hAnsi="Times New Roman" w:cs="Times New Roman"/>
          <w:sz w:val="24"/>
          <w:szCs w:val="24"/>
        </w:rPr>
        <w:fldChar w:fldCharType="end"/>
      </w:r>
      <w:r>
        <w:rPr>
          <w:rFonts w:ascii="Times New Roman" w:hAnsi="Times New Roman" w:cs="Times New Roman"/>
          <w:sz w:val="24"/>
          <w:szCs w:val="24"/>
        </w:rPr>
        <w:t xml:space="preserve">. By using simple visual cues (e.g., red = highly fat food, amber = moderately healthy foods, green = very healthy foods) the signals directly connect calorie counts to their impact on health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"abstract" : "Live coverage of debates and public sessions of the Committee's meetings are available at: www.parliamentlive.tv General Information General information about the House of Lords and its Committees, including guidance to witnesses, details of current inquiries and forthcoming meetings is on the internet at:", "author" : [ { "dropping-particle" : "", "family" : "House of Lords", "given" : "", "non-dropping-particle" : "", "parse-names" : false, "suffix" : "" } ], "id" : "ITEM-1", "issued" : { "date-parts" : [ [ "2011" ] ] }, "publisher-place" : "London", "title" : "Behaviour Change", "type" : "report" }, "uris" : [ "http://www.mendeley.com/documents/?uuid=c2fad7b5-3832-474d-ae6b-88bde9632821" ] } ], "mendeley" : { "formattedCitation" : "(House of Lords, 2011)", "plainTextFormattedCitation" : "(House of Lords, 2011)", "previouslyFormattedCitation" : "(House of Lords, 2011)"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(House of Lords, 2011)</w:t>
      </w:r>
      <w:r>
        <w:rPr>
          <w:rFonts w:ascii="Times New Roman" w:hAnsi="Times New Roman" w:cs="Times New Roman"/>
          <w:sz w:val="24"/>
          <w:szCs w:val="24"/>
        </w:rPr>
        <w:fldChar w:fldCharType="end"/>
      </w:r>
      <w:r>
        <w:rPr>
          <w:rFonts w:ascii="Times New Roman" w:hAnsi="Times New Roman" w:cs="Times New Roman"/>
          <w:sz w:val="24"/>
          <w:szCs w:val="24"/>
        </w:rPr>
        <w:t xml:space="preserve">, and provide a relevant reference point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"10.1093/aepp/ppt027", "ISSN" : "2040-5790", "abstract" : "Many policy interventions that address rising obesity levels in the United States have been designed to provide consumers with more nutrition information, with the goal of encouraging consumers to decrease their caloric intake. We discuss existing information-provision measures and suggest that they are likely to have little-to-modest impact on encouraging lower caloric intake, because making use of such information requires understanding and/or motivation, which many consumers lack, as well as self-control, which is a limited resource. We highlight several phenomena from the behavioral economics literature (present-biased preferences, visceral factors, and status quo bias) and explain how awareness of these behavioral phenomena can inform both more effective information-provision policies and additional policies for regulating restaurants and public school cafeterias that move beyond information to nudge people towards healthier food choices.", "author" : [ { "dropping-particle" : "", "family" : "Liu", "given" : "P. J.", "non-dropping-particle" : "", "parse-names" : false, "suffix" : "" }, { "dropping-particle" : "", "family" : "Wisdom", "given" : "J.", "non-dropping-particle" : "", "parse-names" : false, "suffix" : "" }, { "dropping-particle" : "", "family" : "Roberto", "given" : "C. A.", "non-dropping-particle" : "", "parse-names" : false, "suffix" : "" }, { "dropping-particle" : "", "family" : "Liu", "given" : "L. J.", "non-dropping-particle" : "", "parse-names" : false, "suffix" : "" }, { "dropping-particle" : "", "family" : "Ubel", "given" : "P. A.", "non-dropping-particle" : "", "parse-names" : false, "suffix" : "" } ], "container-title" : "Applied Economic Perspectives and Policy", "id" : "ITEM-1", "issue" : "1", "issued" : { "date-parts" : [ [ "2014", "3", "1" ] ] }, "page" : "6-24", "title" : "Using Behavioral Economics to Design More Effective Food Policies to Address Obesity", "type" : "article-journal", "volume" : "36" }, "uris" : [ "http://www.mendeley.com/documents/?uuid=dc157e6e-650f-48b0-a989-9e5460f669fd" ] } ], "mendeley" : { "formattedCitation" : "(Liu, Wisdom, Roberto, Liu, &amp; Ubel, 2014)", "plainTextFormattedCitation" : "(Liu, Wisdom, Roberto, Liu, &amp; Ubel, 2014)", "previouslyFormattedCitation" : "(Liu, Wisdom, Roberto, Liu, &amp; Ubel, 2014)"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(Liu, Wisdom, Roberto, Liu, &amp; Ubel, 2014)</w:t>
      </w:r>
      <w:r>
        <w:rPr>
          <w:rFonts w:ascii="Times New Roman" w:hAnsi="Times New Roman" w:cs="Times New Roman"/>
          <w:sz w:val="24"/>
          <w:szCs w:val="24"/>
        </w:rPr>
        <w:fldChar w:fldCharType="end"/>
      </w:r>
      <w:r>
        <w:rPr>
          <w:rFonts w:ascii="Times New Roman" w:hAnsi="Times New Roman" w:cs="Times New Roman"/>
          <w:sz w:val="24"/>
          <w:szCs w:val="24"/>
        </w:rPr>
        <w:t xml:space="preserve">. An independent field study conducted by Ipsos Mori showed that 35% of customers of a major UK supermarket actively look at traffic light labels when they shop, and 92% of those find these labels easy to understand. Also, over the 12-week period, sales of food items with mostly green traffic lights grew to 46.1% whereas those with mostly red traffic lights decreased by 24%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"abstract" : "Live coverage of debates and public sessions of the Committee's meetings are available at: www.parliamentlive.tv General Information General information about the House of Lords and its Committees, including guidance to witnesses, details of current inquiries and forthcoming meetings is on the internet at:", "author" : [ { "dropping-particle" : "", "family" : "House of Lords", "given" : "", "non-dropping-particle" : "", "parse-names" : false, "suffix" : "" } ], "id" : "ITEM-1", "issued" : { "date-parts" : [ [ "2011" ] ] }, "publisher-place" : "London", "title" : "Behaviour Change", "type" : "report" }, "uris" : [ "http://www.mendeley.com/documents/?uuid=c2fad7b5-3832-474d-ae6b-88bde9632821" ] } ], "mendeley" : { "formattedCitation" : "(House of Lords, 2011)", "plainTextFormattedCitation" : "(House of Lords, 2011)", "previouslyFormattedCitation" : "(House of Lords, 2011)"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(House of Lords, 2011)</w:t>
      </w:r>
      <w:r>
        <w:rPr>
          <w:rFonts w:ascii="Times New Roman" w:hAnsi="Times New Roman" w:cs="Times New Roman"/>
          <w:sz w:val="24"/>
          <w:szCs w:val="24"/>
        </w:rPr>
        <w:fldChar w:fldCharType="end"/>
      </w:r>
      <w:r>
        <w:rPr>
          <w:rFonts w:ascii="Times New Roman" w:hAnsi="Times New Roman" w:cs="Times New Roman"/>
          <w:sz w:val="24"/>
          <w:szCs w:val="24"/>
        </w:rPr>
        <w:t xml:space="preserve">.  Thus, in the UK alone several organizations (The National institute for Care and Health Excellence (NICE); The UK Food Standard Agency) have strongly encouraged food </w:t>
      </w:r>
      <w:r>
        <w:rPr>
          <w:rFonts w:ascii="Times New Roman" w:hAnsi="Times New Roman" w:cs="Times New Roman"/>
          <w:sz w:val="24"/>
          <w:szCs w:val="24"/>
        </w:rPr>
        <w:lastRenderedPageBreak/>
        <w:t xml:space="preserve">manufacturers and food establishments to use text and traffic lights on food labels/menus because they support better understanding of which foods are healthy and which are not. </w:t>
      </w:r>
    </w:p>
    <w:p>
      <w:pPr>
        <w:spacing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Physical Inactivity</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As with poor diet, another major global issue is the significant decreases in regular exercise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"Hallal", "given" : "P. C.", "non-dropping-particle" : "", "parse-names" : false, "suffix" : "" }, { "dropping-particle" : "", "family" : "Andersen", "given" : "L. B.", "non-dropping-particle" : "", "parse-names" : false, "suffix" : "" }, { "dropping-particle" : "", "family" : "Bull", "given" : "F. C.", "non-dropping-particle" : "", "parse-names" : false, "suffix" : "" }, { "dropping-particle" : "", "family" : "Guthold", "given" : "R.", "non-dropping-particle" : "", "parse-names" : false, "suffix" : "" }, { "dropping-particle" : "", "family" : "Haskell", "given" : "W.", "non-dropping-particle" : "", "parse-names" : false, "suffix" : "" }, { "dropping-particle" : "", "family" : "Ekelund", "given" : "U.", "non-dropping-particle" : "", "parse-names" : false, "suffix" : "" }, { "dropping-particle" : "", "family" : "Group.", "given" : "Lancet Physical Activity Series Working Group", "non-dropping-particle" : "", "parse-names" : false, "suffix" : "" } ], "container-title" : "The Lancet", "id" : "ITEM-1", "issue" : "9838", "issued" : { "date-parts" : [ [ "2012" ] ] }, "page" : "247-257", "title" : "Global physical activity levels: surveillance progress, pitfalls, and prospects", "type" : "article-journal", "volume" : "380" }, "uris" : [ "http://www.mendeley.com/documents/?uuid=57483ec3-2070-45db-8ea3-125705bd4688" ] } ], "mendeley" : { "formattedCitation" : "(Hallal et al., 2012)", "plainTextFormattedCitation" : "(Hallal et al., 2012)", "previouslyFormattedCitation" : "(Hallal et al., 2012)"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(Hallal et al., 2012)</w:t>
      </w:r>
      <w:r>
        <w:rPr>
          <w:rFonts w:ascii="Times New Roman" w:hAnsi="Times New Roman" w:cs="Times New Roman"/>
          <w:sz w:val="24"/>
          <w:szCs w:val="24"/>
        </w:rPr>
        <w:fldChar w:fldCharType="end"/>
      </w:r>
      <w:r>
        <w:rPr>
          <w:rFonts w:ascii="Times New Roman" w:hAnsi="Times New Roman" w:cs="Times New Roman"/>
          <w:sz w:val="24"/>
          <w:szCs w:val="24"/>
        </w:rPr>
        <w:t xml:space="preserve">. A simple method of increasing physical activity through a Type 1 nudge involves a point-of-decision prompt which uses visual cues in relevant contexts to encourage people to take the more active of two options (e.g. a choice between taking the stairs rather than the escalator). For instance, painted footprints on stairwells have been used to guide people to take the stairs over elevators. The evidence base for this is not encouraging. Findings show that, perversely, the method increased the selection of the less physical option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"10.1186/s13690-016-0170-8", "ISSN" : "0778-7367", "PMID" : "28078084", "abstract" : "BACKGROUND Stair climbing is a vigorous activity and can lead to several health benefits. Studies seeking to increase stair climbing in various public locations have shown positive effects, while results from similar studies conducted in the workplace are inconclusive. This study examined stair climbing in the workplace, and monitored effects from a single- and a combined intervention. Interventions were inspired by nudging, the libertarian method of influencing behavior. METHODS By quasi-experimental design, stair- and elevator traffic in two office buildings was monitored preceding-, during- and following interventions with stair leading footprints alone, and combined with stair-riser banners. Chi square tests were applied to determine differences between baseline and the subsequent periods. Web-based questionnaires were distributed after follow-up period. RESULTS Elevators and stairs were used 45 237 times, of which 89.6% was stair use. Intervention site stair climbing at baseline (79.0%) was significantly reduced with footprints (-5.1%, p &lt; 0.001), and footprints with stair-riser banners (-5.7%, p &lt; 0.001) while baseline stair climbing at the control site (94.2%) remained stable (p &gt; 0.027). CONCLUSIONS Stair climbing was significantly reduced during the intervention periods. Use of stair leading footprints alone, or combined with stair-riser banners in an attempt to influence stair climbing may be ineffective, or cause a negative reaction, when applied in a workplace with a pre-existing high amount of stair climbing.", "author" : [ { "dropping-particle" : "", "family" : "\u00c5vitsland", "given" : "Andreas", "non-dropping-particle" : "", "parse-names" : false, "suffix" : "" }, { "dropping-particle" : "", "family" : "Solbraa", "given" : "Ane Kristiansen", "non-dropping-particle" : "", "parse-names" : false, "suffix" : "" }, { "dropping-particle" : "", "family" : "Riiser", "given" : "Amund", "non-dropping-particle" : "", "parse-names" : false, "suffix" : "" } ], "container-title" : "Archives of Public Health", "id" : "ITEM-1", "issued" : { "date-parts" : [ [ "2017" ] ] }, "page" : "2", "publisher" : "BioMed Central", "title" : "Promoting workplace stair climbing: sometimes, not interfering is the best.", "type" : "article-journal", "volume" : "75" }, "uris" : [ "http://www.mendeley.com/documents/?uuid=bf757e82-7f95-3f91-b918-755cba82d970" ] } ], "mendeley" : { "formattedCitation" : "(\u00c5vitsland, Solbraa, &amp; Riiser, 2017)", "plainTextFormattedCitation" : "(\u00c5vitsland, Solbraa, &amp; Riiser, 2017)", "previouslyFormattedCitation" : "(\u00c5vitsland, Solbraa, &amp; Riiser, 2017)"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(Åvitsland, Solbraa, &amp; Riiser, 2017)</w:t>
      </w:r>
      <w:r>
        <w:rPr>
          <w:rFonts w:ascii="Times New Roman" w:hAnsi="Times New Roman" w:cs="Times New Roman"/>
          <w:sz w:val="24"/>
          <w:szCs w:val="24"/>
        </w:rPr>
        <w:fldChar w:fldCharType="end"/>
      </w:r>
      <w:r>
        <w:rPr>
          <w:rFonts w:ascii="Times New Roman" w:hAnsi="Times New Roman" w:cs="Times New Roman"/>
          <w:sz w:val="24"/>
          <w:szCs w:val="24"/>
        </w:rPr>
        <w:t xml:space="preserve">. While similar to the Type 1 nudge, a favored Type 2 nudge, is to also use a point-of-decision prompt but instead of covert visual cues, educational information is presented that highlights the benefits of regular exercise. This often involves placing posters at start of stairwells or by elevators/ escalators that inform people about the calories they would burn or the net positive effects on their health (i.e. increased heart rate)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"0003-4819 (Print)\\r0003-4819 (Linking)", "ISSN" : "0883-9212", "PMID" : "9735063", "abstract" : "BACKGROUND: The U.S. Surgeon General advocates the accumulation of moderate-intensity activity throughout the day to improve health. OBJECTIVES: To test the effectiveness of signs to encourage use of stairs instead of escalators. DESIGN: Community intervention. SETTING: Shopping center. PARTICIPANTS: 17901 shoppers. INTERVENTION: Signs promoting the health and weight-control benefits of stair use were placed beside escalators with adjacent stairs. MEASUREMENTS: The sex, age, race, weight classification, and use of stairs were observed. RESULTS: Overall, stair use increased from 4.8% to 6.9% and 7.2% with the health and weight-control signs, respectively. Younger persons increase their stair use from 4.6% to 6.0% with the health sign and 6.1% with the weight-control sign. Older persons almost doubled their stair use from 5.1% to 8.1% with the health sign and increased use to 8.7% with the weight-control sign. Differential use of stairs was observed between ethnic groups. Among white persons, stair use increased from 5.1% to 7.5 and 7.8% with the health sign and weight-control signs. Among black persons, stair use decreased from 4.1% to 3.4% with the health sign and increased to 5.0% with the weight-control sign. At baseline, lean persons used the stairs more often than overweight persons (5.4% and 3.8%, respectively). The health sign increased stair use to 7.2% among normal-weight persons and 6.3% among overweight persons; the weight-control sign prompted stair use to increase to 6.9% among persons of normal weight and to 7.6% among overweight persons. CONCLUSIONS: Simple, inexpensive interventions can increase physical activity. Research is needed to identify effective motivators to promote activity among black persons.", "author" : [ { "dropping-particle" : "", "family" : "Andersen", "given" : "R E", "non-dropping-particle" : "", "parse-names" : false, "suffix" : "" }, { "dropping-particle" : "", "family" : "Franckowiak", "given" : "S C", "non-dropping-particle" : "", "parse-names" : false, "suffix" : "" }, { "dropping-particle" : "", "family" : "Snyder", "given" : "J", "non-dropping-particle" : "", "parse-names" : false, "suffix" : "" }, { "dropping-particle" : "", "family" : "Bartlett", "given" : "S J", "non-dropping-particle" : "", "parse-names" : false, "suffix" : "" }, { "dropping-particle" : "", "family" : "Fontaine", "given" : "K R", "non-dropping-particle" : "", "parse-names" : false, "suffix" : "" } ], "container-title" : "Annals of Internal Medicine", "id" : "ITEM-1", "issue" : "5", "issued" : { "date-parts" : [ [ "1998", "1" ] ] }, "page" : "363-369", "title" : "Can Inexpensive Signs Encourage the Use of Stairs? Results From a Community Intervention", "type" : "article-journal", "volume" : "129" }, "uris" : [ "http://www.mendeley.com/documents/?uuid=f648e984-1a51-4260-af90-4aadfb0eddc3" ] }, { "id" : "ITEM-2", "itemData" : { "DOI" : "10.1136/bmj.311.7000.289", "ISSN" : "0959-8138", "PMID" : "7633234", "abstract" : "Avril Blamey, health promotion officera, Nanette Mutrie, senior lecturerb, Aitchison Tom, senior lecturercaGreater Glasgow Health Board, Glasgow G2 4JTb Institute of Biomedical and Life Sciences, University of GlasgowcDepartment of Statistics, University of Glasgow\\nCorrespondence to: Ms BlameyAccepted 13 May 1995The national fitness survey for England concluded: \u201cthe high prevalence of physical inactivity suggests that it may be even more important for public health than attention to cholesterol, arterial blood pressure or smoking.\u201d1 The prevalence and risk of inactivity in the United States led the American College of Sports Medicine to issue guidelines suggesting that sedentary adults should have at least 30 minutes of accumulated moderate physical activity on most days of the week.2 To achieve this target the members of the public should be encouraged to add activity into their daily routine at every opportunity.This study investigated whether Scottish commuters or shoppers would respond to an intervention consisting of motivational signs encouraging them to walk up stairs rather than take an escalator.\\nSubjects, methods, and results\\nSigns saying \u201cStay Healthy, Save Time, Use the Stairs\u201d were placed \u2026 \\n\\n\\n\\n", "author" : [ { "dropping-particle" : "", "family" : "Blamey", "given" : "A.", "non-dropping-particle" : "", "parse-names" : false, "suffix" : "" }, { "dropping-particle" : "", "family" : "Mutrie", "given" : "N.", "non-dropping-particle" : "", "parse-names" : false, "suffix" : "" }, { "dropping-particle" : "", "family" : "Aitchison", "given" : "T.", "non-dropping-particle" : "", "parse-names" : false, "suffix" : "" } ], "container-title" : "BMJ", "id" : "ITEM-2", "issue" : "7000", "issued" : { "date-parts" : [ [ "1995", "7", "29" ] ] }, "page" : "289-290", "title" : "Health promotion by encouraged use of stairs", "type" : "article-journal", "volume" : "311" }, "uris" : [ "http://www.mendeley.com/documents/?uuid=3a437814-58e6-4ec7-b5e1-3017c678d9b0" ] }, { "id" : "ITEM-3", "itemData" : { "ISBN" : "0002-953X", "ISSN" : "0002-953X", "PMID" : "7435710", "abstract" : "Using a new experimental paradigm to evaluate physical activity in the natural environment, the authors made of 45,694 observations of persons using stairs or an adjacent escalator at a shopping mall, train station, and bus terminal. In study 1, stair use more than doubled for both obese and nonobese persons during two-week periods when a colorful sign encouraging use of the stairs was positioned at the stairs/escalator choice point. In study 2, stair use remained elevated for 15 consecutive days while the sign was present, decreased during a 1-month follow-up period, and returned to baseline by 3 months. These results not only demonstrate the usefulness of this paradigm, but also suggest the strength of simple, inexpensive public health interventions to increase physical activity.", "author" : [ { "dropping-particle" : "", "family" : "Brownell", "given" : "K. D.", "non-dropping-particle" : "", "parse-names" : false, "suffix" : "" }, { "dropping-particle" : "", "family" : "Stunkard", "given" : "A. J.", "non-dropping-particle" : "", "parse-names" : false, "suffix" : "" }, { "dropping-particle" : "", "family" : "Albaum", "given" : "J. M.", "non-dropping-particle" : "", "parse-names" : false, "suffix" : "" } ], "container-title" : "The American journal of psychiatry", "id" : "ITEM-3", "issue" : "12", "issued" : { "date-parts" : [ [ "1980", "12" ] ] }, "page" : "1540-5", "title" : "Evaluation and modification of exercise patterns in the natural environment.", "type" : "article-journal", "volume" : "137" }, "uris" : [ "http://www.mendeley.com/documents/?uuid=205fa564-2cc4-4338-a03a-c9712d95a877" ] }, { "id" : "ITEM-4", "itemData" : { "DOI" : "10.1111/j.2044-8287.2011.02060.x", "ISBN" : "2044-8287", "ISSN" : "1359107X", "PMID" : "22248016", "abstract" : "OBJECTIVES: Recent interventions report positive results following a multi-component campaign to increase stair climbing. This study investigated the effectiveness of volitional and motivational components of a stair-climbing intervention in the workplace. Design. Interrupted time-series design.\\n\\nMETHODS: Ascending stair/lift choices, coded by gender, were observed between 08:00-10:00 and 14:15-16:15 on weekdays, in four university buildings (n = 14,138; 46% female). Baseline observations (stage 1; 5 days) preceded a motivational intervention, that is, a poster positioned inside the lift(s), that was positioned in each building (stage 2; 5 days). Next a volitional intervention, that is, point-of-choice prompt, supplemented the motivational one (stage 3; 8 days). Logistic regression analysis of stair/lift choices included the independent variables of intervention components, gender, time of day, building height, number of lifts, and pedestrian traffic.\\n\\nRESULTS: There was no significant change in stair climbing when the motivational component was positioned alone (Odds Ratio [OR] = 0.93, 95% Confidence Interval [CI] = 0.85-1.02, p = .123). In contrast, stair climbing increased significantly when the volitional component, that is, the point-of-choice prompt, was added (OR = 1.23, 95% CI = 1.14-1.32, p &lt; .001). During both stages, building height, number of lifts, time of day, and pedestrian traffic were all associated with stair climbing. No significant gender effects were seen.\\n\\nCONCLUSIONS: A motivational component positioned alone, inside the lift(s) did not increase stair climbing. When a volitional component was added, that is, point-of-choice prompt positioned at the time and place where individuals choose their method of ascent, stair climbing increased significantly. Visibility of a prompt at the time behavioural choice is made appears necessary to change actual behaviour.", "author" : [ { "dropping-particle" : "", "family" : "Lewis", "given" : "A.", "non-dropping-particle" : "", "parse-names" : false, "suffix" : "" }, { "dropping-particle" : "", "family" : "Eves", "given" : "F.", "non-dropping-particle" : "", "parse-names" : false, "suffix" : "" } ], "container-title" : "British Journal of Health Psychology", "id" : "ITEM-4", "issue" : "3", "issued" : { "date-parts" : [ [ "2012", "9" ] ] }, "page" : "631-643", "title" : "Prompt before the choice is made: Effects of a stair-climbing intervention in university buildings", "type" : "article-journal", "volume" : "17" }, "uris" : [ "http://www.mendeley.com/documents/?uuid=d639decf-8f13-4d1a-8b96-732db66caf16" ] }, { "id" : "ITEM-5", "itemData" : { "DOI" : "10.1093/her/17.6.743", "ISBN" : "0268-1153", "ISSN" : "14653648", "PMID" : "12507349", "abstract" : "This study aimed to evaluate whether a stair-promoting signed intervention could increase the use of the stairs over the elevator in a health-care facility. A time-series design was conducted over 12 weeks. Data were collected before, during and after displaying a signed intervention during weeks 4-5 and 8-9. Evaluation included anonymous counts recorded by an objective unobtrusive motion-sensing device of people entering the elevator or the stairs. Self-report data on stair use by hospital staff were also collected. Stair use significantly increased after the first intervention phase (P = 0.02), but after the intervention was removed stair use decreased back towards baseline levels. Moreover, stair use did not significantly change after the re-introduction of the intervention. Lastly, stair use decreased below the initial baseline level during the final weeks of evaluation. Furthermore, there was no significant change in self-reported stair use by hospital staff. Therefore, the signed intervention aimed at promoting an increase in incidental physical activity produced small brief effects, which were not maintained. Further research is required to find more effective 'point of choice' interventions to increase incidental physical activity participation with more sustainable impact.", "author" : [ { "dropping-particle" : "", "family" : "Marshall", "given" : "A. L.", "non-dropping-particle" : "", "parse-names" : false, "suffix" : "" }, { "dropping-particle" : "", "family" : "Bauman", "given" : "A. E.", "non-dropping-particle" : "", "parse-names" : false, "suffix" : "" }, { "dropping-particle" : "", "family" : "Patch", "given" : "C.", "non-dropping-particle" : "", "parse-names" : false, "suffix" : "" }, { "dropping-particle" : "", "family" : "Wilson", "given" : "J.", "non-dropping-particle" : "", "parse-names" : false, "suffix" : "" }, { "dropping-particle" : "", "family" : "Chen", "given" : "J.", "non-dropping-particle" : "", "parse-names" : false, "suffix" : "" } ], "container-title" : "Health Education Research", "id" : "ITEM-5", "issue" : "6", "issued" : { "date-parts" : [ [ "2002", "12", "1" ] ] }, "page" : "743-749", "publisher" : "Oxford University Press", "title" : "Can motivational signs prompt increases in incidental physical activity in an Australian health-care facility?", "type" : "article-journal", "volume" : "17" }, "uris" : [ "http://www.mendeley.com/documents/?uuid=b84d2e81-994a-49d2-a4e4-45575ba70579" ] }, { "id" : "ITEM-6", "itemData" : { "DOI" : "10.1007/s12199-008-0053-x", "ISSN" : "1342-078X", "PMID" : "19568864", "abstract" : "We have evaluated the effectiveness of motivational signs in promoting stair use instead of escalators, in terms of gender and age, at a train station with a 37-step staircase. We also examined whether a newspaper article, or booster, had any effect on augmenting the impact of the signs.", "author" : [ { "dropping-particle" : "", "family" : "Nomura", "given" : "Takuo", "non-dropping-particle" : "", "parse-names" : false, "suffix" : "" }, { "dropping-particle" : "", "family" : "Yoshimoto", "given" : "Yoshinobu", "non-dropping-particle" : "", "parse-names" : false, "suffix" : "" }, { "dropping-particle" : "", "family" : "Akezaki", "given" : "Yoshiteru", "non-dropping-particle" : "", "parse-names" : false, "suffix" : "" }, { "dropping-particle" : "", "family" : "Sato", "given" : "Atushi", "non-dropping-particle" : "", "parse-names" : false, "suffix" : "" } ], "container-title" : "Environmental Health and Preventive Medicine", "id" : "ITEM-6", "issue" : "1", "issued" : { "date-parts" : [ [ "2009", "1" ] ] }, "page" : "20-25", "title" : "Changing behavioral patterns to promote physical activity with motivational signs", "type" : "article-journal", "volume" : "14" }, "uris" : [ "http://www.mendeley.com/documents/?uuid=51e0e88d-b69d-487e-ad9a-8f890fce8441" ] }, { "id" : "ITEM-7", "itemData" : { "DOI" : "10.4278/0890-1171-22.2.114", "ISBN" : "0890-1171", "ISSN" : "0890-1171", "PMID" : "18019888", "abstract" : "PURPOSE: Studies report a significant increase in stair use when message prompts are introduced at the \"point of choice\" between stairs and escalators. Climbing one set of stairs, however, will not confer meaningful health dividends. Therefore, this study examined whether exposure to point of choice prompts also encouraged individuals to climb the next set of stairs that they encountered. DESIGN: Interrupted time-series design. SETTINGS: Two separate stair/escalator pairings within a U.K. shopping mall (the \"intervention\" site and the \"generalization\" site), separated by a 25-m long atrium. Subjects. Ascending pedestrians (intervention site n = 29,713; generalization site n = 47,553). INTERVENTIONS: Two weeks of baseline monitoring were followed by a 13-week intervention in which banners carrying health promotion messages were introduced at the intervention site only. MEASURES: At both sites observers inconspicuously recorded pedestrians' methods of ascent, along with their gender, age, ethnicity, and baggage. RESULTS: Banners increased stair climbing at the intervention site by 161%. Results also suggested a simultaneous increase of up to 143% at the generalization site, where no prompt was in place. At both sites stair use remained significantly elevated 5 weeks after the banners were removed. CONCLUSIONS: It appears that exposure to point of choice prompts can encourage pedestrians to climb stairs when they are encountered in a subsequent setting. Consequently stair-climbing interventions are likely to engage the public in more physical activity than previously realized.", "author" : [ { "dropping-particle" : "", "family" : "Webb", "given" : "O. J.", "non-dropping-particle" : "", "parse-names" : false, "suffix" : "" }, { "dropping-particle" : "", "family" : "Eves", "given" : "F. F.", "non-dropping-particle" : "", "parse-names" : false, "suffix" : "" } ], "container-title" : "American Journal of Health Promotion", "id" : "ITEM-7", "issue" : "2", "issued" : { "date-parts" : [ [ "2007", "11" ] ] }, "page" : "114-119", "title" : "Promoting Stair Climbing: Intervention Effects Generalize to a Subsequent Stair Ascent", "type" : "article-journal", "volume" : "22" }, "uris" : [ "http://www.mendeley.com/documents/?uuid=d400b0d2-0fbc-4899-a50f-15f8114480fc" ] } ], "mendeley" : { "formattedCitation" : "(Andersen, Franckowiak, Snyder, Bartlett, &amp; Fontaine, 1998; Blamey, Mutrie, &amp; Aitchison, 1995; Brownell, Stunkard, &amp; Albaum, 1980; A. Lewis &amp; Eves, 2012; Marshall, Bauman, Patch, Wilson, &amp; Chen, 2002; Nomura, Yoshimoto, Akezaki, &amp; Sato, 2009; O. J. Webb &amp; Eves, 2007)", "plainTextFormattedCitation" : "(Andersen, Franckowiak, Snyder, Bartlett, &amp; Fontaine, 1998; Blamey, Mutrie, &amp; Aitchison, 1995; Brownell, Stunkard, &amp; Albaum, 1980; A. Lewis &amp; Eves, 2012; Marshall, Bauman, Patch, Wilson, &amp; Chen, 2002; Nomura, Yoshimoto, Akezaki, &amp; Sato, 2009; O. J. Webb &amp; Eves, 2007)", "previouslyFormattedCitation" : "(Andersen, Franckowiak, Snyder, Bartlett, &amp; Fontaine, 1998; Blamey, Mutrie, &amp; Aitchison, 1995; Brownell, Stunkard, &amp; Albaum, 1980; A. Lewis &amp; Eves, 2012; Marshall, Bauman, Patch, Wilson, &amp; Chen, 2002; Nomura, Yoshimoto, Akezaki, &amp; Sato, 2009; O. J. Webb &amp; Eves, 2007)"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(Andersen, Franckowiak, Snyder, Bartlett, &amp; Fontaine, 1998; Blamey, Mutrie, &amp; Aitchison, 1995; Brownell, Stunkard, &amp; Albaum, 1980; A. Lewis &amp; Eves, 2012; Marshall, Bauman, Patch, Wilson, &amp; Chen, 2002; Nomura, Yoshimoto, Akezaki, &amp; Sato, 2009; O. J. Webb &amp; Eves, 2007)</w:t>
      </w:r>
      <w:r>
        <w:rPr>
          <w:rFonts w:ascii="Times New Roman" w:hAnsi="Times New Roman" w:cs="Times New Roman"/>
          <w:sz w:val="24"/>
          <w:szCs w:val="24"/>
        </w:rPr>
        <w:fldChar w:fldCharType="end"/>
      </w:r>
      <w:r>
        <w:rPr>
          <w:rFonts w:ascii="Times New Roman" w:hAnsi="Times New Roman" w:cs="Times New Roman"/>
          <w:sz w:val="24"/>
          <w:szCs w:val="24"/>
        </w:rPr>
        <w:t xml:space="preserve">. A recent review of the evidence reported that across 11 studies the success rate was at chance levels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"10.1016/j.amepre.2009.10.028", "ISSN" : "1873-2607", "PMID" : "20117614", "abstract" : "In 2000, the Guide to Community Preventive Services (Community Guide) completed a systematic review of the effectiveness of various approaches to increasing physical activity including informational, behavioral and social, and environmental and policy approaches. Among these approaches was the use of signs placed by elevators and escalators to encourage stair use. This approach was found to be effective based on sufficient evidence. Over the past 5 years the body of evidence of this intervention has increased substantially, warranting an updated review. This update was conducted on 16 peer-reviewed studies (including the six studies in the previous systematic review), which met specified quality criteria and included evaluation outcomes of interest. These studies evaluated two interventions: point-of-decision prompts to increase stair use and enhancements to stairs or stairwells (e.g., painting walls, laying carpet, adding artwork, playing music) when combined with point-of-decision prompts to increase stair use. This latter intervention was not included in the original systematic review. According to the Community Guide rules of evidence, there is strong evidence that point-of-decision prompts are effective in increasing the use of stairs. There is insufficient evidence, due to an inadequate number of studies, to determine whether or not enhancements to stairs or stairwells are an effective addition to point-of-decision prompts. This article describes the rationale for these systematic reviews, along with information about the review process and the resulting conclusions. Additional information about applicability, other effects, and barriers to implementation is also provided.", "author" : [ { "dropping-particle" : "", "family" : "Soler", "given" : "Robin E.", "non-dropping-particle" : "", "parse-names" : false, "suffix" : "" }, { "dropping-particle" : "", "family" : "Leeks", "given" : "Kimberly D.", "non-dropping-particle" : "", "parse-names" : false, "suffix" : "" }, { "dropping-particle" : "", "family" : "Buchanan", "given" : "Leigh R.", "non-dropping-particle" : "", "parse-names" : false, "suffix" : "" }, { "dropping-particle" : "", "family" : "Brownson", "given" : "Ross C.", "non-dropping-particle" : "", "parse-names" : false, "suffix" : "" }, { "dropping-particle" : "", "family" : "Heath", "given" : "Gregory W.", "non-dropping-particle" : "", "parse-names" : false, "suffix" : "" }, { "dropping-particle" : "", "family" : "Hopkins", "given" : "David H.", "non-dropping-particle" : "", "parse-names" : false, "suffix" : "" }, { "dropping-particle" : "", "family" : "the Task Force on Community Preventive Services", "given" : "", "non-dropping-particle" : "", "parse-names" : false, "suffix" : "" } ], "container-title" : "American Journal of Preventive Medicine", "id" : "ITEM-1", "issue" : "2 Suppl", "issued" : { "date-parts" : [ [ "2010", "2" ] ] }, "page" : "S292-S300", "title" : "Point-of-Decision Prompts to Increase Stair Use A Systematic Review Update", "type" : "article-journal", "volume" : "38" }, "uris" : [ "http://www.mendeley.com/documents/?uuid=b63b2bba-0567-4f25-b08a-802d4785afbd" ] } ], "mendeley" : { "formattedCitation" : "(Soler et al., 2010)", "plainTextFormattedCitation" : "(Soler et al., 2010)", "previouslyFormattedCitation" : "(Soler et al., 2010)"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(Soler et al., 2010)</w:t>
      </w:r>
      <w:r>
        <w:rPr>
          <w:rFonts w:ascii="Times New Roman" w:hAnsi="Times New Roman" w:cs="Times New Roman"/>
          <w:sz w:val="24"/>
          <w:szCs w:val="24"/>
        </w:rPr>
        <w:fldChar w:fldCharType="end"/>
      </w:r>
      <w:r>
        <w:rPr>
          <w:rFonts w:ascii="Times New Roman" w:hAnsi="Times New Roman" w:cs="Times New Roman"/>
          <w:sz w:val="24"/>
          <w:szCs w:val="24"/>
        </w:rPr>
        <w:t xml:space="preserve">, but a second review reported an overall positive effect ranging between 0.3-10.6%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"10.1177/1403494810375865", "ISBN" : "1651-1905 (Electronic)\\r1403-4948 (Linking)", "ISSN" : "1651-1905", "PMID" : "20601438", "abstract" : "AIMS: Stair climbing is an activity that can easily be integrated into everyday life and has positive health effects. Point-of-choice prompts are informational or motivational signs near stairs and elevators/escalators aimed at increased stair climbing. The aim of this review was to assess the effectiveness of point-of-choice prompts for the promotion of stair climbing. METHODS: In a systematic search of the literature, studies that assessed the effectiveness of point-of-choice prompts to increase the rate of stair climbing in the general population were identified. No restrictions were made regarding the setting, the duration of the intervention, or the kind of message. RESULTS: A total of 25 studies were identified. Point-of-choice prompts were predominantly posters or stair-riser banners in public traffic stations, shopping malls or office buildings. The 25 studies reported 42 results. Of 10 results for elevator settings, only three reported a significant increase in stair climbing, whereas 28 of 32 results for escalator settings reported a significant increase in stair climbing. CONCLUSIONS: Overall, point-of-choice prompts are able to increase the rate of stair climbing, especially in escalator settings. In elevator settings, point-of-choice prompts seem less effective. The long-term efficacy and the most efficient message format have yet to be determined in methodologically rigorous studies.", "author" : [ { "dropping-particle" : "", "family" : "Nocon", "given" : "Marc", "non-dropping-particle" : "", "parse-names" : false, "suffix" : "" }, { "dropping-particle" : "", "family" : "M\u00fcller-Riemenschneider", "given" : "Falk", "non-dropping-particle" : "", "parse-names" : false, "suffix" : "" }, { "dropping-particle" : "", "family" : "Nitzschke", "given" : "Katleen", "non-dropping-particle" : "", "parse-names" : false, "suffix" : "" }, { "dropping-particle" : "", "family" : "Willich", "given" : "Stefan N", "non-dropping-particle" : "", "parse-names" : false, "suffix" : "" } ], "container-title" : "Scandinavian journal of public health", "id" : "ITEM-1", "issue" : "6", "issued" : { "date-parts" : [ [ "2010", "8" ] ] }, "page" : "633-8", "title" : "Review Article: Increasing physical activity with point-of-choice prompts--a systematic review.", "type" : "article-journal", "volume" : "38" }, "uris" : [ "http://www.mendeley.com/documents/?uuid=13559c0f-4d8e-4b2d-99e5-3d0b0c317eed" ] } ], "mendeley" : { "formattedCitation" : "(Nocon, M\u00fcller-Riemenschneider, Nitzschke, &amp; Willich, 2010)", "plainTextFormattedCitation" : "(Nocon, M\u00fcller-Riemenschneider, Nitzschke, &amp; Willich, 2010)", "previouslyFormattedCitation" : "(Nocon, M\u00fcller-Riemenschneider, Nitzschke, &amp; Willich, 2010)"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(Nocon, Müller-Riemenschneider, Nitzschke, &amp; Willich, 2010)</w:t>
      </w:r>
      <w:r>
        <w:rPr>
          <w:rFonts w:ascii="Times New Roman" w:hAnsi="Times New Roman" w:cs="Times New Roman"/>
          <w:sz w:val="24"/>
          <w:szCs w:val="24"/>
        </w:rPr>
        <w:fldChar w:fldCharType="end"/>
      </w:r>
      <w:r>
        <w:rPr>
          <w:rFonts w:ascii="Times New Roman" w:hAnsi="Times New Roman" w:cs="Times New Roman"/>
          <w:sz w:val="24"/>
          <w:szCs w:val="24"/>
        </w:rPr>
        <w:t xml:space="preserve">. A speculation in the difference between these two reviews is that there is variability in the length of the intervention. The length of the intervention is often between 4-12 weeks, but with some notable exceptions [24 weeks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"10.1006/pmed.2001.0908", "ISBN" : "0091-7435", "ISSN" : "00917435", "PMID" : "11676583", "abstract" : "BACKGROUND: Despite strong evidence that prompts at the point of choice between escalators and stairs encourage stair use, the long-term effects of stair prompts have not yet been investigated. Presented here are the results of a 6-month observational study of prompted stair climbing. METHODS: Escalator and adjacent stair use were monitored in a shopping mall in the Midlands region of the United Kingdom. Participants were coded for gender, age, and ethnicity. A 2-week baseline period was followed by a 12-week intervention using motivating messages on the stair risers. Follow-up data were also collected for 2 weeks immediately after the removal of the banners and 6 weeks later. RESULTS: A total of 45,361 escalator/stair-choice observations were made. Stair use increased significantly during the intervention period and, when the banners were removed, remained higher than at baseline. There were also significant interactions with time across the different population groups. CONCLUSIONS: The full public health benefits of increasing physical activity levels can only be realized if the activity is sustained. These results demonstrate that stair-riser banners can elicit a sustained increase in stair use and, even when the banners were withdrawn, overall stair use remained higher than at baseline.", "author" : [ { "dropping-particle" : "", "family" : "Kerr", "given" : "J.", "non-dropping-particle" : "", "parse-names" : false, "suffix" : "" }, { "dropping-particle" : "", "family" : "Eves", "given" : "Frank", "non-dropping-particle" : "", "parse-names" : false, "suffix" : "" }, { "dropping-particle" : "", "family" : "Carroll", "given" : "Douglas", "non-dropping-particle" : "", "parse-names" : false, "suffix" : "" } ], "container-title" : "Preventive Medicine", "id" : "ITEM-1", "issue" : "5", "issued" : { "date-parts" : [ [ "2001", "11" ] ] }, "page" : "422-427", "title" : "Six-Month Observational Study of Prompted Stair Climbing", "type" : "article-journal", "volume" : "33" }, "uris" : [ "http://www.mendeley.com/documents/?uuid=3dc4516d-b82b-4afa-b1b0-a753061b236a" ] } ], "mendeley" : { "formattedCitation" : "(Kerr, Eves, &amp; Carroll, 2001a)", "plainTextFormattedCitation" : "(Kerr, Eves, &amp; Carroll, 2001a)", "previouslyFormattedCitation" : "(Kerr, Eves, &amp; Carroll, 2001a)"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(Kerr, Eves, &amp; Carroll, 2001a)</w:t>
      </w:r>
      <w:r>
        <w:rPr>
          <w:rFonts w:ascii="Times New Roman" w:hAnsi="Times New Roman" w:cs="Times New Roman"/>
          <w:sz w:val="24"/>
          <w:szCs w:val="24"/>
        </w:rPr>
        <w:fldChar w:fldCharType="end"/>
      </w:r>
      <w:r>
        <w:rPr>
          <w:rFonts w:ascii="Times New Roman" w:hAnsi="Times New Roman" w:cs="Times New Roman"/>
          <w:sz w:val="24"/>
          <w:szCs w:val="24"/>
        </w:rPr>
        <w:t xml:space="preserve">, 9 months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"10.1016/j.amepre.2011.10.005", "abstract" : "Background: Although studies have demonstrated that stair prompts are associated with increased", "author" : [ { "dropping-particle" : "", "family" : "Lee", "given" : "Karen K", "non-dropping-particle" : "", "parse-names" : false, "suffix" : "" }, { "dropping-particle" : "", "family" : "Perry", "given" : "Ashley S", "non-dropping-particle" : "", "parse-names" : false, "suffix" : "" }, { "dropping-particle" : "", "family" : "Wolf", "given" : "Sarah A", "non-dropping-particle" : "", "parse-names" : false, "suffix" : "" }, { "dropping-particle" : "", "family" : "Agarwal", "given" : "Reena", "non-dropping-particle" : "", "parse-names" : false, "suffix" : "" }, { "dropping-particle" : "", "family" : "Rosenblum", "given" : "Randi", "non-dropping-particle" : "", "parse-names" : false, "suffix" : "" }, { "dropping-particle" : "", "family" : "Fischer", "given" : "Sean", "non-dropping-particle" : "", "parse-names" : false, "suffix" : "" }, { "dropping-particle" : "", "family" : "Grimshaw", "given" : "Victoria E", "non-dropping-particle" : "", "parse-names" : false, "suffix" : "" }, { "dropping-particle" : "", "family" : "Wener", "given" : "Richard E", "non-dropping-particle" : "", "parse-names" : false, "suffix" : "" }, { "dropping-particle" : "", "family" : "Silver", "given" : "Lynn D", "non-dropping-particle" : "", "parse-names" : false, "suffix" : "" } ], "container-title" : "American Journal of Preventive Medicine", "id" : "ITEM-1", "issue" : "2", "issued" : { "date-parts" : [ [ "2012" ] ] }, "page" : "136-141", "title" : "Promoting Routine Stair Use Evaluating the Impact of a Stair Prompt Across Buildings", "type" : "article-journal", "volume" : "42" }, "uris" : [ "http://www.mendeley.com/documents/?uuid=16df9e1c-e9b3-3c71-a951-9b38bc14167f" ] } ], "mendeley" : { "formattedCitation" : "(Lee et al., 2012)", "plainTextFormattedCitation" : "(Lee et al., 2012)", "previouslyFormattedCitation" : "(Lee et al., 2012)"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(Lee et al., 2012)</w:t>
      </w:r>
      <w:r>
        <w:rPr>
          <w:rFonts w:ascii="Times New Roman" w:hAnsi="Times New Roman" w:cs="Times New Roman"/>
          <w:sz w:val="24"/>
          <w:szCs w:val="24"/>
        </w:rPr>
        <w:fldChar w:fldCharType="end"/>
      </w:r>
      <w:r>
        <w:rPr>
          <w:rFonts w:ascii="Times New Roman" w:hAnsi="Times New Roman" w:cs="Times New Roman"/>
          <w:sz w:val="24"/>
          <w:szCs w:val="24"/>
        </w:rPr>
        <w:t xml:space="preserve">]. But further work has shown that there is no association between effectiveness of the Type 2 nudge </w:t>
      </w:r>
      <w:r>
        <w:rPr>
          <w:rFonts w:ascii="Times New Roman" w:hAnsi="Times New Roman" w:cs="Times New Roman"/>
          <w:sz w:val="24"/>
          <w:szCs w:val="24"/>
        </w:rPr>
        <w:lastRenderedPageBreak/>
        <w:t xml:space="preserve">and length of intervention. Another potential explanation for the mixed findings is that the locations in which the nudge was implemented varied, and so it is hard to compare like for like; for instance, comparing returning populations taking the stairs at train station versus those at a shopping mall. To further uncover the precise reasons for why Type 2 nudges vary in their effectiveness in this domain, the types of informational prompts have been evaluated. A specific message such as ‘7 minutes of stair climbing protects your heart’ was shown to be more effective than a general message such as ‘Stay healthy, use the stairs’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"10.1093/eurpub/ckp059", "ISSN" : "1464-360X", "PMID" : "19435797", "abstract" : "This study evaluated the ability of three different messages to encourage stair climbing on the Barcelona underground. Two weeks of baseline were followed by three banner intervention periods with three different messages, each for a 2 week period. Follow-up data was gathered two weeks after removing the messages. Stair climbing increased overall [odds ratio (OR) = 1.45; 95% confidence intervals (CIs) = 1.25-1.68], with no statistical differences between the messages. During follow-up, stair climbing remained elevated (OR = 1.22; 95% CIs = 1.01-1.48). These preliminary data suggest stair climbing interventions, effective in the UK, may prove successful in Catalonia and Spain. Baseline differences, however, outline the magnitude of the task.", "author" : [ { "dropping-particle" : "", "family" : "Puig-Ribera", "given" : "Anna", "non-dropping-particle" : "", "parse-names" : false, "suffix" : "" }, { "dropping-particle" : "", "family" : "Eves", "given" : "Frank F.", "non-dropping-particle" : "", "parse-names" : false, "suffix" : "" } ], "container-title" : "European journal of public health", "id" : "ITEM-1", "issue" : "1", "issued" : { "date-parts" : [ [ "2010", "2" ] ] }, "page" : "100-2", "title" : "Promoting stair climbing in Barcelona: similarities and differences with interventions in English-speaking populations.", "type" : "article-journal", "volume" : "20" }, "uris" : [ "http://www.mendeley.com/documents/?uuid=373d03bf-8614-4512-b827-25dcb581bc39" ] } ], "mendeley" : { "formattedCitation" : "(Puig-Ribera &amp; Eves, 2010)", "plainTextFormattedCitation" : "(Puig-Ribera &amp; Eves, 2010)", "previouslyFormattedCitation" : "(Puig-Ribera &amp; Eves, 2010)"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(Puig-Ribera &amp; Eves, 2010)</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It is also worth noting that studies examining Type 1 and 2 nudges typically involve point-of-decision prompts placed at stairwell with only one to two flights of stairs. In order to experience any significant impact on cardiorespiratory fitness women need to climb at least 6 flights of stairs daily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"10.1006/pmed.2000.0634", "ISSN" : "00917435", "PMID" : "10731455", "abstract" : "BACKGROUND: The health and fitness benefits associated with short, intermittent bouts of exercise accumulated throughout the day have been seldom investigated. Stair climbing provides an ideal model for this purpose. METHODS: Twenty-two healthy female volunteers (18-22 years) were randomly assigned to control (N = 10) or stair-climbing (N = 12) groups. Stair climbers then underwent a 7-week stair-climbing program, progressing from one ascent per day in week 1 to six ascents per day in weeks 6 and 7, using a public access staircase (199 steps). Controls were instructed to maintain their normal lifestyle. Standardized stair-climbing tests were administered to both groups immediately before and after the program. Each paced ascent lasted 135 s, during which oxygen uptake (VO(2)) and heart rate (HR) were monitored continuously. Blood lactate concentration was also measured immediately following each test ascent. Fasting blood samples from before and after the program were analyzed for serum lipids. Data were analyzed using a two-way ANOVA with repeated measures. RESULTS: Relative to the insignificant changes in the control group, the stair-climbing group displayed a rise in HDL cholesterol concentration (P&lt;0.05) and a reduced total:HDL ratio (P&lt;0.01) over the course of the program. VO(2) and HR during the stair-climbing test were also reduced, as was blood lactate (all P&lt;0.01). CONCLUSION: A short-term stair-climbing program can confer considerable cardiovascular health benefits on previously sedentary young women, lending credence to the potential public health benefits of this form of exercise.", "author" : [ { "dropping-particle" : "", "family" : "Boreham", "given" : "Colin A.G.", "non-dropping-particle" : "", "parse-names" : false, "suffix" : "" }, { "dropping-particle" : "", "family" : "Wallace", "given" : "William F.M.", "non-dropping-particle" : "", "parse-names" : false, "suffix" : "" }, { "dropping-particle" : "", "family" : "Nevill", "given" : "Alan", "non-dropping-particle" : "", "parse-names" : false, "suffix" : "" } ], "container-title" : "Preventive Medicine", "id" : "ITEM-1", "issue" : "4", "issued" : { "date-parts" : [ [ "2000", "4" ] ] }, "page" : "277-281", "title" : "Training Effects of Accumulated Daily Stair-Climbing Exercise in Previously Sedentary Young Women", "type" : "article-journal", "volume" : "30" }, "uris" : [ "http://www.mendeley.com/documents/?uuid=cbd30db2-4c50-4219-8146-2534e7d7fd54" ] } ], "mendeley" : { "formattedCitation" : "(Boreham, Wallace, &amp; Nevill, 2000)", "plainTextFormattedCitation" : "(Boreham, Wallace, &amp; Nevill, 2000)", "previouslyFormattedCitation" : "(Boreham, Wallace, &amp; Nevill, 2000)"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(Boreham, Wallace, &amp; Nevill, 2000)</w:t>
      </w:r>
      <w:r>
        <w:rPr>
          <w:rFonts w:ascii="Times New Roman" w:hAnsi="Times New Roman" w:cs="Times New Roman"/>
          <w:sz w:val="24"/>
          <w:szCs w:val="24"/>
        </w:rPr>
        <w:fldChar w:fldCharType="end"/>
      </w:r>
      <w:r>
        <w:rPr>
          <w:rFonts w:ascii="Times New Roman" w:hAnsi="Times New Roman" w:cs="Times New Roman"/>
          <w:sz w:val="24"/>
          <w:szCs w:val="24"/>
        </w:rPr>
        <w:t xml:space="preserve">, and men need to climb 25 flights to result in any significant improvement in aerobic power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"ISSN" : "0025-7990", "PMID" : "1152630", "abstract" : "Thirty healthy men, aged 17.5-64.0, were assigned to matched treatment and control groups an evaluated on selected anthropometric and cardio-respiratory measures before and after a twelve week at work stairclimbing intervention program. The only significant change in the treated group was a decrease of rear calf skinfold thickness. There were no significant changes within the control group, nor were differences between groups significant when taking the entire treatment group into account. When the treatment group was dichotomized according to the amount of weekly stairclimbing, the subgroup which climbed stairs the most showed significant aerobic improvements. The Baseline VO2 max was not significantly related to either pre-program stairclimbing habits or aerobic power improvements. A significant relationship was observed between baseline % body fat and pre-program stairclimbing. The correlation between pre-program and in-program stairclimbing was statistically insignificant. The experiment showed that 5500 kgm/day stairclimbing (approximately 25 flights for a 70 kg man) could result in significant improvement of maximal aerobic power.", "author" : [ { "dropping-particle" : "", "family" : "Fardy", "given" : "P S", "non-dropping-particle" : "", "parse-names" : false, "suffix" : "" }, { "dropping-particle" : "", "family" : "Ilmarinen", "given" : "J", "non-dropping-particle" : "", "parse-names" : false, "suffix" : "" } ], "container-title" : "Medicine and science in sports", "id" : "ITEM-1", "issue" : "2", "issued" : { "date-parts" : [ [ "1975", "1" ] ] }, "page" : "91-3", "title" : "Evaluating the effects and feasibility of an at work stairclimbing intervention program for men.", "type" : "article-journal", "volume" : "7" }, "uris" : [ "http://www.mendeley.com/documents/?uuid=2f964bcf-d185-4291-9244-fd97d7c1bb45" ] } ], "mendeley" : { "formattedCitation" : "(Fardy &amp; Ilmarinen, 1975)", "plainTextFormattedCitation" : "(Fardy &amp; Ilmarinen, 1975)", "previouslyFormattedCitation" : "(Fardy &amp; Ilmarinen, 1975)"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(Fardy &amp; Ilmarinen, 1975)</w:t>
      </w:r>
      <w:r>
        <w:rPr>
          <w:rFonts w:ascii="Times New Roman" w:hAnsi="Times New Roman" w:cs="Times New Roman"/>
          <w:sz w:val="24"/>
          <w:szCs w:val="24"/>
        </w:rPr>
        <w:fldChar w:fldCharType="end"/>
      </w:r>
      <w:r>
        <w:rPr>
          <w:rFonts w:ascii="Times New Roman" w:hAnsi="Times New Roman" w:cs="Times New Roman"/>
          <w:sz w:val="24"/>
          <w:szCs w:val="24"/>
        </w:rPr>
        <w:t>. Even if some of the studies have shown positive effects of nudges, they would fall short of any meaningful impact on actual physical fitness levels.</w:t>
      </w:r>
    </w:p>
    <w:p>
      <w:pPr>
        <w:spacing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Alcohol Overconsumption</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The evidence base for nudges designed to reduce alcohol overconsumption only accounts for 7.3% of all behavioral intervention studies in the health domain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"10.1186/1471-2458-13-1218", "ISSN" : "1471-2458", "PMID" : "24359583", "abstract" : "Background: The idea that behaviour can be influenced at population level by altering the environments within which people make choices (choice architecture) has gained traction in policy circles. However, empirical evidence to support this idea is limited, especially its application to changing health behaviour. We propose an evidence-based definition and typology of choice architecture interventions that have been implemented within small-scale micro-environments and evaluated for their effects on four key sets of health behaviours: diet, physical activity, alcohol and tobacco use. Discussion: We argue that the limitations of the evidence base are due not simply to an absence of evidence, but also to a prior lack of definitional and conceptual clarity concerning applications of choice architecture to public health intervention. This has hampered the potential for systematic assessment of existing evidence. By seeking to address this issue, we demonstrate how our definition and typology have enabled systematic identification and preliminary mapping of a large body of available evidence for the effects of choice architecture interventions. We discuss key implications for further primary research, evidence synthesis and conceptual development to support the design and evaluation of such interventions. Summary: This conceptual groundwork provides a foundation for future research to investigate the effectiveness of choice architecture interventions within micro-environments for changing health behaviour. The approach we used may also serve as a template for mapping other under-explored fields of enquiry.", "author" : [ { "dropping-particle" : "", "family" : "Hollands", "given" : "Gareth J", "non-dropping-particle" : "", "parse-names" : false, "suffix" : "" }, { "dropping-particle" : "", "family" : "Shemilt", "given" : "Ian", "non-dropping-particle" : "", "parse-names" : false, "suffix" : "" }, { "dropping-particle" : "", "family" : "Marteau", "given" : "Theresa M", "non-dropping-particle" : "", "parse-names" : false, "suffix" : "" }, { "dropping-particle" : "", "family" : "Jebb", "given" : "Susan A", "non-dropping-particle" : "", "parse-names" : false, "suffix" : "" }, { "dropping-particle" : "", "family" : "Kelly", "given" : "Michael P", "non-dropping-particle" : "", "parse-names" : false, "suffix" : "" }, { "dropping-particle" : "", "family" : "Nakamura", "given" : "Ryota", "non-dropping-particle" : "", "parse-names" : false, "suffix" : "" }, { "dropping-particle" : "", "family" : "Suhrcke", "given" : "Marc", "non-dropping-particle" : "", "parse-names" : false, "suffix" : "" }, { "dropping-particle" : "", "family" : "Ogilvie", "given" : "David", "non-dropping-particle" : "", "parse-names" : false, "suffix" : "" } ], "container-title" : "BMC Public Health", "id" : "ITEM-1", "issue" : "1", "issued" : { "date-parts" : [ [ "2013" ] ] }, "language" : "English", "note" : "From Duplicate 1 (Altering micro-environments to change population health behaviour: towards an evidence base for choice architecture interventions - Hollands, G J; Shemilt, I; Marteau, T M; Jebb, S A; Kelly, M P; Nakamura, R; Suhrcke, M; Ogilvie, D)\nAnd Duplicate 2 (Altering micro-environments to change population health behaviour: towards an evidence base for choice architecture interventions - Hollands, G J; Shemilt, I; Marteau, T M; Jebb, S A; Kelly, M P; Nakamura, R; Suhrcke, M; Ogilvie, D)\n\nISI Document Delivery No.: 284KJ\nTimes Cited: 0\nCited Reference Count: 29\nHollands, Gareth J. Shemilt, Ian Marteau, Theresa M. Jebb, Susan A. Kelly, Michael P. Nakamura, Ryota Suhrcke, Marc Ogilvie, David\nUK Department of Health Policy Research Programme [107/0001]\nThe Behaviour and Health Research Unit (BHRU) is funded by the UK Department of Health Policy Research Programme (107/0001-Policy Research Unit in Behaviour and Health). The Department of Health approved the conduct of the work reported in this article but had no role in the collection, management, analysis, and interpretation of the data; and preparation, review, or approval of the manuscript. The authors would like to acknowledge their collaboration with colleagues at the Evidence for Policy and Practice Information and Co-ordinating Centre (EPPI-Centre), Social Sciences Research Unit, Institute of Education, University of London, in the development and application of text mining methods to facilitate the work reported in this article. In particular, we acknowledge the contributions of the following EPPI-Centre staff: James Thomas, Jeff Brunton, Sergio Graziosi, Alison O'Mara-Eves and Claire Stansfield. We also acknowledge the support provided by colleagues in MRC Human Nutrition Research, the UKCRC Centre for Diet and Activity Research (CEDAR) and the wider BHRU team, including members of the BHRU Scientific Advisory Board, plus the contributions of attendees at an expert workshop held in Cambridge in 2011.\n0\nBiomed central ltd\nLondon\nPublic, Environmental &amp;amp; Occupational Health", "page" : "1218", "publisher-place" : "[Hollands, Gareth J. Shemilt, Ian Marteau, Theresa M. Jebb, Susan A. Kelly, Michael P. Nakamura, Ryota Suhrcke, Marc Ogilvie, David] Univ Cambridge, Inst Publ Hlth, Behav &amp; Hlth Res Unit, Cambridge CB2 0SR, England. [Jebb, Susan A.] Univ Oxford, Dept Prim", "title" : "Altering micro-environments to change population health behaviour: towards an evidence base for choice architecture interventions", "type" : "article-journal", "volume" : "13" }, "uris" : [ "http://www.mendeley.com/documents/?uuid=c655e902-f552-4cd4-a370-a6bb0ed50dbf" ] } ], "mendeley" : { "formattedCitation" : "(Hollands et al., 2013)", "plainTextFormattedCitation" : "(Hollands et al., 2013)", "previouslyFormattedCitation" : "(Hollands et al., 2013)"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(Hollands et al., 2013)</w:t>
      </w:r>
      <w:r>
        <w:rPr>
          <w:rFonts w:ascii="Times New Roman" w:hAnsi="Times New Roman" w:cs="Times New Roman"/>
          <w:sz w:val="24"/>
          <w:szCs w:val="24"/>
        </w:rPr>
        <w:fldChar w:fldCharType="end"/>
      </w:r>
      <w:r>
        <w:rPr>
          <w:rFonts w:ascii="Times New Roman" w:hAnsi="Times New Roman" w:cs="Times New Roman"/>
          <w:sz w:val="24"/>
          <w:szCs w:val="24"/>
        </w:rPr>
        <w:t xml:space="preserve">, despite the severity of the problem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"Magnusson", "given" : "R. S.", "non-dropping-particle" : "", "parse-names" : false, "suffix" : "" } ], "container-title" : "Public Health", "id" : "ITEM-1", "issue" : "3", "issued" : { "date-parts" : [ [ "2009" ] ] }, "page" : "265-274", "title" : "Rethinking global health challenges: towards a \u2018global compact\u2019for reducing the burden of chronic disease", "type" : "article-journal", "volume" : "123" }, "uris" : [ "http://www.mendeley.com/documents/?uuid=75c7f112-0399-4500-82ab-4404bc4e1644" ] } ], "mendeley" : { "formattedCitation" : "(Magnusson, 2009)", "plainTextFormattedCitation" : "(Magnusson, 2009)", "previouslyFormattedCitation" : "(Magnusson, 2009)"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(Magnusson, 2009)</w:t>
      </w:r>
      <w:r>
        <w:rPr>
          <w:rFonts w:ascii="Times New Roman" w:hAnsi="Times New Roman" w:cs="Times New Roman"/>
          <w:sz w:val="24"/>
          <w:szCs w:val="24"/>
        </w:rPr>
        <w:fldChar w:fldCharType="end"/>
      </w:r>
      <w:r>
        <w:rPr>
          <w:rFonts w:ascii="Times New Roman" w:hAnsi="Times New Roman" w:cs="Times New Roman"/>
          <w:sz w:val="24"/>
          <w:szCs w:val="24"/>
        </w:rPr>
        <w:t xml:space="preserve">. Akin to the Type 1 nudges used to reduce food consumption via altering the size of food containers, a similar rationale has been adopted in the context of alcohol consumption. This typically involves offering alcohol in tall, narrow glasses as opposed to short, wide glasses in drinking establishments (bars and public houses)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"10.1136/bmj.331.7531.1512", "ISSN" : "0959-8138", "PMID" : "16373735", "author" : [ { "dropping-particle" : "", "family" : "Wansink", "given" : "Brian", "non-dropping-particle" : "", "parse-names" : false, "suffix" : "" }, { "dropping-particle" : "", "family" : "Ittersum", "given" : "Koert", "non-dropping-particle" : "van", "parse-names" : false, "suffix" : "" } ], "container-title" : "BMJ", "id" : "ITEM-1", "issued" : { "date-parts" : [ [ "2005", "12", "24" ] ] }, "title" : "Shape of glass and amount of alcohol poured: comparative study of effect of practice and concentration", "type" : "article-journal", "volume" : "331" }, "uris" : [ "http://www.mendeley.com/documents/?uuid=4c970228-eee7-48e7-a932-51a2d5c50e12" ] } ], "mendeley" : { "formattedCitation" : "(Wansink &amp; van Ittersum, 2005)", "plainTextFormattedCitation" : "(Wansink &amp; van Ittersum, 2005)", "previouslyFormattedCitation" : "(Wansink &amp; van Ittersum, 2005)"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(Wansink &amp; van Ittersum, 2005)</w:t>
      </w:r>
      <w:r>
        <w:rPr>
          <w:rFonts w:ascii="Times New Roman" w:hAnsi="Times New Roman" w:cs="Times New Roman"/>
          <w:sz w:val="24"/>
          <w:szCs w:val="24"/>
        </w:rPr>
        <w:fldChar w:fldCharType="end"/>
      </w:r>
      <w:r>
        <w:rPr>
          <w:rFonts w:ascii="Times New Roman" w:hAnsi="Times New Roman" w:cs="Times New Roman"/>
          <w:sz w:val="24"/>
          <w:szCs w:val="24"/>
        </w:rPr>
        <w:t xml:space="preserve">. This is motivated by work showing that the rate of alcohol consumption is related to the shape of glassware, which is slower in a straight glass compared to a curved glass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"10.1371/journal.pone.0043007", "ISSN" : "1932-6203", "author" : [ { "dropping-particle" : "", "family" : "Attwood", "given" : "Angela S.", "non-dropping-particle" : "", "parse-names" : false, "suffix" : "" }, { "dropping-particle" : "", "family" : "Scott-Samuel", "given" : "Nicholas E.", "non-dropping-particle" : "", "parse-names" : false, "suffix" : "" }, { "dropping-particle" : "", "family" : "Stothart", "given" : "George", "non-dropping-particle" : "", "parse-names" : false, "suffix" : "" }, { "dropping-particle" : "", "family" : "Munaf\u00f2", "given" : "Marcus R.", "non-dropping-particle" : "", "parse-names" : false, "suffix" : "" }, { "dropping-particle" : "", "family" : "Campanella", "given" : "S", "non-dropping-particle" : "", "parse-names" : false, "suffix" : "" } ], "container-title" : "PLoS ONE", "editor" : [ { "dropping-particle" : "", "family" : "Laks", "given" : "Jerson", "non-dropping-particle" : "", "parse-names" : false, "suffix" : "" } ], "id" : "ITEM-1", "issue" : "8", "issued" : { "date-parts" : [ [ "2012", "8", "17" ] ] }, "page" : "e43007", "publisher" : "Public Library of Science", "title" : "Glass Shape Influences Consumption Rate for Alcoholic Beverages", "type" : "article-journal", "volume" : "7" }, "uris" : [ "http://www.mendeley.com/documents/?uuid=94312fac-4250-30d5-a3b4-f22969862f12" ] } ], "mendeley" : { "formattedCitation" : "(Attwood, Scott-Samuel, Stothart, Munaf\u00f2, &amp; Campanella, 2012)", "plainTextFormattedCitation" : "(Attwood, Scott-Samuel, Stothart, Munaf\u00f2, &amp; Campanella, 2012)", "previouslyFormattedCitation" : "(Attwood, Scott-Samuel, Stothart, Munaf\u00f2, &amp; Campanella, 2012)"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(Attwood, Scott-Samuel, Stothart, Munafò, &amp; Campanella, 2012)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A recent systematic review of studies examining the use of this nudge reported that there was not enough evidence to estimate the effect on reducing consumption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"10.1002/14651858.CD011045.pub2", "author" : [ { "dropping-particle" : "", "family" : "Hollands", "given" : "Gareth J", "non-dropping-particle" : "", "parse-names" : false, "suffix" : "" }, { "dropping-particle" : "", "family" : "Shemilt", "given" : "Ian", "non-dropping-particle" : "", "parse-names" : false, "suffix" : "" }, { "dropping-particle" : "", "family" : "Marteau", "given" : "Theresa M", "non-dropping-particle" : "", "parse-names" : false, "suffix" : "" }, { "dropping-particle" : "", "family" : "Jebb", "given" : "Susan A", "non-dropping-particle" : "", "parse-names" : false, "suffix" : "" }, { "dropping-particle" : "", "family" : "Lewis", "given" : "Hannah B", "non-dropping-particle" : "", "parse-names" : false, "suffix" : "" }, { "dropping-particle" : "", "family" : "Wei", "given" : "Yinghui", "non-dropping-particle" : "", "parse-names" : false, "suffix" : "" }, { "dropping-particle" : "", "family" : "Higgins", "given" : "Julian", "non-dropping-particle" : "", "parse-names" : false, "suffix" : "" }, { "dropping-particle" : "", "family" : "Ogilvie", "given" : "David", "non-dropping-particle" : "", "parse-names" : false, "suffix" : "" } ], "container-title" : "Cochrane Database of Systematic Reviews", "editor" : [ { "dropping-particle" : "", "family" : "Hollands", "given" : "Gareth J", "non-dropping-particle" : "", "parse-names" : false, "suffix" : "" } ], "id" : "ITEM-1", "issued" : { "date-parts" : [ [ "2015", "9", "14" ] ] }, "publisher" : "John Wiley &amp; Sons, Ltd", "publisher-place" : "UK", "title" : "Portion, package or tableware size for changing selection and consumption of food, alcohol and tobacco", "type" : "chapter" }, "uris" : [ "http://www.mendeley.com/documents/?uuid=93ff53c8-eb17-42be-a6fc-86713199f4ef" ] } ], "mendeley" : { "formattedCitation" : "(Hollands et al., 2015)", "plainTextFormattedCitation" : "(Hollands et al., 2015)", "previouslyFormattedCitation" : "(Hollands et al., 2015)"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(Hollands et al., 2015)</w:t>
      </w:r>
      <w:r>
        <w:rPr>
          <w:rFonts w:ascii="Times New Roman" w:hAnsi="Times New Roman" w:cs="Times New Roman"/>
          <w:sz w:val="24"/>
          <w:szCs w:val="24"/>
        </w:rPr>
        <w:fldChar w:fldCharType="end"/>
      </w:r>
      <w:r>
        <w:rPr>
          <w:rFonts w:ascii="Times New Roman" w:hAnsi="Times New Roman" w:cs="Times New Roman"/>
          <w:sz w:val="24"/>
          <w:szCs w:val="24"/>
        </w:rPr>
        <w:t>.</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In line with other Type 2 nudges discussed so far, a preferred method is to provide explicit information as a means of generating behavioral change. For example, providing a more accurate idea of what the safe quantities to consume are through the use of social norm cues. As social creatures, people are sensitive to majority influences and this can be a strong pervasive influence on behavior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"10.1016/S0306-4603(00)00099-X", "ISBN" : "0306-4603", "ISSN" : "03064603", "PMID" : "11316376", "abstract" : "Past research shows consistent associations between individuals' drinking patterns and the drinking patterns of their social network members. This association has usually been attributed to the influence of social networks on individual behavior. Recent studies concerning adolescent drinking behavior suggest that such associations may be due, in part, to selection effects in which individuals form social ties with those who have drinking habits similar to their own. The present study used longitudinal data and structural equation modeling to compare the selection and influence effects among a large representative sample of adults. Results suggested that both selection and influence affect the association between individual and network drinking patterns among adults, but that social selection effects are substantially stronger than social influence effects. A cross-lagged structural equation model with a normed fit index of .975, showed that the path indicating peer influence had a coefficient of .069 (P&lt;.01), whereas the path indicating network selection had a coefficient of .193 (P&lt;.01). Comparisons across age, race, sex, and marital status groups revealed similar results, with stronger selection than influence effects for all groups. Copyright \u00a9 2001 Elsevier Science Ltd.", "author" : [ { "dropping-particle" : "", "family" : "Bullers", "given" : "Susan", "non-dropping-particle" : "", "parse-names" : false, "suffix" : "" }, { "dropping-particle" : "", "family" : "Cooper", "given" : "M.Lynne", "non-dropping-particle" : "", "parse-names" : false, "suffix" : "" }, { "dropping-particle" : "", "family" : "Russell", "given" : "Marcia", "non-dropping-particle" : "", "parse-names" : false, "suffix" : "" } ], "container-title" : "Addictive Behaviors", "id" : "ITEM-1", "issue" : "2", "issued" : { "date-parts" : [ [ "2001", "3" ] ] }, "page" : "181-199", "title" : "Social network drinking and adult alcohol involvement", "type" : "article-journal", "volume" : "26" }, "uris" : [ "http://www.mendeley.com/documents/?uuid=eef66923-4124-44ed-9ec7-c8241b1178e3" ] }, { "id" : "ITEM-2", "itemData" : { "DOI" : "10.1111/j.1532-7795.2006.00127.x", "ISBN" : "1532-7795", "ISSN" : "1050-8392", "abstract" : "To examine the peer context of adolescent substance use, social network analysis was used to measure three domains of attributes of peer networks: social embeddedness, social status, and social proximity to substance users. The sample was a panel of 5,104 sixth, seventh, and eighth graders in three public school systems surveyed every 6 months for five assessments. Hierarchical generalized linear models showed that adolescents less embedded in the network, with greater status, and with closer social proximity to peer substance users were more likely to use substances. Also, adolescents in less dense networks and networks with higher smoking prevalence were more likely to smoke and use marijuana. Results establish the utility of social network analysis for measuring peer context and indicate that conventionality of relationships\u2014having friends in the network, being liked but not too well liked, and having fewer friends who use substances\u2014is most beneficial. [ABSTRACT FROM AUTHOR]", "author" : [ { "dropping-particle" : "", "family" : "Ennett", "given" : "Susan T.", "non-dropping-particle" : "", "parse-names" : false, "suffix" : "" }, { "dropping-particle" : "", "family" : "Bauman", "given" : "Karl E.", "non-dropping-particle" : "", "parse-names" : false, "suffix" : "" }, { "dropping-particle" : "", "family" : "Hussong", "given" : "Andrea", "non-dropping-particle" : "", "parse-names" : false, "suffix" : "" }, { "dropping-particle" : "", "family" : "Faris", "given" : "Robert", "non-dropping-particle" : "", "parse-names" : false, "suffix" : "" }, { "dropping-particle" : "", "family" : "Foshee", "given" : "Vangie A.", "non-dropping-particle" : "", "parse-names" : false, "suffix" : "" }, { "dropping-particle" : "", "family" : "Cai", "given" : "Li", "non-dropping-particle" : "", "parse-names" : false, "suffix" : "" }, { "dropping-particle" : "", "family" : "DuRant", "given" : "Robert H.", "non-dropping-particle" : "", "parse-names" : false, "suffix" : "" } ], "container-title" : "Journal of Research on Adolescence", "id" : "ITEM-2", "issue" : "2", "issued" : { "date-parts" : [ [ "2006", "6" ] ] }, "page" : "159-186", "title" : "The Peer Context of Adolescent Substance Use: Findings from Social Network Analysis", "type" : "article-journal", "volume" : "16" }, "uris" : [ "http://www.mendeley.com/documents/?uuid=ac1ecbb6-37a9-43dc-be15-b5f4569676a1" ] }, { "id" : "ITEM-3", "itemData" : { "author" : [ { "dropping-particle" : "", "family" : "Pearson", "given" : "Michael", "non-dropping-particle" : "", "parse-names" : false, "suffix" : "" }, { "dropping-particle" : "", "family" : "West", "given" : "P.", "non-dropping-particle" : "", "parse-names" : false, "suffix" : "" } ], "container-title" : "Connections", "id" : "ITEM-3", "issue" : "2", "issued" : { "date-parts" : [ [ "2003" ] ] }, "page" : "59-76", "title" : "Drifting smoke rings: Social network analysis and Markov processes in a longitudinal study of friendship groups and risk-taking", "type" : "article-journal", "volume" : "25" }, "uris" : [ "http://www.mendeley.com/documents/?uuid=83ce9efa-ea58-45ac-b7cb-5095e3c05c76" ] } ], "mendeley" : { "formattedCitation" : "(Bullers, Cooper, &amp; Russell, 2001; Ennett et al., 2006; Pearson &amp; West, 2003)", "plainTextFormattedCitation" : "(Bullers, Cooper, &amp; Russell, 2001; Ennett et al., 2006; Pearson &amp; West, 2003)", "previouslyFormattedCitation" : "(Bullers, Cooper, &amp; Russell, 2001; Ennett et al., 2006; Pearson &amp; West, 2003)"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(Bullers, Cooper, &amp; Russell, 2001; Ennett et al., 2006; Pearson &amp; West, 2003)</w:t>
      </w:r>
      <w:r>
        <w:rPr>
          <w:rFonts w:ascii="Times New Roman" w:hAnsi="Times New Roman" w:cs="Times New Roman"/>
          <w:sz w:val="24"/>
          <w:szCs w:val="24"/>
        </w:rPr>
        <w:fldChar w:fldCharType="end"/>
      </w:r>
      <w:r>
        <w:rPr>
          <w:rFonts w:ascii="Times New Roman" w:hAnsi="Times New Roman" w:cs="Times New Roman"/>
          <w:sz w:val="24"/>
          <w:szCs w:val="24"/>
        </w:rPr>
        <w:t xml:space="preserve">. That is, a wealth of evidence from social psychology shows that people behave in accordance to what their peers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"V.", "family" : "Wood", "given" : "J.", "non-dropping-particle" : "", "parse-names" : false, "suffix" : "" } ], "container-title" : "Psychological Bulletin", "id" : "ITEM-1", "issue" : "2", "issued" : { "date-parts" : [ [ "1989" ] ] }, "page" : "231", "title" : "Theory and research concerning social comparisons of personal attributes", "type" : "article-journal", "volume" : "106" }, "uris" : [ "http://www.mendeley.com/documents/?uuid=9d1c930a-8f23-43b6-aad2-818215256151" ] } ], "mendeley" : { "formattedCitation" : "(J. V. Wood, 1989)", "plainTextFormattedCitation" : "(J. V. Wood, 1989)", "previouslyFormattedCitation" : "(J. V. Wood, 1989)"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(Wood, 1989)</w:t>
      </w:r>
      <w:r>
        <w:rPr>
          <w:rFonts w:ascii="Times New Roman" w:hAnsi="Times New Roman" w:cs="Times New Roman"/>
          <w:sz w:val="24"/>
          <w:szCs w:val="24"/>
        </w:rPr>
        <w:fldChar w:fldCharType="end"/>
      </w:r>
      <w:r>
        <w:rPr>
          <w:rFonts w:ascii="Times New Roman" w:hAnsi="Times New Roman" w:cs="Times New Roman"/>
          <w:sz w:val="24"/>
          <w:szCs w:val="24"/>
        </w:rPr>
        <w:t xml:space="preserve">, often as part of a group mentality; there is a strong drive to belong and be accepted by a group. Given that consuming alcohol is typically a social activity, the claim is that using social norm cues (i.e. the typical amount of alcohol a particular social group consume) is a more efficient way of helping people regulate their alcohol consumption by evaluating it relative to the consumption of their peers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"0070211914", "ISSN" : "0014-4754", "PMID" : "1204720", "abstract" : "The effects of sex hormones on purine metabolism were investigated in rats. No influence on purine synthesis was shown by the injection of estrogen and androgen. The plasma urate levels were significantly lowered from 2.43 +/- 1.04 mg/100 ml to 1.53 +/- 0.57 mg/100 ml by the injection of progesterone. Urinary excretion of uric acid plus allantoin was slightly reduced. These results suggested that progesterone may influence age and sex differences in human plasma urate levels.", "author" : [ { "dropping-particle" : "", "family" : "Nishida", "given" : "Y", "non-dropping-particle" : "", "parse-names" : false, "suffix" : "" }, { "dropping-particle" : "", "family" : "Akaoka", "given" : "I", "non-dropping-particle" : "", "parse-names" : false, "suffix" : "" }, { "dropping-particle" : "", "family" : "Nishizawa", "given" : "T", "non-dropping-particle" : "", "parse-names" : false, "suffix" : "" } ], "container-title" : "Experientia", "id" : "ITEM-1", "issue" : "10", "issued" : { "date-parts" : [ [ "1975", "10", "15" ] ] }, "page" : "1134-5", "title" : "Effect of sex hormones on uric acid metabolism in rats.", "type" : "article-journal", "volume" : "31" }, "uris" : [ "http://www.mendeley.com/documents/?uuid=ba93f080-8fa1-48bd-9d96-35048b7d4df8" ] } ], "mendeley" : { "formattedCitation" : "(Nishida, Akaoka, &amp; Nishizawa, 1975)", "plainTextFormattedCitation" : "(Nishida, Akaoka, &amp; Nishizawa, 1975)", "previouslyFormattedCitation" : "(Nishida, Akaoka, &amp; Nishizawa, 1975)"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(Nishida, Akaoka, &amp; Nishizawa, 1975)</w:t>
      </w:r>
      <w:r>
        <w:rPr>
          <w:rFonts w:ascii="Times New Roman" w:hAnsi="Times New Roman" w:cs="Times New Roman"/>
          <w:sz w:val="24"/>
          <w:szCs w:val="24"/>
        </w:rPr>
        <w:fldChar w:fldCharType="end"/>
      </w:r>
      <w:r>
        <w:rPr>
          <w:rFonts w:ascii="Times New Roman" w:hAnsi="Times New Roman" w:cs="Times New Roman"/>
          <w:sz w:val="24"/>
          <w:szCs w:val="24"/>
        </w:rPr>
        <w:t xml:space="preserve">. For instance, heavy drinkers often judge their alcohol consumption to be equal to or even less than their peers – even though it is substantially greater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"10.1080/07448489909595656", "ISBN" : "0744-8481", "ISSN" : "0744-8481", "PMID" : "10368559", "abstract" : "Data from surveys of students representing 100 diverse college campuses were used to investigate the difference between the self-reported frequency of a drug's use and students' perceptions of the frequency of use. Students were asked about the frequency of their own use of 11 drugs (alcohol, tobacco, marijuana, cocaine, amphetamines, sedatives, hallucinogens, opiates, inhalants, designer drugs, and steroids) and how often they thought \"the average student\" on their campus used these drugs. Respondents typically misperceived their peer norms (designated as the median of self-reported use) by substantially overestimating how often the average student used each drug, both in campus samples where abstinence or infrequent use were the median of self-reports and in samples where the median of self-reports revealed more frequent use. To the extent that they may promote or reinforce students' actual use, these misperceptions should be considered in designing college drug prevention programs.", "author" : [ { "dropping-particle" : "", "family" : "Perkins", "given" : "H Wesley", "non-dropping-particle" : "", "parse-names" : false, "suffix" : "" }, { "dropping-particle" : "", "family" : "Meilman", "given" : "Philip W", "non-dropping-particle" : "", "parse-names" : false, "suffix" : "" }, { "dropping-particle" : "", "family" : "Leichliter", "given" : "Jami S", "non-dropping-particle" : "", "parse-names" : false, "suffix" : "" }, { "dropping-particle" : "", "family" : "Cashin", "given" : "Jeffrey R", "non-dropping-particle" : "", "parse-names" : false, "suffix" : "" }, { "dropping-particle" : "", "family" : "Presley", "given" : "Cheryl A", "non-dropping-particle" : "", "parse-names" : false, "suffix" : "" } ], "container-title" : "Journal of American College Health", "id" : "ITEM-1", "issue" : "6", "issued" : { "date-parts" : [ [ "1999", "5" ] ] }, "page" : "253-258", "title" : "Misperceptions of the Norms for the Frequency of Alcohol and Other Drug Use on College Campuses", "type" : "article-journal", "volume" : "47" }, "uris" : [ "http://www.mendeley.com/documents/?uuid=22c61cf3-132f-464c-bc8b-5b1add169228" ] } ], "mendeley" : { "formattedCitation" : "(Perkins, Meilman, Leichliter, Cashin, &amp; Presley, 1999)", "manualFormatting" : "(Perkins, Meilman, Leichliter, Cashin, &amp; Presley, 1999; they feel as if they can reasonably justify their behavior by rationalising that it is no different to their peers)", "plainTextFormattedCitation" : "(Perkins, Meilman, Leichliter, Cashin, &amp; Presley, 1999)", "previouslyFormattedCitation" : "(Perkins, Meilman, Leichliter, Cashin, &amp; Presley, 1999)"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(Perkins, Meilman, Leichliter, Cashin, &amp; Presley, 1999; they feel as if they can reasonably justify their behavior by rationalising that it is no different to their peers)</w:t>
      </w:r>
      <w:r>
        <w:rPr>
          <w:rFonts w:ascii="Times New Roman" w:hAnsi="Times New Roman" w:cs="Times New Roman"/>
          <w:sz w:val="24"/>
          <w:szCs w:val="24"/>
        </w:rPr>
        <w:fldChar w:fldCharType="end"/>
      </w:r>
      <w:r>
        <w:rPr>
          <w:rFonts w:ascii="Times New Roman" w:hAnsi="Times New Roman" w:cs="Times New Roman"/>
          <w:sz w:val="24"/>
          <w:szCs w:val="24"/>
        </w:rPr>
        <w:t xml:space="preserve">. To correct misapprehensions of social norms in a student population, several studies using self-reported survey responses have shown that Type 2 social norm interventions (through educational campaigns) implemented over a period of one year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"Gomberg", "given" : "L.", "non-dropping-particle" : "", "parse-names" : false, "suffix" : "" }, { "dropping-particle" : "", "family" : "Schneider", "given" : "S. K.", "non-dropping-particle" : "", "parse-names" : false, "suffix" : "" }, { "dropping-particle" : "", "family" : "DeJong", "given" : "W.", "non-dropping-particle" : "", "parse-names" : false, "suffix" : "" } ], "container-title" : "The American Journal of Drug and Alcohol Abuse: Encompassing All Addictive Disorders", "id" : "ITEM-1", "issue" : "2", "issued" : { "date-parts" : [ [ "2001" ] ] }, "page" : "375-389", "title" : "Evaluation of a social norms marketing campaign to reduce high-risk drinking at the University of Mississippi*", "type" : "article-journal", "volume" : "27" }, "uris" : [ "http://www.mendeley.com/documents/?uuid=747f8c4b-2173-4421-80b1-1f0bdaa8c402" ] } ], "mendeley" : { "formattedCitation" : "(Gomberg, Schneider, &amp; DeJong, 2001)", "plainTextFormattedCitation" : "(Gomberg, Schneider, &amp; DeJong, 2001)", "previouslyFormattedCitation" : "(Gomberg, Schneider, &amp; DeJong, 2001)"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(Gomberg, Schneider, &amp; DeJong, 2001)</w:t>
      </w:r>
      <w:r>
        <w:rPr>
          <w:rFonts w:ascii="Times New Roman" w:hAnsi="Times New Roman" w:cs="Times New Roman"/>
          <w:sz w:val="24"/>
          <w:szCs w:val="24"/>
        </w:rPr>
        <w:fldChar w:fldCharType="end"/>
      </w:r>
      <w:r>
        <w:rPr>
          <w:rFonts w:ascii="Times New Roman" w:hAnsi="Times New Roman" w:cs="Times New Roman"/>
          <w:sz w:val="24"/>
          <w:szCs w:val="24"/>
        </w:rPr>
        <w:t xml:space="preserve"> and five years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"10.1080/07448481.1996.9936873", "ISBN" : "doi:10.1080/07448481.1996.9936873", "ISSN" : "0744-8481", "PMID" : "8952206", "abstract" : "A reduction in college students' binge drinking associated with an intervention to change perceptions of drinking norms is described. The 5-year study was conducted at a public residential campus of 23,000 students. A traditional intervention proved unsuccessful, but a media campaign designed to change student perceptions of the amount of binge drinking showed an 18.5% drop in the number of students who perceived binge drinking as the norm (from 69.7% to 51.2%) and a corresponding reduction in self-reported binge drinking of 8.8% (from 43.0% to 34.2%). The apparent effectiveness of this prevention effort suggested that changing college students' perceptions of drinking norms may lower the proportion of students who engage in binge drinking.", "author" : [ { "dropping-particle" : "", "family" : "Haines", "given" : "M P", "non-dropping-particle" : "", "parse-names" : false, "suffix" : "" }, { "dropping-particle" : "", "family" : "Spear", "given" : "S F", "non-dropping-particle" : "", "parse-names" : false, "suffix" : "" } ], "container-title" : "Journal of American college health : J of ACH", "id" : "ITEM-1", "issue" : "3", "issued" : { "date-parts" : [ [ "1996", "11" ] ] }, "page" : "134-40", "title" : "Changing the perception of the norm: a strategy to decrease binge drinking among college students", "type" : "article-journal", "volume" : "45" }, "uris" : [ "http://www.mendeley.com/documents/?uuid=f1bee87e-8655-4ca4-bd18-b8cb93efad8b" ] } ], "mendeley" : { "formattedCitation" : "(Haines &amp; Spear, 1996)", "plainTextFormattedCitation" : "(Haines &amp; Spear, 1996)", "previouslyFormattedCitation" : "(Haines &amp; Spear, 1996)"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(Haines &amp; Spear, 1996)</w:t>
      </w:r>
      <w:r>
        <w:rPr>
          <w:rFonts w:ascii="Times New Roman" w:hAnsi="Times New Roman" w:cs="Times New Roman"/>
          <w:sz w:val="24"/>
          <w:szCs w:val="24"/>
        </w:rPr>
        <w:fldChar w:fldCharType="end"/>
      </w:r>
      <w:r>
        <w:rPr>
          <w:rFonts w:ascii="Times New Roman" w:hAnsi="Times New Roman" w:cs="Times New Roman"/>
          <w:sz w:val="24"/>
          <w:szCs w:val="24"/>
        </w:rPr>
        <w:t xml:space="preserve"> have successfully reduced alcohol consumption. However, a different review of 66 studies analyzed alcohol reduction at 4 months post intervention and found that the effect sizes were small and were unlikely to be of meaningful benefit in practice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"10.1002/14651858.CD006748.pub4", "author" : [ { "dropping-particle" : "", "family" : "Foxcraft", "given" : "D. R.", "non-dropping-particle" : "", "parse-names" : false, "suffix" : "" }, { "dropping-particle" : "", "family" : "Moreira", "given" : "M. T.", "non-dropping-particle" : "", "parse-names" : false, "suffix" : "" }, { "dropping-particle" : "", "family" : "Santimano", "given" : "N. M. L.", "non-dropping-particle" : "", "parse-names" : false, "suffix" : "" }, { "dropping-particle" : "", "family" : "Smith", "given" : "L. A.", "non-dropping-particle" : "", "parse-names" : false, "suffix" : "" } ], "container-title" : "Cochrane Database of Systematic Reviews.", "id" : "ITEM-1", "issue" : "12", "issued" : { "date-parts" : [ [ "2015" ] ] }, "title" : "Social norms information for alcohol misuse in university and college students (Review)", "type" : "article-journal" }, "uris" : [ "http://www.mendeley.com/documents/?uuid=098312b6-2846-4005-bf92-55d7a8f48e8b" ] } ], "mendeley" : { "formattedCitation" : "(Foxcraft, Moreira, Santimano, &amp; Smith, 2015)", "plainTextFormattedCitation" : "(Foxcraft, Moreira, Santimano, &amp; Smith, 2015)", "previouslyFormattedCitation" : "(Foxcraft, Moreira, Santimano, &amp; Smith, 2015)"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(Foxcraft, Moreira, Santimano, &amp; Smith, 2015)</w:t>
      </w:r>
      <w:r>
        <w:rPr>
          <w:rFonts w:ascii="Times New Roman" w:hAnsi="Times New Roman" w:cs="Times New Roman"/>
          <w:sz w:val="24"/>
          <w:szCs w:val="24"/>
        </w:rPr>
        <w:fldChar w:fldCharType="end"/>
      </w:r>
      <w:r>
        <w:rPr>
          <w:rFonts w:ascii="Times New Roman" w:hAnsi="Times New Roman" w:cs="Times New Roman"/>
          <w:sz w:val="24"/>
          <w:szCs w:val="24"/>
        </w:rPr>
        <w:t xml:space="preserve">. It is worth noting that when surveyed, students doubted the credibility of the educational campaign messages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"10.3200/JACH.53.2.61-70", "ISSN" : "0744-8481", "PMID" : "15495882", "abstract" : "The authors examined 3 possible explanations for the failure of a social norms campaign at a large public university. They administered an anonymous survey to 2 random samples of undergraduate classes: a baseline assessment of 616 students before the campaign's implementation and a follow-up survey of 723 students 4 academic years later. At follow-up, 66.5% of the students were aware of the campaign, yet the survey revealed no reduction in perceived drinking norms or alcohol use in this group. An analysis of the postcampaign sample revealed that (1) a majority of the students did not find the statistics used in the campaign messages credible, (2) higher levels of alcohol use predicted lower levels of perceived campaign credibility, and (3) only 38.5% of the students understood the campaign's intended purpose. If they are to influence personally relevant drinking norms, these campaigns must undergo further development to enhance message credibility and participants' understanding.", "author" : [ { "dropping-particle" : "", "family" : "Thombs", "given" : "Dennis L.", "non-dropping-particle" : "", "parse-names" : false, "suffix" : "" }, { "dropping-particle" : "", "family" : "Dotterer", "given" : "Scott", "non-dropping-particle" : "", "parse-names" : false, "suffix" : "" }, { "dropping-particle" : "", "family" : "Olds", "given" : "R. Scott", "non-dropping-particle" : "", "parse-names" : false, "suffix" : "" }, { "dropping-particle" : "", "family" : "Sharp", "given" : "Katherine E.", "non-dropping-particle" : "", "parse-names" : false, "suffix" : "" }, { "dropping-particle" : "", "family" : "Raub", "given" : "Carrie Giovannone", "non-dropping-particle" : "", "parse-names" : false, "suffix" : "" } ], "container-title" : "Journal of American College Health", "id" : "ITEM-1", "issue" : "2", "issued" : { "date-parts" : [ [ "2004", "1" ] ] }, "page" : "61-68", "title" : "A close look at why one social norms campaign did not reduce student drinking.", "type" : "article-journal", "volume" : "53" }, "uris" : [ "http://www.mendeley.com/documents/?uuid=6452ad1b-bbda-41c3-a063-687f68c60b66" ] } ], "mendeley" : { "formattedCitation" : "(Thombs, Dotterer, Olds, Sharp, &amp; Raub, 2004)", "plainTextFormattedCitation" : "(Thombs, Dotterer, Olds, Sharp, &amp; Raub, 2004)", "previouslyFormattedCitation" : "(Thombs, Dotterer, Olds, Sharp, &amp; Raub, 2004)"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(Thombs, </w:t>
      </w:r>
      <w:r>
        <w:rPr>
          <w:rFonts w:ascii="Times New Roman" w:hAnsi="Times New Roman" w:cs="Times New Roman"/>
          <w:noProof/>
          <w:sz w:val="24"/>
          <w:szCs w:val="24"/>
        </w:rPr>
        <w:lastRenderedPageBreak/>
        <w:t>Dotterer, Olds, Sharp, &amp; Raub, 2004)</w:t>
      </w:r>
      <w:r>
        <w:rPr>
          <w:rFonts w:ascii="Times New Roman" w:hAnsi="Times New Roman" w:cs="Times New Roman"/>
          <w:sz w:val="24"/>
          <w:szCs w:val="24"/>
        </w:rPr>
        <w:fldChar w:fldCharType="end"/>
      </w:r>
      <w:r>
        <w:rPr>
          <w:rFonts w:ascii="Times New Roman" w:hAnsi="Times New Roman" w:cs="Times New Roman"/>
          <w:sz w:val="24"/>
          <w:szCs w:val="24"/>
        </w:rPr>
        <w:t xml:space="preserve">. In addition, some have suggested that the effectiveness of the nudge needs to take into account campus sizes in which norm misperception may be harder to correct if “everybody knows everyone else” and thus students are more confident in their estimates of other’s drinking levels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"Borsari", "given" : "B.", "non-dropping-particle" : "", "parse-names" : false, "suffix" : "" }, { "dropping-particle" : "", "family" : "Carey", "given" : "K. B.", "non-dropping-particle" : "", "parse-names" : false, "suffix" : "" } ], "container-title" : "Journal of studies on alcohol", "id" : "ITEM-1", "issue" : "3", "issued" : { "date-parts" : [ [ "2003" ] ] }, "page" : "331-341", "title" : "Descriptive and injunctive norms in college drinking: a meta-analytic integration", "type" : "article-journal", "volume" : "64" }, "uris" : [ "http://www.mendeley.com/documents/?uuid=8fe716a7-9f82-4de2-91df-72920113a6a8" ] } ], "mendeley" : { "formattedCitation" : "(Borsari &amp; Carey, 2003)", "plainTextFormattedCitation" : "(Borsari &amp; Carey, 2003)", "previouslyFormattedCitation" : "(Borsari &amp; Carey, 2003)"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(Borsari &amp; Carey, 2003)</w:t>
      </w:r>
      <w:r>
        <w:rPr>
          <w:rFonts w:ascii="Times New Roman" w:hAnsi="Times New Roman" w:cs="Times New Roman"/>
          <w:sz w:val="24"/>
          <w:szCs w:val="24"/>
        </w:rPr>
        <w:fldChar w:fldCharType="end"/>
      </w:r>
      <w:r>
        <w:rPr>
          <w:rFonts w:ascii="Times New Roman" w:hAnsi="Times New Roman" w:cs="Times New Roman"/>
          <w:sz w:val="24"/>
          <w:szCs w:val="24"/>
        </w:rPr>
        <w:t xml:space="preserve">. Moreover, it is possible that the average or typical norm used to compare drinking levels in these Type 2 nudges does not represent the ideal normative reference point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"10.3200/JACH.54.4.213-218", "ISSN" : "0744-8481", "PMID" : "16450845", "abstract" : "College students have been shown to consistently overestimate the drinking of their peers. As a result, social norms approaches are effective in correcting these misperceived norms to reduce alcohol consumption and alcohol-related problems. In this review of literature, the authors critically evaluated the effectiveness of personalized normative feedback. In addition, the authors reviewed personalized normative feedback interventions and provided suggestions for increasing the efficacy of these interventions by making better use of salient referent group data.", "author" : [ { "dropping-particle" : "", "family" : "Lewis", "given" : "M. A.", "non-dropping-particle" : "", "parse-names" : false, "suffix" : "" }, { "dropping-particle" : "", "family" : "Neighbors", "given" : "Clayton", "non-dropping-particle" : "", "parse-names" : false, "suffix" : "" } ], "container-title" : "Journal of American College Health", "id" : "ITEM-1", "issue" : "4", "issued" : { "date-parts" : [ [ "2006", "1" ] ] }, "page" : "213-8", "title" : "Social norms approaches using descriptive drinking norms education: a review of the research on personalized normative feedback.", "type" : "article-journal", "volume" : "54" }, "uris" : [ "http://www.mendeley.com/documents/?uuid=a07d9c8f-804f-4321-a589-810c8fe276eb" ] } ], "mendeley" : { "formattedCitation" : "(M. A. Lewis &amp; Neighbors, 2006)", "plainTextFormattedCitation" : "(M. A. Lewis &amp; Neighbors, 2006)", "previouslyFormattedCitation" : "(M. A. Lewis &amp; Neighbors, 2006)"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(Lewis &amp; Neighbors, 2006)</w:t>
      </w:r>
      <w:r>
        <w:rPr>
          <w:rFonts w:ascii="Times New Roman" w:hAnsi="Times New Roman" w:cs="Times New Roman"/>
          <w:sz w:val="24"/>
          <w:szCs w:val="24"/>
        </w:rPr>
        <w:fldChar w:fldCharType="end"/>
      </w:r>
      <w:r>
        <w:rPr>
          <w:rFonts w:ascii="Times New Roman" w:hAnsi="Times New Roman" w:cs="Times New Roman"/>
          <w:sz w:val="24"/>
          <w:szCs w:val="24"/>
        </w:rPr>
        <w:t xml:space="preserve">. In other words, feedback that involve best friends’ drinking rather than typical student drinking level would be more specific and may have a stronger influence, assuming the peers are actually consuming alcohol within healthy limits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"0096-882X (Print)\\r0096-882x", "ISSN" : "0096-882X", "author" : [ { "dropping-particle" : "", "family" : "Baer", "given" : "J. S.", "non-dropping-particle" : "", "parse-names" : false, "suffix" : "" }, { "dropping-particle" : "", "family" : "Stacy", "given" : "A.", "non-dropping-particle" : "", "parse-names" : false, "suffix" : "" }, { "dropping-particle" : "", "family" : "Larimer", "given" : "M.", "non-dropping-particle" : "", "parse-names" : false, "suffix" : "" } ], "container-title" : "Journal of studies on alcohol", "id" : "ITEM-1", "issue" : "6", "issued" : { "date-parts" : [ [ "1991" ] ] }, "page" : "580-586", "title" : "Biases in the perception of drinking norms among college students.", "type" : "article-journal", "volume" : "52" }, "uris" : [ "http://www.mendeley.com/documents/?uuid=63c34cc2-8417-4b0e-94ca-dd509b9509b1" ] }, { "id" : "ITEM-2", "itemData" : { "author" : [ { "dropping-particle" : "", "family" : "Borsari", "given" : "B.", "non-dropping-particle" : "", "parse-names" : false, "suffix" : "" }, { "dropping-particle" : "", "family" : "Carey", "given" : "K. B.", "non-dropping-particle" : "", "parse-names" : false, "suffix" : "" } ], "container-title" : "Journal of studies on alcohol", "id" : "ITEM-2", "issue" : "3", "issued" : { "date-parts" : [ [ "2003" ] ] }, "page" : "331-341", "title" : "Descriptive and injunctive norms in college drinking: a meta-analytic integration", "type" : "article-journal", "volume" : "64" }, "uris" : [ "http://www.mendeley.com/documents/?uuid=8fe716a7-9f82-4de2-91df-72920113a6a8" ] }, { "id" : "ITEM-3", "itemData" : { "DOI" : "10.3200/JACH.54.4.213-218", "ISSN" : "0744-8481", "PMID" : "16450845", "abstract" : "College students have been shown to consistently overestimate the drinking of their peers. As a result, social norms approaches are effective in correcting these misperceived norms to reduce alcohol consumption and alcohol-related problems. In this review of literature, the authors critically evaluated the effectiveness of personalized normative feedback. In addition, the authors reviewed personalized normative feedback interventions and provided suggestions for increasing the efficacy of these interventions by making better use of salient referent group data.", "author" : [ { "dropping-particle" : "", "family" : "Lewis", "given" : "M. A.", "non-dropping-particle" : "", "parse-names" : false, "suffix" : "" }, { "dropping-particle" : "", "family" : "Neighbors", "given" : "Clayton", "non-dropping-particle" : "", "parse-names" : false, "suffix" : "" } ], "container-title" : "Journal of American College Health", "id" : "ITEM-3", "issue" : "4", "issued" : { "date-parts" : [ [ "2006", "1" ] ] }, "page" : "213-8", "title" : "Social norms approaches using descriptive drinking norms education: a review of the research on personalized normative feedback.", "type" : "article-journal", "volume" : "54" }, "uris" : [ "http://www.mendeley.com/documents/?uuid=a07d9c8f-804f-4321-a589-810c8fe276eb" ] } ], "mendeley" : { "formattedCitation" : "(Baer, Stacy, &amp; Larimer, 1991; Borsari &amp; Carey, 2003; M. A. Lewis &amp; Neighbors, 2006)", "plainTextFormattedCitation" : "(Baer, Stacy, &amp; Larimer, 1991; Borsari &amp; Carey, 2003; M. A. Lewis &amp; Neighbors, 2006)", "previouslyFormattedCitation" : "(Baer, Stacy, &amp; Larimer, 1991; Borsari &amp; Carey, 2003; M. A. Lewis &amp; Neighbors, 2006)"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(Baer, Stacy, &amp; Larimer, 1991; Borsari &amp; Carey, 2003; M. A. Lewis &amp; Neighbors, 2006)</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pPr>
        <w:spacing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Tobacco Use</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Another serious problem is tobacco consumption, which kills around 6 million people each year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"URL" : "http://www.who.int/mediacentre/factsheets/fs339/en/", "accessed" : { "date-parts" : [ [ "2017", "3", "15" ] ] }, "author" : [ { "dropping-particle" : "", "family" : "WHO", "given" : "", "non-dropping-particle" : "", "parse-names" : false, "suffix" : "" } ], "container-title" : "WHO", "id" : "ITEM-1", "issued" : { "date-parts" : [ [ "2016" ] ] }, "publisher" : "World Health Organization", "title" : "WHO | Tobacco", "type" : "webpage" }, "uris" : [ "http://www.mendeley.com/documents/?uuid=499a21fc-969d-4a0e-8f3d-c92d64adfeb6" ] } ], "mendeley" : { "formattedCitation" : "(WHO, 2016)", "plainTextFormattedCitation" : "(WHO, 2016)", "previouslyFormattedCitation" : "(WHO, 2016)"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(WHO, 2016)</w:t>
      </w:r>
      <w:r>
        <w:rPr>
          <w:rFonts w:ascii="Times New Roman" w:hAnsi="Times New Roman" w:cs="Times New Roman"/>
          <w:sz w:val="24"/>
          <w:szCs w:val="24"/>
        </w:rPr>
        <w:fldChar w:fldCharType="end"/>
      </w:r>
      <w:r>
        <w:rPr>
          <w:rFonts w:ascii="Times New Roman" w:hAnsi="Times New Roman" w:cs="Times New Roman"/>
          <w:sz w:val="24"/>
          <w:szCs w:val="24"/>
        </w:rPr>
        <w:t xml:space="preserve">. To target this, Type 1 nudges promoting smoking cessation have focused on increasing the availability of shorter cigarettes, however, a systematic review found that when compared to standard sized cigarettes, there was no overall reduction in tobacco consumption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"10.1002/14651858.CD011045.pub2", "author" : [ { "dropping-particle" : "", "family" : "Hollands", "given" : "Gareth J", "non-dropping-particle" : "", "parse-names" : false, "suffix" : "" }, { "dropping-particle" : "", "family" : "Shemilt", "given" : "Ian", "non-dropping-particle" : "", "parse-names" : false, "suffix" : "" }, { "dropping-particle" : "", "family" : "Marteau", "given" : "Theresa M", "non-dropping-particle" : "", "parse-names" : false, "suffix" : "" }, { "dropping-particle" : "", "family" : "Jebb", "given" : "Susan A", "non-dropping-particle" : "", "parse-names" : false, "suffix" : "" }, { "dropping-particle" : "", "family" : "Lewis", "given" : "Hannah B", "non-dropping-particle" : "", "parse-names" : false, "suffix" : "" }, { "dropping-particle" : "", "family" : "Wei", "given" : "Yinghui", "non-dropping-particle" : "", "parse-names" : false, "suffix" : "" }, { "dropping-particle" : "", "family" : "Higgins", "given" : "Julian", "non-dropping-particle" : "", "parse-names" : false, "suffix" : "" }, { "dropping-particle" : "", "family" : "Ogilvie", "given" : "David", "non-dropping-particle" : "", "parse-names" : false, "suffix" : "" } ], "container-title" : "Cochrane Database of Systematic Reviews", "editor" : [ { "dropping-particle" : "", "family" : "Hollands", "given" : "Gareth J", "non-dropping-particle" : "", "parse-names" : false, "suffix" : "" } ], "id" : "ITEM-1", "issued" : { "date-parts" : [ [ "2015", "9", "14" ] ] }, "publisher" : "John Wiley &amp; Sons, Ltd", "publisher-place" : "UK", "title" : "Portion, package or tableware size for changing selection and consumption of food, alcohol and tobacco", "type" : "chapter" }, "uris" : [ "http://www.mendeley.com/documents/?uuid=93ff53c8-eb17-42be-a6fc-86713199f4ef" ] } ], "mendeley" : { "formattedCitation" : "(Hollands et al., 2015)", "plainTextFormattedCitation" : "(Hollands et al., 2015)", "previouslyFormattedCitation" : "(Hollands et al., 2015)"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(Hollands et al., 2015)</w:t>
      </w:r>
      <w:r>
        <w:rPr>
          <w:rFonts w:ascii="Times New Roman" w:hAnsi="Times New Roman" w:cs="Times New Roman"/>
          <w:sz w:val="24"/>
          <w:szCs w:val="24"/>
        </w:rPr>
        <w:fldChar w:fldCharType="end"/>
      </w:r>
      <w:r>
        <w:rPr>
          <w:rFonts w:ascii="Times New Roman" w:hAnsi="Times New Roman" w:cs="Times New Roman"/>
          <w:sz w:val="24"/>
          <w:szCs w:val="24"/>
        </w:rPr>
        <w:t xml:space="preserve">. Alternatively, a more common route is to adopt educational campaigns that are typical of Type 2 nudges. In many western countries, health warnings on cigarette packages are among the most common means of increasing smoker’s awareness of the risks of smoking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"10.1136/tc.2005.012294", "abstract" : "(ITC) Four Country Survey findings from the International Tobacco Control informing smokers about the risks of smoking: Effectiveness of cigarette warning labels in http://tobaccocontrol.bmj.com/content/15/suppl_3/iii19.full.html Updated information and services can be found at: These include: References http://tobaccocontrol.bmj.com/content/15/suppl_3/iii19.full.html#related-urls", "author" : [ { "dropping-particle" : "", "family" : "Hammond", "given" : "D.", "non-dropping-particle" : "", "parse-names" : false, "suffix" : "" }, { "dropping-particle" : "", "family" : "Fong", "given" : "G. T.", "non-dropping-particle" : "", "parse-names" : false, "suffix" : "" }, { "dropping-particle" : "", "family" : "Mcneill", "given" : "A.", "non-dropping-particle" : "", "parse-names" : false, "suffix" : "" }, { "dropping-particle" : "", "family" : "Borland", "given" : "R.", "non-dropping-particle" : "", "parse-names" : false, "suffix" : "" }, { "dropping-particle" : "", "family" : "Cummings", "given" : "K. M.", "non-dropping-particle" : "", "parse-names" : false, "suffix" : "" }, { "dropping-particle" : "", "family" : "Hammond", "given" : "D.", "non-dropping-particle" : "", "parse-names" : false, "suffix" : "" } ], "container-title" : "Tobacco Control", "id" : "ITEM-1", "issued" : { "date-parts" : [ [ "2006" ] ] }, "page" : "19-25", "title" : "Effectiveness of cigarette warning labels in informing smokers about the risks of smoking: findings from the International Tobacco Control (ITC) Four Country Survey", "type" : "article-journal", "volume" : "15" }, "uris" : [ "http://www.mendeley.com/documents/?uuid=22191f0a-8261-38b9-b5d3-3a42772045bf" ] } ], "mendeley" : { "formattedCitation" : "(Hammond et al., 2006)", "plainTextFormattedCitation" : "(Hammond et al., 2006)", "previouslyFormattedCitation" : "(Hammond et al., 2006)"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(Hammond et al., 2006)</w:t>
      </w:r>
      <w:r>
        <w:rPr>
          <w:rFonts w:ascii="Times New Roman" w:hAnsi="Times New Roman" w:cs="Times New Roman"/>
          <w:sz w:val="24"/>
          <w:szCs w:val="24"/>
        </w:rPr>
        <w:fldChar w:fldCharType="end"/>
      </w:r>
      <w:r>
        <w:rPr>
          <w:rFonts w:ascii="Times New Roman" w:hAnsi="Times New Roman" w:cs="Times New Roman"/>
          <w:sz w:val="24"/>
          <w:szCs w:val="24"/>
        </w:rPr>
        <w:t xml:space="preserve">. It is now mandatory that consumers of tobacco products have a ‘fundamental right to health information, including accurate information about the harms of tobacco use’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"URL" : "http://www.euro.who.int/en/health-topics/disease-prevention/tobacco/policy/who-framework-convention-on-tobacco-control-who-fctc/key-areas-of-tobacco-control-policy/health-warnings", "accessed" : { "date-parts" : [ [ "2017", "3", "3" ] ] }, "author" : [ { "dropping-particle" : "", "family" : "WHO", "given" : "", "non-dropping-particle" : "", "parse-names" : false, "suffix" : "" } ], "id" : "ITEM-1", "issued" : { "date-parts" : [ [ "2015" ] ] }, "publisher" : "World Health Organization", "title" : "Health Warnings", "type" : "webpage" }, "uris" : [ "http://www.mendeley.com/documents/?uuid=8ac97b4d-5f1e-30e9-a7a7-364a914b58c8" ] } ], "mendeley" : { "formattedCitation" : "(WHO, 2015)", "plainTextFormattedCitation" : "(WHO, 2015)", "previouslyFormattedCitation" : "(WHO, 2015)"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(WHO, 2015)</w:t>
      </w:r>
      <w:r>
        <w:rPr>
          <w:rFonts w:ascii="Times New Roman" w:hAnsi="Times New Roman" w:cs="Times New Roman"/>
          <w:sz w:val="24"/>
          <w:szCs w:val="24"/>
        </w:rPr>
        <w:fldChar w:fldCharType="end"/>
      </w:r>
      <w:r>
        <w:rPr>
          <w:rFonts w:ascii="Times New Roman" w:hAnsi="Times New Roman" w:cs="Times New Roman"/>
          <w:sz w:val="24"/>
          <w:szCs w:val="24"/>
        </w:rPr>
        <w:t xml:space="preserve">. A comprehensive review by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"10.1136/tc.2005.012294", "abstract" : "(ITC) Four Country Survey findings from the International Tobacco Control informing smokers about the risks of smoking: Effectiveness of cigarette warning labels in http://tobaccocontrol.bmj.com/content/15/suppl_3/iii19.full.html Updated information and services can be found at: These include: References http://tobaccocontrol.bmj.com/content/15/suppl_3/iii19.full.html#related-urls", "author" : [ { "dropping-particle" : "", "family" : "Hammond", "given" : "D.", "non-dropping-particle" : "", "parse-names" : false, "suffix" : "" }, { "dropping-particle" : "", "family" : "Fong", "given" : "G. T.", "non-dropping-particle" : "", "parse-names" : false, "suffix" : "" }, { "dropping-particle" : "", "family" : "Mcneill", "given" : "A.", "non-dropping-particle" : "", "parse-names" : false, "suffix" : "" }, { "dropping-particle" : "", "family" : "Borland", "given" : "R.", "non-dropping-particle" : "", "parse-names" : false, "suffix" : "" }, { "dropping-particle" : "", "family" : "Cummings", "given" : "K. M.", "non-dropping-particle" : "", "parse-names" : false, "suffix" : "" }, { "dropping-particle" : "", "family" : "Hammond", "given" : "D.", "non-dropping-particle" : "", "parse-names" : false, "suffix" : "" } ], "container-title" : "Tobacco Control", "id" : "ITEM-1", "issued" : { "date-parts" : [ [ "2006" ] ] }, "page" : "19-25", "title" : "Effectiveness of cigarette warning labels in informing smokers about the risks of smoking: findings from the International Tobacco Control (ITC) Four Country Survey", "type" : "article-journal", "volume" : "15" }, "uris" : [ "http://www.mendeley.com/documents/?uuid=22191f0a-8261-38b9-b5d3-3a42772045bf" ] } ], "mendeley" : { "formattedCitation" : "(Hammond et al., 2006)", "manualFormatting" : "Hammond et al. (2006)", "plainTextFormattedCitation" : "(Hammond et al., 2006)", "previouslyFormattedCitation" : "(Hammond et al., 2006)"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Hammond et al. (2006)</w:t>
      </w:r>
      <w:r>
        <w:rPr>
          <w:rFonts w:ascii="Times New Roman" w:hAnsi="Times New Roman" w:cs="Times New Roman"/>
          <w:sz w:val="24"/>
          <w:szCs w:val="24"/>
        </w:rPr>
        <w:fldChar w:fldCharType="end"/>
      </w:r>
      <w:r>
        <w:rPr>
          <w:rFonts w:ascii="Times New Roman" w:hAnsi="Times New Roman" w:cs="Times New Roman"/>
          <w:sz w:val="24"/>
          <w:szCs w:val="24"/>
        </w:rPr>
        <w:t xml:space="preserve"> found that smokers’ knowledge of toxic constituents in tobacco smoke was very low even amongst smokers in affluent and educated countries in the world. While this is a common practice for many countries across the world, the style of presentation of </w:t>
      </w:r>
      <w:r>
        <w:rPr>
          <w:rFonts w:ascii="Times New Roman" w:hAnsi="Times New Roman" w:cs="Times New Roman"/>
          <w:sz w:val="24"/>
          <w:szCs w:val="24"/>
        </w:rPr>
        <w:lastRenderedPageBreak/>
        <w:t xml:space="preserve">health information differs between countries making it difficult to evaluate the effectiveness of these messages on reducing consumption.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More recently, Type 2 nudges such as plain cigarette packaging standardize the shape, color, and method of opening the package, as well as the health warning themselves. The aim is to fulfil several objectives that include reducing the attractiveness of consuming tobacco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"10.1016/j.jadohealth.2012.06.003", "ISSN" : "1879-1972", "PMID" : "23332478", "abstract" : "PURPOSE Cigarette packaging is the most prominent form of tobacco marketing remaining in countries such as the United Kingdom. The current study examined perceptions of cigarette packaging among female youth and the potential impact of \"plain\" cigarette packaging regulations. METHODS A national sample of 947 16- to 19-year-old female subjects in the United Kingdom completed an online survey. Participants were randomized to view 10 cigarette packs designed according to one of four experimental conditions: fully branded female packs, the same packs without descriptor words, the same packs without brand imagery or descriptors (\"plain\" packs), and branded non-female brands. Participants rated packs on measures of appeal and health risk, positive smoker image, and completed a behavioral pack selection task. RESULTS Plain packs were rated as the least appealing and worse tasting compared with all other conditions. Plain packs were also associated with fewer false beliefs about health risks compared with branded packs. Removing brand descriptors from packs significantly reduced measures of appeal and taste, particularly for brands with flavor descriptors, such as cherry and vanilla. Plain packs were significantly less likely to be associated with positive images, such as glamour, sophistication, and slimness. Most importantly, respondents were significantly less likely to accept a pack of cigarettes when offered only plain versus branded packs (p = .026). CONCLUSIONS Marketing in the form of pack branding remains a potent tool for increasing the appeal of tobacco products to young women. The findings provide empirical support for plain cigarette packaging regulations in Australia to be implemented in 2012.", "author" : [ { "dropping-particle" : "", "family" : "Hammond", "given" : "D.", "non-dropping-particle" : "", "parse-names" : false, "suffix" : "" }, { "dropping-particle" : "", "family" : "Daniel", "given" : "S.", "non-dropping-particle" : "", "parse-names" : false, "suffix" : "" }, { "dropping-particle" : "", "family" : "White", "given" : "C. M.", "non-dropping-particle" : "", "parse-names" : false, "suffix" : "" } ], "container-title" : "The Journal of adolescent health : official publication of the Society for Adolescent Medicine", "id" : "ITEM-1", "issue" : "2", "issued" : { "date-parts" : [ [ "2013", "2" ] ] }, "page" : "151-7", "publisher" : "Elsevier", "title" : "The effect of cigarette branding and plain packaging on female youth in the United Kingdom.", "type" : "article-journal", "volume" : "52" }, "uris" : [ "http://www.mendeley.com/documents/?uuid=12467c3b-c81f-33b4-849d-681d8ad03e3a" ] }, { "id" : "ITEM-2", "itemData" : { "DOI" : "10.1093/pubmed/fdp066", "ISSN" : "1741-3842", "author" : [ { "dropping-particle" : "", "family" : "Hammond", "given" : "D.", "non-dropping-particle" : "", "parse-names" : false, "suffix" : "" }, { "dropping-particle" : "", "family" : "Parkinson", "given" : "C.", "non-dropping-particle" : "", "parse-names" : false, "suffix" : "" } ], "container-title" : "Journal of Public Health", "id" : "ITEM-2", "issue" : "3", "issued" : { "date-parts" : [ [ "2009", "9", "1" ] ] }, "page" : "345-353", "publisher" : "Oxford University Press", "title" : "The impact of cigarette package design on perceptions of risk", "type" : "article-journal", "volume" : "31" }, "uris" : [ "http://www.mendeley.com/documents/?uuid=ffb0b9e9-fc42-3077-9ce4-5a0bac68f6bf" ] }, { "id" : "ITEM-3", "itemData" : { "DOI" : "10.1136/tc.2011.042911", "ISSN" : "0964-4563", "PMID" : "21752795", "abstract" : "Aims To explore the impact, if any, that using plain (non-branded) cigarette packs in real-life settings has on young adult smokers. Methods Naturalistic-type research was employed, where smokers used brown 'plain' packs for 2 weeks and their regular packs for 2 weeks, in real-life settings. Participants were recruited in Glasgow, Scotland. Of the 140 smokers aged 18-35 years who participated in the naturalistic study, 48 correctly completed and returned all questionnaires. Over the 4-week study period, participants completed a questionnaire twice a week assessing pack perceptions and feelings, feelings about smoking, salience of health warnings and smoking-related behaviours. A subsample of 18 participated in a post-study interview, which employed a semistructured topic guide to assess perceptions and experiences of using plain packs. Results Trends in the data show that in comparison with branded packaging, plain packaging increased negative perceptions and feelings about the pack and about smoking. Plain packaging also increased avoidant behaviour (hiding the pack, covering the pack), certain smoking cessation behaviours, such as smoking less around others and forgoing cigarettes, and thinking about quitting. Almost half (n = 8) of those in the post-study interview, predominantly women (n = 6), reported that the use of plain packs had either increased avoidant behaviour or reduced consumption. Conclusions This pilot naturalistic study suggests that plain packaging could potentially help reduce tobacco consumption among some young adult smokers, and women in particular. Employing an innovative research methodology, the findings of this study are consistent with, and indeed support, past plain packaging research.", "author" : [ { "dropping-particle" : "", "family" : "Moodie", "given" : "C.", "non-dropping-particle" : "", "parse-names" : false, "suffix" : "" }, { "dropping-particle" : "", "family" : "Mackintosh", "given" : "A. M.", "non-dropping-particle" : "", "parse-names" : false, "suffix" : "" }, { "dropping-particle" : "", "family" : "Hastings", "given" : "G.", "non-dropping-particle" : "", "parse-names" : false, "suffix" : "" }, { "dropping-particle" : "", "family" : "Ford", "given" : "A.", "non-dropping-particle" : "", "parse-names" : false, "suffix" : "" } ], "container-title" : "Tobacco Control", "id" : "ITEM-3", "issue" : "5", "issued" : { "date-parts" : [ [ "2011", "9" ] ] }, "language" : "English", "note" : "From Duplicate 2 (Young adult smokers' perceptions of plain packaging: a pilot naturalistic study - Moodie, C.; Mackintosh, A. M.; Hastings, G.; Ford, A.)\n\nFrom Duplicate 2 (Young adult smokers' perceptions of plain packaging: a pilot naturalistic study - Moodie, Crawford; Mackintosh, Anne Marie; Hastings, Gerard; Ford, Allison)\n\nFrom Duplicate 1 (Young adult smokers' perceptions of plain packaging: a pilot naturalistic study - Moodie, C; Mackintosh, A M; Hastings, G; Ford, A)\n\nISI Document Delivery No.: 807NL\nTimes Cited: 19\nCited Reference Count: 23\nMoodie, Crawford Mackintosh, Anne Marie Hastings, Gerard Ford, Allison\nCancer Research UK\nCancer Research UK.\n19\nB m j publishing group\nLondon\nPublic, Environmental &amp;amp; Occupational Health\n\nFrom Duplicate 3 (Young adult smokers' perceptions of plain packaging: a pilot naturalistic study - Moodie, C.; Mackintosh, A. M.; Hastings, G.; Ford, A.)\n\nFrom Duplicate 1 (Young adult smokers' perceptions of plain packaging: a pilot naturalistic study - Moodie, Crawford; Mackintosh, Anne Marie; Hastings, Gerard; Ford, Allison)\n\nFrom Duplicate 2 (Young adult smokers' perceptions of plain packaging: a pilot naturalistic study - Moodie, Crawford; Mackintosh, Anne Marie; Hastings, Gerard; Ford, Allison)\n\nFrom Duplicate 1 (Young adult smokers' perceptions of plain packaging: a pilot naturalistic study - Moodie, C; Mackintosh, A M; Hastings, G; Ford, A)\n\nISI Document Delivery No.: 807NL\nTimes Cited: 19\nCited Reference Count: 23\nMoodie, Crawford Mackintosh, Anne Marie Hastings, Gerard Ford, Allison\nCancer Research UK\nCancer Research UK.\n19\nB m j publishing group\nLondon\nPublic, Environmental &amp;amp; Occupational Health\n\nFrom Duplicate 3 (Young adult smokers' perceptions of plain packaging: a pilot naturalistic study - Moodie, Crawford; Mackintosh, Anne Marie; Hastings, Gerard; Ford, Allison)\n\nFrom Duplicate 1 (Young adult smokers' perceptions of plain packaging: a pilot naturalistic study - Moodie, C; Mackintosh, A M; Hastings, G; Ford, A)\n\nISI Document Delivery No.: 807NL\nTimes Cited: 19\nCited Reference Count: 23\nMoodie, Crawford Mackintosh, Anne Marie Hastings, Gerard Ford, Allison\nCancer Research UK\nCancer Research UK.\n19\nB m j publishing group\nLondon\nPublic, Environmental &amp;amp; Occupational Health", "page" : "367-373", "publisher" : "BMJ Publishing Group Ltd", "publisher-place" : "[Moodie, Crawford Mackintosh, Anne Marie Hastings, Gerard Ford, Allison] Univ Stirling, Inst Social Mkt, Stirling FK9 4LA, Scotland. Moodie, C (reprint author), Univ Stirling, Inst Social Mkt, Stirling FK9 4LA, Scotland. c.s.moodie@stir.ac.uk, Crawford Mackintosh, Anne Marie Hastings, Gerard Ford, Allison] Univ Stirling, Inst Social Mkt, Stirling FK9 4LA, Scotland. Moodie, C (reprint author), Univ Stirling, Inst Social Mkt, Stirling FK9 4LA, Scotland. c.s.moodie@stir.ac.uk", "title" : "Young adult smokers' perceptions of plain packaging: a pilot naturalistic study", "type" : "article-journal", "volume" : "20" }, "uris" : [ "http://www.mendeley.com/documents/?uuid=f06a234b-b7e5-41d0-8be8-6ed02151726e" ] }, { "id" : "ITEM-4", "itemData" : { "DOI" : "10.1136/bmjopen-2012-002402", "ISSN" : "2044-6055", "PMID" : "23512839", "abstract" : "OBJECTIVES To explore young adult women smokers' cognitive and emotional response to using dark brown 'plain' cigarette packs in natural settings and whether plain packaging is associated with any short-term change in smoking behaviour. DESIGN A naturalistic approach. Participants used plain cigarette packs provided to them for 1 week and for 1 week their own fully branded packs, but otherwise smoked and socialised as normal. Participants completed questionnaires twice a week. SETTING The six most populated cities and towns in Scotland. PARTICIPANTS 301 young women smokers were recruited, with a final sample of 187 (62.1%). To meet the inclusion criteria women had to be between the ages of 18 and 35, daily cigarette smokers and provide a breath sample to confirm smoking status. PRIMARY AND SECONDARY OUTCOME MEASURES Pack perceptions and feelings, feelings about smoking, salience and perceptions of health warnings and avoidant and cessation behaviours. RESULTS In comparison to fully branded packaging, plain packaging was associated with more negative perceptions and feelings about the pack and about smoking (p&lt;0.001). No significant overall differences in salience, seriousness or believability of health warnings were found between the pack types, but participants reported looking more closely at the warnings on plain packs and also thinking more about what the warnings were telling them (p&lt;0.001). Participants reported being more likely to engage in avoidant behaviours, such as hiding or covering the pack (p&lt;0.001), and cessation behaviours, such as foregoing cigarettes (p&lt;0.05), smoking less around others (p&lt;0.001), thinking about quitting (p&lt;0.001) and reduced consumption (p&lt;0.05), while using the plain packs. Results did not differ by dependence level or socioeconomic status. CONCLUSIONS No research design can capture the true impacts of plain packaging prior to its introduction, but this study suggests that plain packaging may help reduce cigarette consumption and encourage cessation in the short term.", "author" : [ { "dropping-particle" : "", "family" : "Moodie", "given" : "C.", "non-dropping-particle" : "", "parse-names" : false, "suffix" : "" }, { "dropping-particle" : "", "family" : "Mackintosh", "given" : "A. M.", "non-dropping-particle" : "", "parse-names" : false, "suffix" : "" } ], "container-title" : "BMJ open", "id" : "ITEM-4", "issue" : "3", "issued" : { "date-parts" : [ [ "2013", "3", "18" ] ] }, "page" : "e002402", "publisher" : "British Medical Journal Publishing Group", "title" : "Young adult women smokers' response to using plain cigarette packaging: a naturalistic approach.", "type" : "article-journal", "volume" : "3" }, "uris" : [ "http://www.mendeley.com/documents/?uuid=64c2dd8d-89f7-4e61-a7c3-375dbec52354" ] } ], "mendeley" : { "formattedCitation" : "(Hammond, Daniel, &amp; White, 2013; Hammond &amp; Parkinson, 2009; Moodie &amp; Mackintosh, 2013; Moodie, Mackintosh, Hastings, &amp; Ford, 2011)", "plainTextFormattedCitation" : "(Hammond, Daniel, &amp; White, 2013; Hammond &amp; Parkinson, 2009; Moodie &amp; Mackintosh, 2013; Moodie, Mackintosh, Hastings, &amp; Ford, 2011)", "previouslyFormattedCitation" : "(Hammond, Daniel, &amp; White, 2013; Hammond &amp; Parkinson, 2009; Moodie &amp; Mackintosh, 2013; Moodie, Mackintosh, Hastings, &amp; Ford, 2011)"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(Hammond, Daniel, &amp; White, 2013; Hammond &amp; Parkinson, 2009; Moodie &amp; Mackintosh, 2013; Moodie, Mackintosh, Hastings, &amp; Ford, 2011)</w:t>
      </w:r>
      <w:r>
        <w:rPr>
          <w:rFonts w:ascii="Times New Roman" w:hAnsi="Times New Roman" w:cs="Times New Roman"/>
          <w:sz w:val="24"/>
          <w:szCs w:val="24"/>
        </w:rPr>
        <w:fldChar w:fldCharType="end"/>
      </w:r>
      <w:r>
        <w:rPr>
          <w:rFonts w:ascii="Times New Roman" w:hAnsi="Times New Roman" w:cs="Times New Roman"/>
          <w:sz w:val="24"/>
          <w:szCs w:val="24"/>
        </w:rPr>
        <w:t xml:space="preserve">, and restricting use of the pack as a form of advertising and promotion, while at the same time increasing the size of the health warnings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"10.1111/j.1360-0443.2012.04028.x", "ISSN" : "09652140", "author" : [ { "dropping-particle" : "", "family" : "Maynard", "given" : "Olivia M.", "non-dropping-particle" : "", "parse-names" : false, "suffix" : "" }, { "dropping-particle" : "", "family" : "Munaf\u00f2", "given" : "Marcus R.", "non-dropping-particle" : "", "parse-names" : false, "suffix" : "" }, { "dropping-particle" : "", "family" : "Leonards", "given" : "Ute", "non-dropping-particle" : "", "parse-names" : false, "suffix" : "" } ], "container-title" : "Addiction", "id" : "ITEM-1", "issue" : "2", "issued" : { "date-parts" : [ [ "2013", "2" ] ] }, "page" : "413-419", "title" : "Visual attention to health warnings on plain tobacco packaging in adolescent smokers and non-smokers", "type" : "article-journal", "volume" : "108" }, "uris" : [ "http://www.mendeley.com/documents/?uuid=4a20fe33-a218-3cae-bcde-981c8315a804" ] }, { "id" : "ITEM-2", "itemData" : { "author" : [ { "dropping-particle" : "", "family" : "Moodie", "given" : "C.", "non-dropping-particle" : "", "parse-names" : false, "suffix" : "" }, { "dropping-particle" : "", "family" : "Stead", "given" : "M.", "non-dropping-particle" : "", "parse-names" : false, "suffix" : "" }, { "dropping-particle" : "", "family" : "Bauld", "given" : "L.", "non-dropping-particle" : "", "parse-names" : false, "suffix" : "" }, { "dropping-particle" : "", "family" : "McNeill", "given" : "A.", "non-dropping-particle" : "", "parse-names" : false, "suffix" : "" }, { "dropping-particle" : "", "family" : "Angus", "given" : "K.", "non-dropping-particle" : "", "parse-names" : false, "suffix" : "" }, { "dropping-particle" : "", "family" : "Hinds", "given" : "K.", "non-dropping-particle" : "", "parse-names" : false, "suffix" : "" }, { "dropping-particle" : "", "family" : "Kwan", "given" : "I.", "non-dropping-particle" : "", "parse-names" : false, "suffix" : "" }, { "dropping-particle" : "", "family" : "Thomas", "given" : "J.", "non-dropping-particle" : "", "parse-names" : false, "suffix" : "" }, { "dropping-particle" : "", "family" : "Hastings", "given" : "G.", "non-dropping-particle" : "", "parse-names" : false, "suffix" : "" }, { "dropping-particle" : "", "family" : "O\u2019Mara-Eves", "given" : "A.", "non-dropping-particle" : "", "parse-names" : false, "suffix" : "" } ], "id" : "ITEM-2", "issued" : { "date-parts" : [ [ "2012" ] ] }, "publisher-place" : "London", "title" : "Plain Tobacco Packaging: A Systematic Review", "type" : "report" }, "uris" : [ "http://www.mendeley.com/documents/?uuid=a42b9c28-d5fe-3142-ae3f-96e7285f5a6d" ] }, { "id" : "ITEM-3", "itemData" : { "DOI" : "10.1111/j.1360-0443.2011.03430.x", "ISSN" : "09652140", "author" : [ { "dropping-particle" : "", "family" : "Munaf\u00f2", "given" : "Marcus R.", "non-dropping-particle" : "", "parse-names" : false, "suffix" : "" }, { "dropping-particle" : "", "family" : "Roberts", "given" : "Nicole", "non-dropping-particle" : "", "parse-names" : false, "suffix" : "" }, { "dropping-particle" : "", "family" : "Bauld", "given" : "Linda", "non-dropping-particle" : "", "parse-names" : false, "suffix" : "" }, { "dropping-particle" : "", "family" : "Leonards", "given" : "Ute", "non-dropping-particle" : "", "parse-names" : false, "suffix" : "" } ], "container-title" : "Addiction", "id" : "ITEM-3", "issue" : "8", "issued" : { "date-parts" : [ [ "2011", "8" ] ] }, "page" : "1505-1510", "publisher" : "Blackwell Publishing Ltd", "title" : "Plain packaging increases visual attention to health warnings on cigarette packs in non-smokers and weekly smokers but not daily smokers", "type" : "article-journal", "volume" : "106" }, "uris" : [ "http://www.mendeley.com/documents/?uuid=5d2c6c2d-a2ac-387b-a60b-da97e0b12ab3" ] } ], "mendeley" : { "formattedCitation" : "(Maynard, Munaf\u00f2, &amp; Leonards, 2013; Moodie et al., 2012; Munaf\u00f2, Roberts, Bauld, &amp; Leonards, 2011)", "plainTextFormattedCitation" : "(Maynard, Munaf\u00f2, &amp; Leonards, 2013; Moodie et al., 2012; Munaf\u00f2, Roberts, Bauld, &amp; Leonards, 2011)", "previouslyFormattedCitation" : "(Maynard, Munaf\u00f2, &amp; Leonards, 2013; Moodie et al., 2012; Munaf\u00f2, Roberts, Bauld, &amp; Leonards, 2011)"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(Maynard, Munafò, &amp; Leonards, 2013; Moodie et al., 2012; Munafò, Roberts, Bauld, &amp; Leonards, 2011)</w:t>
      </w:r>
      <w:r>
        <w:rPr>
          <w:rFonts w:ascii="Times New Roman" w:hAnsi="Times New Roman" w:cs="Times New Roman"/>
          <w:sz w:val="24"/>
          <w:szCs w:val="24"/>
        </w:rPr>
        <w:fldChar w:fldCharType="end"/>
      </w:r>
      <w:r>
        <w:rPr>
          <w:rFonts w:ascii="Times New Roman" w:hAnsi="Times New Roman" w:cs="Times New Roman"/>
          <w:sz w:val="24"/>
          <w:szCs w:val="24"/>
        </w:rPr>
        <w:t xml:space="preserve">. A large review of 37 studies concluded that plain packaging was rated as less attractive and contained poorer quality products than branded packaging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"WHO", "given" : "", "non-dropping-particle" : "", "parse-names" : false, "suffix" : "" } ], "id" : "ITEM-1", "issued" : { "date-parts" : [ [ "2017" ] ] }, "title" : "Plain packaging of tobacco products: evidence, design and implementation", "type" : "report" }, "uris" : [ "http://www.mendeley.com/documents/?uuid=bd736789-151e-30bf-b4da-77d52a912fc3" ] } ], "mendeley" : { "formattedCitation" : "(WHO, 2017b)", "plainTextFormattedCitation" : "(WHO, 2017b)", "previouslyFormattedCitation" : "(WHO, 2017b)"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(WHO, 2017b)</w:t>
      </w:r>
      <w:r>
        <w:rPr>
          <w:rFonts w:ascii="Times New Roman" w:hAnsi="Times New Roman" w:cs="Times New Roman"/>
          <w:sz w:val="24"/>
          <w:szCs w:val="24"/>
        </w:rPr>
        <w:fldChar w:fldCharType="end"/>
      </w:r>
      <w:r>
        <w:rPr>
          <w:rFonts w:ascii="Times New Roman" w:hAnsi="Times New Roman" w:cs="Times New Roman"/>
          <w:sz w:val="24"/>
          <w:szCs w:val="24"/>
        </w:rPr>
        <w:t xml:space="preserve">; though this did not indicate the impact on tobacco consumption.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Empirical work looking at the impact of health warnings on tobacco consumption is still in its infancy, but the findings are promising, and suggest that they indeed reduce acute craving, and are often associated with more negative perceptions of smoking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"10.1080/08870446.2014.896915", "ISSN" : "0887-0446", "PMID" : "24559249", "abstract" : "OBJECTIVE To assess whether standardised packs of the form introduced in Australia are associated with a reduction in acute craving and/or an increase in motivation to stop, and to replicate previous findings on perceptions of packaging, perceptions of smokers using it and perceived effects on behaviour. DESIGN Following abstinence of at least 12 h, 98 regular and occasional smokers were randomised to exposure to their own cigarette package, another branded package or a standardised package. MAIN OUTCOME MEASURES Craving (QSU-brief), motivation to stop, both at baseline and post-exposure. Ratings of 10 attributes concerning package design, perceived smoker characteristics and effects on behaviour, post-exposure only. RESULTS For craving, a mixed model ANCOVA showed a significant interaction of packaging and time of measurement (F(2,94)\u2009= 8.77, p &lt; .001, partial \u03b7(2)\u2009=\u2009.16). There was no significant main effect or interaction for motivation to stop smoking (p = .9). The standardised pack was perceived to be significantly less appealing and less motivating to buy cigarettes, smokers using them were perceived as less popular and cigarettes from them expected to taste worse. CONCLUSION Standardised cigarette packaging may reduce acute (hedonic) craving and is associated with more negative perceptions than branded packaging with less prominent health warnings.", "author" : [ { "dropping-particle" : "", "family" : "Brose", "given" : "Leonie S.", "non-dropping-particle" : "", "parse-names" : false, "suffix" : "" }, { "dropping-particle" : "", "family" : "Chong", "given" : "Chwen B.", "non-dropping-particle" : "", "parse-names" : false, "suffix" : "" }, { "dropping-particle" : "", "family" : "Aspinall", "given" : "Emily", "non-dropping-particle" : "", "parse-names" : false, "suffix" : "" }, { "dropping-particle" : "", "family" : "Michie", "given" : "Susan", "non-dropping-particle" : "", "parse-names" : false, "suffix" : "" }, { "dropping-particle" : "", "family" : "McEwen", "given" : "Andy", "non-dropping-particle" : "", "parse-names" : false, "suffix" : "" } ], "container-title" : "Psychology &amp; Health", "id" : "ITEM-1", "issue" : "7", "issued" : { "date-parts" : [ [ "2014", "7", "3" ] ] }, "page" : "849-860", "title" : "Effects of standardised cigarette packaging on craving, motivation to stop and perceptions of cigarettes and packs", "type" : "article-journal", "volume" : "29" }, "uris" : [ "http://www.mendeley.com/documents/?uuid=7a544082-09d5-457f-a9f4-1997ba7880d9" ] } ], "mendeley" : { "formattedCitation" : "(Brose, Chong, Aspinall, Michie, &amp; McEwen, 2014)", "plainTextFormattedCitation" : "(Brose, Chong, Aspinall, Michie, &amp; McEwen, 2014)", "previouslyFormattedCitation" : "(Brose, Chong, Aspinall, Michie, &amp; McEwen, 2014)"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(Brose, Chong, Aspinall, Michie, &amp; McEwen, 2014)</w:t>
      </w:r>
      <w:r>
        <w:rPr>
          <w:rFonts w:ascii="Times New Roman" w:hAnsi="Times New Roman" w:cs="Times New Roman"/>
          <w:sz w:val="24"/>
          <w:szCs w:val="24"/>
        </w:rPr>
        <w:fldChar w:fldCharType="end"/>
      </w:r>
      <w:r>
        <w:rPr>
          <w:rFonts w:ascii="Times New Roman" w:hAnsi="Times New Roman" w:cs="Times New Roman"/>
          <w:sz w:val="24"/>
          <w:szCs w:val="24"/>
        </w:rPr>
        <w:t xml:space="preserve">. In the short term, plain packaging has been shown to encourage cessation for up to 2 weeks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"10.1136/bmjopen-2012-002402", "ISSN" : "2044-6055", "PMID" : "23512839", "abstract" : "OBJECTIVES To explore young adult women smokers' cognitive and emotional response to using dark brown 'plain' cigarette packs in natural settings and whether plain packaging is associated with any short-term change in smoking behaviour. DESIGN A naturalistic approach. Participants used plain cigarette packs provided to them for 1 week and for 1 week their own fully branded packs, but otherwise smoked and socialised as normal. Participants completed questionnaires twice a week. SETTING The six most populated cities and towns in Scotland. PARTICIPANTS 301 young women smokers were recruited, with a final sample of 187 (62.1%). To meet the inclusion criteria women had to be between the ages of 18 and 35, daily cigarette smokers and provide a breath sample to confirm smoking status. PRIMARY AND SECONDARY OUTCOME MEASURES Pack perceptions and feelings, feelings about smoking, salience and perceptions of health warnings and avoidant and cessation behaviours. RESULTS In comparison to fully branded packaging, plain packaging was associated with more negative perceptions and feelings about the pack and about smoking (p&lt;0.001). No significant overall differences in salience, seriousness or believability of health warnings were found between the pack types, but participants reported looking more closely at the warnings on plain packs and also thinking more about what the warnings were telling them (p&lt;0.001). Participants reported being more likely to engage in avoidant behaviours, such as hiding or covering the pack (p&lt;0.001), and cessation behaviours, such as foregoing cigarettes (p&lt;0.05), smoking less around others (p&lt;0.001), thinking about quitting (p&lt;0.001) and reduced consumption (p&lt;0.05), while using the plain packs. Results did not differ by dependence level or socioeconomic status. CONCLUSIONS No research design can capture the true impacts of plain packaging prior to its introduction, but this study suggests that plain packaging may help reduce cigarette consumption and encourage cessation in the short term.", "author" : [ { "dropping-particle" : "", "family" : "Moodie", "given" : "C.", "non-dropping-particle" : "", "parse-names" : false, "suffix" : "" }, { "dropping-particle" : "", "family" : "Mackintosh", "given" : "A. M.", "non-dropping-particle" : "", "parse-names" : false, "suffix" : "" } ], "container-title" : "BMJ open", "id" : "ITEM-1", "issue" : "3", "issued" : { "date-parts" : [ [ "2013", "3", "18" ] ] }, "page" : "e002402", "publisher" : "British Medical Journal Publishing Group", "title" : "Young adult women smokers' response to using plain cigarette packaging: a naturalistic approach.", "type" : "article-journal", "volume" : "3" }, "uris" : [ "http://www.mendeley.com/documents/?uuid=64c2dd8d-89f7-4e61-a7c3-375dbec52354" ] } ], "mendeley" : { "formattedCitation" : "(Moodie &amp; Mackintosh, 2013)", "plainTextFormattedCitation" : "(Moodie &amp; Mackintosh, 2013)", "previouslyFormattedCitation" : "(Moodie &amp; Mackintosh, 2013)"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(Moodie &amp; Mackintosh, 2013)</w:t>
      </w:r>
      <w:r>
        <w:rPr>
          <w:rFonts w:ascii="Times New Roman" w:hAnsi="Times New Roman" w:cs="Times New Roman"/>
          <w:sz w:val="24"/>
          <w:szCs w:val="24"/>
        </w:rPr>
        <w:fldChar w:fldCharType="end"/>
      </w:r>
      <w:r>
        <w:rPr>
          <w:rFonts w:ascii="Times New Roman" w:hAnsi="Times New Roman" w:cs="Times New Roman"/>
          <w:sz w:val="24"/>
          <w:szCs w:val="24"/>
        </w:rPr>
        <w:t xml:space="preserve">. In the medium and long term, there is evidence to suggest that plain packaging decreased tobacco consumption 6 months post-intervention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"10.1136/bmjopen-2014-005836", "ISSN" : "2044-6055", "PMID" : "25524542", "abstract" : "OBJECTIVES To investigate the impact of Australia's plain tobacco packaging policy on two stated purposes of the legislation--increasing the impact of health warnings and decreasing the promotional appeal of packaging--among adult smokers. DESIGN Serial cross-sectional study with weekly telephone surveys (April 2006-May 2013). Interrupted time-series analyses using ARIMA modelling and linear regression models were used to investigate intervention effects. PARTICIPANTS 15,745 adult smokers (aged 18\u2005years and above) in New South Wales (NSW), Australia. Random selection of participants involved recruiting households using random digit dialling and selecting the nth oldest smoker for interview. INTERVENTION The introduction of the legislation on 1 October 2012. OUTCOMES Salience of tobacco pack health warnings, cognitive and emotional responses to warnings, avoidance of warnings, perceptions regarding one's cigarette pack. RESULTS Adjusting for background trends, seasonality, antismoking advertising activity and cigarette costliness, results from ARIMA modelling showed that, 2-3\u2005months after the introduction of the new packs, there was a significant increase in the absolute proportion of smokers having strong cognitive (9.8% increase, p=0.005), emotional (8.6% increase, p=0.01) and avoidant (9.8% increase, p=0.0005) responses to on-pack health warnings. Similarly, there was a significant increase in the proportion of smokers strongly disagreeing that the look of their cigarette pack is attractive (57.5% increase, p&lt;0.0001), says something good about them (54.5% increase, p&lt;0.0001), influences the brand they buy (40.6% increase, p&lt;0.0001), makes their pack stand out (55.6% increase, p&lt;0.0001), is fashionable (44.7% increase, p&lt;0.0001) and matches their style (48.1% increase, p&lt;0.0001). Changes in these outcomes were maintained 6\u2005months postintervention. CONCLUSIONS The introductory effects of the plain packaging legislation among adult smokers are consistent with the specific objectives of the legislation in regard to reducing promotional appeal and increasing effectiveness of health warnings.", "author" : [ { "dropping-particle" : "", "family" : "Dunlop", "given" : "Sally M", "non-dropping-particle" : "", "parse-names" : false, "suffix" : "" }, { "dropping-particle" : "", "family" : "Dobbins", "given" : "Timothy", "non-dropping-particle" : "", "parse-names" : false, "suffix" : "" }, { "dropping-particle" : "", "family" : "Young", "given" : "Jane M", "non-dropping-particle" : "", "parse-names" : false, "suffix" : "" }, { "dropping-particle" : "", "family" : "Perez", "given" : "Donna", "non-dropping-particle" : "", "parse-names" : false, "suffix" : "" }, { "dropping-particle" : "", "family" : "Currow", "given" : "David C", "non-dropping-particle" : "", "parse-names" : false, "suffix" : "" } ], "container-title" : "BMJ open", "id" : "ITEM-1", "issue" : "12", "issued" : { "date-parts" : [ [ "2014", "12", "18" ] ] }, "page" : "e005836", "publisher" : "British Medical Journal Publishing Group", "title" : "Impact of Australia's introduction of tobacco plain packs on adult smokers' pack-related perceptions and responses: results from a continuous tracking survey.", "type" : "article-journal", "volume" : "4" }, "uris" : [ "http://www.mendeley.com/documents/?uuid=df5f5dfc-b41a-4f7f-98ab-37cf950e2fe9" ] } ], "mendeley" : { "formattedCitation" : "(Dunlop, Dobbins, Young, Perez, &amp; Currow, 2014)", "plainTextFormattedCitation" : "(Dunlop, Dobbins, Young, Perez, &amp; Currow, 2014)", "previouslyFormattedCitation" : "(Dunlop, Dobbins, Young, Perez, &amp; Currow, 2014)"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(Dunlop, Dobbins, Young, Perez, &amp; Currow, 2014)</w:t>
      </w:r>
      <w:r>
        <w:rPr>
          <w:rFonts w:ascii="Times New Roman" w:hAnsi="Times New Roman" w:cs="Times New Roman"/>
          <w:sz w:val="24"/>
          <w:szCs w:val="24"/>
        </w:rPr>
        <w:fldChar w:fldCharType="end"/>
      </w:r>
      <w:r>
        <w:rPr>
          <w:rFonts w:ascii="Times New Roman" w:hAnsi="Times New Roman" w:cs="Times New Roman"/>
          <w:sz w:val="24"/>
          <w:szCs w:val="24"/>
        </w:rPr>
        <w:t xml:space="preserve">, as well as 12 months post-intervention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"10.1136/tobaccocontrol-2014-052050", "author" : [ { "dropping-particle" : "", "family" : "Wakefield", "given" : "Melanie", "non-dropping-particle" : "", "parse-names" : false, "suffix" : "" }, { "dropping-particle" : "", "family" : "Coomber", "given" : "Kerri", "non-dropping-particle" : "", "parse-names" : false, "suffix" : "" }, { "dropping-particle" : "", "family" : "Zacher", "given" : "Meghan", "non-dropping-particle" : "", "parse-names" : false, "suffix" : "" }, { "dropping-particle" : "", "family" : "Durkin", "given" : "Sarah", "non-dropping-particle" : "", "parse-names" : false, "suffix" : "" }, { "dropping-particle" : "", "family" : "Brennan", "given" : "Emily", "non-dropping-particle" : "", "parse-names" : false, "suffix" : "" }, { "dropping-particle" : "", "family" : "Scollo", "given" : "Michelle", "non-dropping-particle" : "", "parse-names" : false, "suffix" : "" } ], "container-title" : "Tobacco Control", "id" : "ITEM-1", "issue" : "Suppl 2", "issued" : { "date-parts" : [ [ "2015", "4" ] ] }, "page" : "ii17-ii25", "title" : "Australian adult smokers\u2019 responses to plain packaging with larger graphic health warnings 1 year after implementation: results from a national cross-sectional tracking survey", "type" : "article-journal", "volume" : "24" }, "uris" : [ "http://www.mendeley.com/documents/?uuid=6c7b09ee-99a3-4a74-a4ca-f4af2e3ed423" ] } ], "mendeley" : { "formattedCitation" : "(Wakefield et al., 2015)", "plainTextFormattedCitation" : "(Wakefield et al., 2015)", "previouslyFormattedCitation" : "(Wakefield et al., 2015)"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(Wakefield et al., 2015)</w:t>
      </w:r>
      <w:r>
        <w:rPr>
          <w:rFonts w:ascii="Times New Roman" w:hAnsi="Times New Roman" w:cs="Times New Roman"/>
          <w:sz w:val="24"/>
          <w:szCs w:val="24"/>
        </w:rPr>
        <w:fldChar w:fldCharType="end"/>
      </w:r>
      <w:r>
        <w:rPr>
          <w:rFonts w:ascii="Times New Roman" w:hAnsi="Times New Roman" w:cs="Times New Roman"/>
          <w:sz w:val="24"/>
          <w:szCs w:val="24"/>
        </w:rPr>
        <w:t xml:space="preserve">. Meanwhile, Australia, being the first WHO member to implement standardize packaging, has also seen a statistically significant decline in smoking prevalence as a result of this Type 2 nudge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"Australian Government - Department of Health", "given" : "", "non-dropping-particle" : "", "parse-names" : false, "suffix" : "" } ], "id" : "ITEM-1", "issued" : { "date-parts" : [ [ "2016" ] ] }, "title" : "Post-Implementation Review Tobacco Plain Packaging 2016", "type" : "report" }, "uris" : [ "http://www.mendeley.com/documents/?uuid=94364c83-f582-343a-8219-41c76c8074bd" ] } ], "mendeley" : { "formattedCitation" : "(Australian Government - Department of Health, 2016)", "plainTextFormattedCitation" : "(Australian Government - Department of Health, 2016)", "previouslyFormattedCitation" : "(Australian Government - Department of Health, 2016)"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(Australian Government - Department of Health, 2016)</w:t>
      </w:r>
      <w:r>
        <w:rPr>
          <w:rFonts w:ascii="Times New Roman" w:hAnsi="Times New Roman" w:cs="Times New Roman"/>
          <w:sz w:val="24"/>
          <w:szCs w:val="24"/>
        </w:rPr>
        <w:fldChar w:fldCharType="end"/>
      </w:r>
      <w:r>
        <w:rPr>
          <w:rFonts w:ascii="Times New Roman" w:hAnsi="Times New Roman" w:cs="Times New Roman"/>
          <w:sz w:val="24"/>
          <w:szCs w:val="24"/>
        </w:rPr>
        <w:t>.</w:t>
      </w:r>
    </w:p>
    <w:p>
      <w:pPr>
        <w:spacing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Empirical Issues Concerning Nudge</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lastRenderedPageBreak/>
        <w:t>Having examined the available evidence of both Type 1 and Type 2 nudges, we will evaluate the methodological issues concerning the implementation of nudges designed to promote health behaviors. As with any intervention designed to improve behavior, the most reliable way to confidently make casual inferences about a manipulation and its possible effect is to compare it against a control condition (randomized control trials RCTs). However, RCTs are hard to introduce in field work, and so this, along with other factors, limit the ability to draw firm conclusions as to the effectiveness of nudges. Beyond this, below we raise two further key points that we consider need addressing in future empirical research on nudge.</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b/>
          <w:sz w:val="24"/>
          <w:szCs w:val="24"/>
        </w:rPr>
        <w:t>Internal reliability of experiments examining nudges.</w:t>
      </w:r>
      <w:r>
        <w:rPr>
          <w:rFonts w:ascii="Times New Roman" w:hAnsi="Times New Roman" w:cs="Times New Roman"/>
          <w:sz w:val="24"/>
          <w:szCs w:val="24"/>
        </w:rPr>
        <w:t xml:space="preserve"> Internal reliability refers to the extent to which a measure is consistent within itself – namely it generates the same behavior each time it is used within the same context. The Type 1 nudges reviewed above suggest that overall the evidence-base is mixed, and that the replicability of positive nudge interventions is hard to establish. This raises questions about what the reasons are for when Type 1 nudges do work, and why the effects are hard to replicate.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"Loewenstein", "given" : "G.", "non-dropping-particle" : "", "parse-names" : false, "suffix" : "" }, { "dropping-particle" : "", "family" : "Bryce", "given" : "C.", "non-dropping-particle" : "", "parse-names" : false, "suffix" : "" }, { "dropping-particle" : "", "family" : "Hagmann", "given" : "D.", "non-dropping-particle" : "", "parse-names" : false, "suffix" : "" }, { "dropping-particle" : "", "family" : "Rajpal", "given" : "S.", "non-dropping-particle" : "", "parse-names" : false, "suffix" : "" } ], "container-title" : "Behavioral Science &amp; Policy", "id" : "ITEM-1", "issue" : "1", "issued" : { "date-parts" : [ [ "2015" ] ] }, "page" : "35-42", "title" : "Warning: You are about to be nudged", "type" : "article-journal", "volume" : "1" }, "uris" : [ "http://www.mendeley.com/documents/?uuid=e9f66e1c-5fd8-44a7-8dc4-d492dfa00e36" ] } ], "mendeley" : { "formattedCitation" : "(Loewenstein, Bryce, Hagmann, &amp; Rajpal, 2015)", "manualFormatting" : "Loewenstein, Bryce, Hagmann, &amp; Rajpal (2015)", "plainTextFormattedCitation" : "(Loewenstein, Bryce, Hagmann, &amp; Rajpal, 2015)", "previouslyFormattedCitation" : "(Loewenstein, Bryce, Hagmann, &amp; Rajpal, 2015)"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Loewenstein, Bryce, Hagmann, &amp; Rajpal (2015)</w:t>
      </w:r>
      <w:r>
        <w:rPr>
          <w:rFonts w:ascii="Times New Roman" w:hAnsi="Times New Roman" w:cs="Times New Roman"/>
          <w:sz w:val="24"/>
          <w:szCs w:val="24"/>
        </w:rPr>
        <w:fldChar w:fldCharType="end"/>
      </w:r>
      <w:r>
        <w:rPr>
          <w:rFonts w:ascii="Times New Roman" w:hAnsi="Times New Roman" w:cs="Times New Roman"/>
          <w:sz w:val="24"/>
          <w:szCs w:val="24"/>
        </w:rPr>
        <w:t xml:space="preserve"> have speculated that the limited effectiveness of Type 1 nudges results from peoples lack of deep insight into how the nudge is designed to influence their behavior.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"10.1136/medethics-2012-101109", "ISSN" : "1473-4257", "PMID" : "23455009", "author" : [ { "dropping-particle" : "", "family" : "Ashcroft", "given" : "Richard E.", "non-dropping-particle" : "", "parse-names" : false, "suffix" : "" } ], "container-title" : "Journal of medical ethics", "id" : "ITEM-1", "issue" : "8", "issued" : { "date-parts" : [ [ "2013", "8" ] ] }, "page" : "494", "title" : "Doing good by stealth: comments on 'Salvaging the concept of nudge'.", "type" : "article-journal", "volume" : "39" }, "uris" : [ "http://www.mendeley.com/documents/?uuid=a3f77944-1c1b-4506-ab29-7d9b34117e1a" ] } ], "mendeley" : { "formattedCitation" : "(Ashcroft, 2013)", "manualFormatting" : "Ashcroft (2013)", "plainTextFormattedCitation" : "(Ashcroft, 2013)", "previouslyFormattedCitation" : "(Ashcroft, 2013)"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Ashcroft (2013)</w:t>
      </w:r>
      <w:r>
        <w:rPr>
          <w:rFonts w:ascii="Times New Roman" w:hAnsi="Times New Roman" w:cs="Times New Roman"/>
          <w:sz w:val="24"/>
          <w:szCs w:val="24"/>
        </w:rPr>
        <w:fldChar w:fldCharType="end"/>
      </w:r>
      <w:r>
        <w:rPr>
          <w:rFonts w:ascii="Times New Roman" w:hAnsi="Times New Roman" w:cs="Times New Roman"/>
          <w:sz w:val="24"/>
          <w:szCs w:val="24"/>
        </w:rPr>
        <w:t xml:space="preserve"> has proposed that the effectiveness of both Type 1 and 2 nudges in general may depend on the various heterogeneous motivations/value systems people have with regards to changing their behavior in line with a healthier lifestyle. In addition, the fact that nudges are highly context dependent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"10.1177/1356389015590218", "ISSN" : "1356-3890", "author" : [ { "dropping-particle" : "", "family" : "Kosters", "given" : "M.", "non-dropping-particle" : "", "parse-names" : false, "suffix" : "" }, { "dropping-particle" : "", "family" : "Heijden", "given" : "J.", "non-dropping-particle" : "Van der", "parse-names" : false, "suffix" : "" } ], "container-title" : "Evaluation", "id" : "ITEM-1", "issue" : "3", "issued" : { "date-parts" : [ [ "2015", "7", "7" ] ] }, "page" : "276-291", "title" : "From mechanism to virtue: Evaluating Nudge theory", "type" : "article-journal", "volume" : "21" }, "uris" : [ "http://www.mendeley.com/documents/?uuid=94cd4eb8-5a1c-463e-bc6c-ca8de049ebfa" ] } ], "mendeley" : { "formattedCitation" : "(Kosters &amp; Van der Heijden, 2015)", "plainTextFormattedCitation" : "(Kosters &amp; Van der Heijden, 2015)", "previouslyFormattedCitation" : "(Kosters &amp; Van der Heijden, 2015)"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(Kosters &amp; Van der Heijden, 2015)</w:t>
      </w:r>
      <w:r>
        <w:rPr>
          <w:rFonts w:ascii="Times New Roman" w:hAnsi="Times New Roman" w:cs="Times New Roman"/>
          <w:sz w:val="24"/>
          <w:szCs w:val="24"/>
        </w:rPr>
        <w:fldChar w:fldCharType="end"/>
      </w:r>
      <w:r>
        <w:rPr>
          <w:rFonts w:ascii="Times New Roman" w:hAnsi="Times New Roman" w:cs="Times New Roman"/>
          <w:sz w:val="24"/>
          <w:szCs w:val="24"/>
        </w:rPr>
        <w:t xml:space="preserve">, means that some Type 1 nudges are less likely to work in some contexts rather than others, and a clearer understanding of the context in which they are implemented is also needed. Thus, a critical step in devising research programs around nudging in health domains is to establish the internal reliability of nudges over time at an epidemiological level, but also at the individual level. However, the research practices so far have yet to adopt methodological techniques that tackle any of these issues in depth (i.e. </w:t>
      </w:r>
      <w:r>
        <w:rPr>
          <w:rFonts w:ascii="Times New Roman" w:hAnsi="Times New Roman" w:cs="Times New Roman"/>
          <w:sz w:val="24"/>
          <w:szCs w:val="24"/>
        </w:rPr>
        <w:lastRenderedPageBreak/>
        <w:t xml:space="preserve">assessing motivation needs, levels of awareness of nudges, characterizing the contexts in which they are implemented) in order to better establish internal reliability.   </w:t>
      </w:r>
    </w:p>
    <w:p>
      <w:pPr>
        <w:spacing w:line="480" w:lineRule="auto"/>
        <w:ind w:firstLine="720"/>
        <w:contextualSpacing/>
        <w:jc w:val="both"/>
        <w:rPr>
          <w:rFonts w:ascii="Times New Roman" w:hAnsi="Times New Roman" w:cs="Times New Roman"/>
          <w:i/>
          <w:sz w:val="24"/>
          <w:szCs w:val="24"/>
        </w:rPr>
      </w:pPr>
      <w:r>
        <w:rPr>
          <w:rFonts w:ascii="Times New Roman" w:hAnsi="Times New Roman" w:cs="Times New Roman"/>
          <w:b/>
          <w:sz w:val="24"/>
          <w:szCs w:val="24"/>
        </w:rPr>
        <w:t>External reliability of experiments examining nudge</w:t>
      </w:r>
      <w:r>
        <w:rPr>
          <w:rFonts w:ascii="Times New Roman" w:hAnsi="Times New Roman" w:cs="Times New Roman"/>
          <w:i/>
          <w:sz w:val="24"/>
          <w:szCs w:val="24"/>
        </w:rPr>
        <w:t xml:space="preserve">. </w:t>
      </w:r>
      <w:r>
        <w:rPr>
          <w:rFonts w:ascii="Times New Roman" w:hAnsi="Times New Roman" w:cs="Times New Roman"/>
          <w:sz w:val="24"/>
          <w:szCs w:val="24"/>
        </w:rPr>
        <w:t xml:space="preserve">External reliability refers to the extent to which a measure varies from one use to another. With most nudge field experiments, the difficulty is in reproducing the same conditions in different contexts under which the original intervention was assessed. For instance, consider nudges designed to increase physical activity. The informational prompts have been used in various environmental settings such as libraries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"10.4278/0890-1171-13.5.257", "ISBN" : "0890-1171", "ISSN" : "0890-1171", "PMID" : "10538638", "abstract" : "Individuals using a university library were observed using stairs or elevators to travel up one to three floors. After a baseline assessment, a sign was posted by the elevator to discourage elevator use over a five-week period. A hierarchical log linear analysis indicated that stair use increased significantly after the intervention moderated by day of the week, sex, and age. The study suggests that point-of-decision prompts to deter sedentary activity may be effective.", "author" : [ { "dropping-particle" : "", "family" : "Russell", "given" : "William D.", "non-dropping-particle" : "", "parse-names" : false, "suffix" : "" }, { "dropping-particle" : "", "family" : "Dzewaltowski", "given" : "David A.", "non-dropping-particle" : "", "parse-names" : false, "suffix" : "" }, { "dropping-particle" : "", "family" : "Ryan", "given" : "Gregory J.", "non-dropping-particle" : "", "parse-names" : false, "suffix" : "" } ], "container-title" : "American Journal of Health Promotion", "id" : "ITEM-1", "issue" : "5", "issued" : { "date-parts" : [ [ "1999", "5" ] ] }, "page" : "257-259", "title" : "The Effectiveness of a Point-of-Decision Prompt in Deterring Sedentary Behavior", "type" : "article-journal", "volume" : "13" }, "uris" : [ "http://www.mendeley.com/documents/?uuid=3f6885b8-f8e5-4462-8afc-64eef6f0cc9a" ] } ], "mendeley" : { "formattedCitation" : "(Russell, Dzewaltowski, &amp; Ryan, 1999)", "plainTextFormattedCitation" : "(Russell, Dzewaltowski, &amp; Ryan, 1999)", "previouslyFormattedCitation" : "(Russell, Dzewaltowski, &amp; Ryan, 1999)"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(Russell, Dzewaltowski, &amp; Ryan, 1999)</w:t>
      </w:r>
      <w:r>
        <w:rPr>
          <w:rFonts w:ascii="Times New Roman" w:hAnsi="Times New Roman" w:cs="Times New Roman"/>
          <w:sz w:val="24"/>
          <w:szCs w:val="24"/>
        </w:rPr>
        <w:fldChar w:fldCharType="end"/>
      </w:r>
      <w:r>
        <w:rPr>
          <w:rFonts w:ascii="Times New Roman" w:hAnsi="Times New Roman" w:cs="Times New Roman"/>
          <w:sz w:val="24"/>
          <w:szCs w:val="24"/>
        </w:rPr>
        <w:t xml:space="preserve">, underground stations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"10.1136/bmj.311.7000.289", "ISSN" : "0959-8138", "PMID" : "7633234", "abstract" : "Avril Blamey, health promotion officera, Nanette Mutrie, senior lecturerb, Aitchison Tom, senior lecturercaGreater Glasgow Health Board, Glasgow G2 4JTb Institute of Biomedical and Life Sciences, University of GlasgowcDepartment of Statistics, University of Glasgow\\nCorrespondence to: Ms BlameyAccepted 13 May 1995The national fitness survey for England concluded: \u201cthe high prevalence of physical inactivity suggests that it may be even more important for public health than attention to cholesterol, arterial blood pressure or smoking.\u201d1 The prevalence and risk of inactivity in the United States led the American College of Sports Medicine to issue guidelines suggesting that sedentary adults should have at least 30 minutes of accumulated moderate physical activity on most days of the week.2 To achieve this target the members of the public should be encouraged to add activity into their daily routine at every opportunity.This study investigated whether Scottish commuters or shoppers would respond to an intervention consisting of motivational signs encouraging them to walk up stairs rather than take an escalator.\\nSubjects, methods, and results\\nSigns saying \u201cStay Healthy, Save Time, Use the Stairs\u201d were placed \u2026 \\n\\n\\n\\n", "author" : [ { "dropping-particle" : "", "family" : "Blamey", "given" : "A.", "non-dropping-particle" : "", "parse-names" : false, "suffix" : "" }, { "dropping-particle" : "", "family" : "Mutrie", "given" : "N.", "non-dropping-particle" : "", "parse-names" : false, "suffix" : "" }, { "dropping-particle" : "", "family" : "Aitchison", "given" : "T.", "non-dropping-particle" : "", "parse-names" : false, "suffix" : "" } ], "container-title" : "BMJ", "id" : "ITEM-1", "issue" : "7000", "issued" : { "date-parts" : [ [ "1995", "7", "29" ] ] }, "page" : "289-290", "title" : "Health promotion by encouraged use of stairs", "type" : "article-journal", "volume" : "311" }, "uris" : [ "http://www.mendeley.com/documents/?uuid=3a437814-58e6-4ec7-b5e1-3017c678d9b0" ] } ], "mendeley" : { "formattedCitation" : "(Blamey et al., 1995)", "plainTextFormattedCitation" : "(Blamey et al., 1995)", "previouslyFormattedCitation" : "(Blamey et al., 1995)"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(Blamey et al., 1995)</w:t>
      </w:r>
      <w:r>
        <w:rPr>
          <w:rFonts w:ascii="Times New Roman" w:hAnsi="Times New Roman" w:cs="Times New Roman"/>
          <w:sz w:val="24"/>
          <w:szCs w:val="24"/>
        </w:rPr>
        <w:fldChar w:fldCharType="end"/>
      </w:r>
      <w:r>
        <w:rPr>
          <w:rFonts w:ascii="Times New Roman" w:hAnsi="Times New Roman" w:cs="Times New Roman"/>
          <w:sz w:val="24"/>
          <w:szCs w:val="24"/>
        </w:rPr>
        <w:t xml:space="preserve">, and office buildings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"10.2105/AJPH.91.12.2007", "ISBN" : "0090-0036", "ISSN" : "0090-0036", "PMID" : "11726384", "abstract" : "OBJECTIVES: This study sought to determine whether a culturally relevant health message would promote stair use in a predominantly Hispanic community. METHODS: Observations of stair, elevator, and escalator use were collected over a 6-month period at 4 sites throughout the city of El Paso, Tex. The efficacy of individual and family health promotion signs was tested. RESULTS: Stair use increased in response to both individual and family promotion health messages, and use varied widely by intervention site. CONCLUSIONS: These results underscore the importance of considering the physical characteristics of the environments targeted for health promotion campaigns.", "author" : [ { "dropping-particle" : "", "family" : "Coleman", "given" : "Karen J.", "non-dropping-particle" : "", "parse-names" : false, "suffix" : "" }, { "dropping-particle" : "", "family" : "Gonzalez", "given" : "Eugenia C.", "non-dropping-particle" : "", "parse-names" : false, "suffix" : "" } ], "container-title" : "American Journal of Public Health", "id" : "ITEM-1", "issue" : "12", "issued" : { "date-parts" : [ [ "2001", "12" ] ] }, "page" : "2007-2009", "title" : "Promoting Stair Use in a US\u2013Mexico Border Community", "type" : "article-journal", "volume" : "91" }, "uris" : [ "http://www.mendeley.com/documents/?uuid=bf249ec5-19d8-453a-927b-79a1cc5b5109" ] } ], "mendeley" : { "formattedCitation" : "(Coleman &amp; Gonzalez, 2001)", "plainTextFormattedCitation" : "(Coleman &amp; Gonzalez, 2001)", "previouslyFormattedCitation" : "(Coleman &amp; Gonzalez, 2001)"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(Coleman &amp; Gonzalez, 2001)</w:t>
      </w:r>
      <w:r>
        <w:rPr>
          <w:rFonts w:ascii="Times New Roman" w:hAnsi="Times New Roman" w:cs="Times New Roman"/>
          <w:sz w:val="24"/>
          <w:szCs w:val="24"/>
        </w:rPr>
        <w:fldChar w:fldCharType="end"/>
      </w:r>
      <w:r>
        <w:rPr>
          <w:rFonts w:ascii="Times New Roman" w:hAnsi="Times New Roman" w:cs="Times New Roman"/>
          <w:sz w:val="24"/>
          <w:szCs w:val="24"/>
        </w:rPr>
        <w:t xml:space="preserve">. In meta-analytic reviews of these studies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"0003-4819 (Print)\\r0003-4819 (Linking)", "ISSN" : "0883-9212", "PMID" : "9735063", "abstract" : "BACKGROUND: The U.S. Surgeon General advocates the accumulation of moderate-intensity activity throughout the day to improve health. OBJECTIVES: To test the effectiveness of signs to encourage use of stairs instead of escalators. DESIGN: Community intervention. SETTING: Shopping center. PARTICIPANTS: 17901 shoppers. INTERVENTION: Signs promoting the health and weight-control benefits of stair use were placed beside escalators with adjacent stairs. MEASUREMENTS: The sex, age, race, weight classification, and use of stairs were observed. RESULTS: Overall, stair use increased from 4.8% to 6.9% and 7.2% with the health and weight-control signs, respectively. Younger persons increase their stair use from 4.6% to 6.0% with the health sign and 6.1% with the weight-control sign. Older persons almost doubled their stair use from 5.1% to 8.1% with the health sign and increased use to 8.7% with the weight-control sign. Differential use of stairs was observed between ethnic groups. Among white persons, stair use increased from 5.1% to 7.5 and 7.8% with the health sign and weight-control signs. Among black persons, stair use decreased from 4.1% to 3.4% with the health sign and increased to 5.0% with the weight-control sign. At baseline, lean persons used the stairs more often than overweight persons (5.4% and 3.8%, respectively). The health sign increased stair use to 7.2% among normal-weight persons and 6.3% among overweight persons; the weight-control sign prompted stair use to increase to 6.9% among persons of normal weight and to 7.6% among overweight persons. CONCLUSIONS: Simple, inexpensive interventions can increase physical activity. Research is needed to identify effective motivators to promote activity among black persons.", "author" : [ { "dropping-particle" : "", "family" : "Andersen", "given" : "R E", "non-dropping-particle" : "", "parse-names" : false, "suffix" : "" }, { "dropping-particle" : "", "family" : "Franckowiak", "given" : "S C", "non-dropping-particle" : "", "parse-names" : false, "suffix" : "" }, { "dropping-particle" : "", "family" : "Snyder", "given" : "J", "non-dropping-particle" : "", "parse-names" : false, "suffix" : "" }, { "dropping-particle" : "", "family" : "Bartlett", "given" : "S J", "non-dropping-particle" : "", "parse-names" : false, "suffix" : "" }, { "dropping-particle" : "", "family" : "Fontaine", "given" : "K R", "non-dropping-particle" : "", "parse-names" : false, "suffix" : "" } ], "container-title" : "Annals of Internal Medicine", "id" : "ITEM-1", "issue" : "5", "issued" : { "date-parts" : [ [ "1998", "1" ] ] }, "page" : "363-369", "title" : "Can Inexpensive Signs Encourage the Use of Stairs? Results From a Community Intervention", "type" : "article-journal", "volume" : "129" }, "uris" : [ "http://www.mendeley.com/documents/?uuid=f648e984-1a51-4260-af90-4aadfb0eddc3" ] }, { "id" : "ITEM-2", "itemData" : { "DOI" : "10.1136/bmj.311.7000.289", "ISSN" : "0959-8138", "PMID" : "7633234", "abstract" : "Avril Blamey, health promotion officera, Nanette Mutrie, senior lecturerb, Aitchison Tom, senior lecturercaGreater Glasgow Health Board, Glasgow G2 4JTb Institute of Biomedical and Life Sciences, University of GlasgowcDepartment of Statistics, University of Glasgow\\nCorrespondence to: Ms BlameyAccepted 13 May 1995The national fitness survey for England concluded: \u201cthe high prevalence of physical inactivity suggests that it may be even more important for public health than attention to cholesterol, arterial blood pressure or smoking.\u201d1 The prevalence and risk of inactivity in the United States led the American College of Sports Medicine to issue guidelines suggesting that sedentary adults should have at least 30 minutes of accumulated moderate physical activity on most days of the week.2 To achieve this target the members of the public should be encouraged to add activity into their daily routine at every opportunity.This study investigated whether Scottish commuters or shoppers would respond to an intervention consisting of motivational signs encouraging them to walk up stairs rather than take an escalator.\\nSubjects, methods, and results\\nSigns saying \u201cStay Healthy, Save Time, Use the Stairs\u201d were placed \u2026 \\n\\n\\n\\n", "author" : [ { "dropping-particle" : "", "family" : "Blamey", "given" : "A.", "non-dropping-particle" : "", "parse-names" : false, "suffix" : "" }, { "dropping-particle" : "", "family" : "Mutrie", "given" : "N.", "non-dropping-particle" : "", "parse-names" : false, "suffix" : "" }, { "dropping-particle" : "", "family" : "Aitchison", "given" : "T.", "non-dropping-particle" : "", "parse-names" : false, "suffix" : "" } ], "container-title" : "BMJ", "id" : "ITEM-2", "issue" : "7000", "issued" : { "date-parts" : [ [ "1995", "7", "29" ] ] }, "page" : "289-290", "title" : "Health promotion by encouraged use of stairs", "type" : "article-journal", "volume" : "311" }, "uris" : [ "http://www.mendeley.com/documents/?uuid=3a437814-58e6-4ec7-b5e1-3017c678d9b0" ] }, { "id" : "ITEM-3", "itemData" : { "ISBN" : "0002-953X", "ISSN" : "0002-953X", "PMID" : "7435710", "abstract" : "Using a new experimental paradigm to evaluate physical activity in the natural environment, the authors made of 45,694 observations of persons using stairs or an adjacent escalator at a shopping mall, train station, and bus terminal. In study 1, stair use more than doubled for both obese and nonobese persons during two-week periods when a colorful sign encouraging use of the stairs was positioned at the stairs/escalator choice point. In study 2, stair use remained elevated for 15 consecutive days while the sign was present, decreased during a 1-month follow-up period, and returned to baseline by 3 months. These results not only demonstrate the usefulness of this paradigm, but also suggest the strength of simple, inexpensive public health interventions to increase physical activity.", "author" : [ { "dropping-particle" : "", "family" : "Brownell", "given" : "K. D.", "non-dropping-particle" : "", "parse-names" : false, "suffix" : "" }, { "dropping-particle" : "", "family" : "Stunkard", "given" : "A. J.", "non-dropping-particle" : "", "parse-names" : false, "suffix" : "" }, { "dropping-particle" : "", "family" : "Albaum", "given" : "J. M.", "non-dropping-particle" : "", "parse-names" : false, "suffix" : "" } ], "container-title" : "The American journal of psychiatry", "id" : "ITEM-3", "issue" : "12", "issued" : { "date-parts" : [ [ "1980", "12" ] ] }, "page" : "1540-5", "title" : "Evaluation and modification of exercise patterns in the natural environment.", "type" : "article-journal", "volume" : "137" }, "uris" : [ "http://www.mendeley.com/documents/?uuid=205fa564-2cc4-4338-a03a-c9712d95a877" ] }, { "id" : "ITEM-4", "itemData" : { "DOI" : "10.1093/her/17.6.743", "ISBN" : "0268-1153", "ISSN" : "14653648", "PMID" : "12507349", "abstract" : "This study aimed to evaluate whether a stair-promoting signed intervention could increase the use of the stairs over the elevator in a health-care facility. A time-series design was conducted over 12 weeks. Data were collected before, during and after displaying a signed intervention during weeks 4-5 and 8-9. Evaluation included anonymous counts recorded by an objective unobtrusive motion-sensing device of people entering the elevator or the stairs. Self-report data on stair use by hospital staff were also collected. Stair use significantly increased after the first intervention phase (P = 0.02), but after the intervention was removed stair use decreased back towards baseline levels. Moreover, stair use did not significantly change after the re-introduction of the intervention. Lastly, stair use decreased below the initial baseline level during the final weeks of evaluation. Furthermore, there was no significant change in self-reported stair use by hospital staff. Therefore, the signed intervention aimed at promoting an increase in incidental physical activity produced small brief effects, which were not maintained. Further research is required to find more effective 'point of choice' interventions to increase incidental physical activity participation with more sustainable impact.", "author" : [ { "dropping-particle" : "", "family" : "Marshall", "given" : "A. L.", "non-dropping-particle" : "", "parse-names" : false, "suffix" : "" }, { "dropping-particle" : "", "family" : "Bauman", "given" : "A. E.", "non-dropping-particle" : "", "parse-names" : false, "suffix" : "" }, { "dropping-particle" : "", "family" : "Patch", "given" : "C.", "non-dropping-particle" : "", "parse-names" : false, "suffix" : "" }, { "dropping-particle" : "", "family" : "Wilson", "given" : "J.", "non-dropping-particle" : "", "parse-names" : false, "suffix" : "" }, { "dropping-particle" : "", "family" : "Chen", "given" : "J.", "non-dropping-particle" : "", "parse-names" : false, "suffix" : "" } ], "container-title" : "Health Education Research", "id" : "ITEM-4", "issue" : "6", "issued" : { "date-parts" : [ [ "2002", "12", "1" ] ] }, "page" : "743-749", "publisher" : "Oxford University Press", "title" : "Can motivational signs prompt increases in incidental physical activity in an Australian health-care facility?", "type" : "article-journal", "volume" : "17" }, "uris" : [ "http://www.mendeley.com/documents/?uuid=b84d2e81-994a-49d2-a4e4-45575ba70579" ] }, { "id" : "ITEM-5", "itemData" : { "DOI" : "10.1007/s12199-008-0053-x", "ISSN" : "1342-078X", "PMID" : "19568864", "abstract" : "We have evaluated the effectiveness of motivational signs in promoting stair use instead of escalators, in terms of gender and age, at a train station with a 37-step staircase. We also examined whether a newspaper article, or booster, had any effect on augmenting the impact of the signs.", "author" : [ { "dropping-particle" : "", "family" : "Nomura", "given" : "Takuo", "non-dropping-particle" : "", "parse-names" : false, "suffix" : "" }, { "dropping-particle" : "", "family" : "Yoshimoto", "given" : "Yoshinobu", "non-dropping-particle" : "", "parse-names" : false, "suffix" : "" }, { "dropping-particle" : "", "family" : "Akezaki", "given" : "Yoshiteru", "non-dropping-particle" : "", "parse-names" : false, "suffix" : "" }, { "dropping-particle" : "", "family" : "Sato", "given" : "Atushi", "non-dropping-particle" : "", "parse-names" : false, "suffix" : "" } ], "container-title" : "Environmental Health and Preventive Medicine", "id" : "ITEM-5", "issue" : "1", "issued" : { "date-parts" : [ [ "2009", "1" ] ] }, "page" : "20-25", "title" : "Changing behavioral patterns to promote physical activity with motivational signs", "type" : "article-journal", "volume" : "14" }, "uris" : [ "http://www.mendeley.com/documents/?uuid=51e0e88d-b69d-487e-ad9a-8f890fce8441" ] }, { "id" : "ITEM-6", "itemData" : { "DOI" : "10.1006/pmed.2001.0908", "ISBN" : "0091-7435", "ISSN" : "00917435", "PMID" : "11676583", "abstract" : "BACKGROUND: Despite strong evidence that prompts at the point of choice between escalators and stairs encourage stair use, the long-term effects of stair prompts have not yet been investigated. Presented here are the results of a 6-month observational study of prompted stair climbing. METHODS: Escalator and adjacent stair use were monitored in a shopping mall in the Midlands region of the United Kingdom. Participants were coded for gender, age, and ethnicity. A 2-week baseline period was followed by a 12-week intervention using motivating messages on the stair risers. Follow-up data were also collected for 2 weeks immediately after the removal of the banners and 6 weeks later. RESULTS: A total of 45,361 escalator/stair-choice observations were made. Stair use increased significantly during the intervention period and, when the banners were removed, remained higher than at baseline. There were also significant interactions with time across the different population groups. CONCLUSIONS: The full public health benefits of increasing physical activity levels can only be realized if the activity is sustained. These results demonstrate that stair-riser banners can elicit a sustained increase in stair use and, even when the banners were withdrawn, overall stair use remained higher than at baseline.", "author" : [ { "dropping-particle" : "", "family" : "Kerr", "given" : "J.", "non-dropping-particle" : "", "parse-names" : false, "suffix" : "" }, { "dropping-particle" : "", "family" : "Eves", "given" : "Frank", "non-dropping-particle" : "", "parse-names" : false, "suffix" : "" }, { "dropping-particle" : "", "family" : "Carroll", "given" : "Douglas", "non-dropping-particle" : "", "parse-names" : false, "suffix" : "" } ], "container-title" : "Preventive Medicine", "id" : "ITEM-6", "issue" : "5", "issued" : { "date-parts" : [ [ "2001", "11" ] ] }, "page" : "422-427", "title" : "Six-Month Observational Study of Prompted Stair Climbing", "type" : "article-journal", "volume" : "33" }, "uris" : [ "http://www.mendeley.com/documents/?uuid=3dc4516d-b82b-4afa-b1b0-a753061b236a" ] }, { "id" : "ITEM-7", "itemData" : { "DOI" : "10.1177/135910530100600503", "ISBN" : "1359105301", "ISSN" : "1359-1053", "PMID" : "22049448", "abstract" : "Previous research has found that poster prompts are associated with significant increases in stair use. The present study examined the use of messages on the stair risers, as an alternative to posters, to encourage stair climbing. Observers monitored shoppers' stair and escalator use over a 2-week baseline and 6-week intervention period. The prevalence of stair use increased from a baseline value of 8.1 percent to 18.3 percent when the motivating messages were in place. This increase is greater than that found in studies that used poster prompts in shopping centre venues. The apparent advantage of stair-riser banners is discussed in terms of their visibility and attractiveness, as well as their capacity to present multiple messages likely to appeal to a broader constituency. It is concluded that promoters of physical activity should use colourful, tailored stair-riser banners, rather than posters, to encourage stair climbing.", "author" : [ { "dropping-particle" : "", "family" : "Kerr", "given" : "J.", "non-dropping-particle" : "", "parse-names" : false, "suffix" : "" }, { "dropping-particle" : "", "family" : "Eves", "given" : "F. F.", "non-dropping-particle" : "", "parse-names" : false, "suffix" : "" }, { "dropping-particle" : "", "family" : "Carroll", "given" : "D.", "non-dropping-particle" : "", "parse-names" : false, "suffix" : "" } ], "container-title" : "Journal of health psychology", "id" : "ITEM-7", "issue" : "5", "issued" : { "date-parts" : [ [ "2001", "9" ] ] }, "language" : "English", "note" : "From Duplicate 1 (Getting more people on the stairs: The impact of a new message format - Kerr, J.; Eves, F. F.; Carroll, D.)\n\nISI Document Delivery No.: 487FF\nTimes Cited: 28\nCited Reference Count: 23\nKerr, J Eves, FF Carroll, D\n28\nSage publications ltd\nLondon\nPsychology, Clinical", "page" : "495-500", "publisher-place" : "Univ Birmingham, Sch Sport &amp; Exercise Sci, Birmingham B15 2TT, W Midlands, England. Eves, FF (reprint author), Univ Birmingham, Sch Sport &amp; Exercise Sci, POB 363, Birmingham B15 2TT, W Midlands, England.", "title" : "Getting more people on the stairs: the impact of a new message format.", "type" : "article-journal", "volume" : "6" }, "uris" : [ "http://www.mendeley.com/documents/?uuid=89c52368-cc51-4329-9237-629f6338bc9d" ] } ], "mendeley" : { "formattedCitation" : "(Andersen et al., 1998; Blamey et al., 1995; Brownell et al., 1980; Kerr et al., 2001a; Kerr, Eves, &amp; Carroll, 2001b; Marshall et al., 2002; Nomura et al., 2009)", "plainTextFormattedCitation" : "(Andersen et al., 1998; Blamey et al., 1995; Brownell et al., 1980; Kerr et al., 2001a; Kerr, Eves, &amp; Carroll, 2001b; Marshall et al., 2002; Nomura et al., 2009)", "previouslyFormattedCitation" : "(Andersen et al., 1998; Blamey et al., 1995; Brownell et al., 1980; Kerr et al., 2001a; Kerr, Eves, &amp; Carroll, 2001b; Marshall et al., 2002; Nomura et al., 2009)"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(Andersen et al., 1998; Blamey et al., 1995; Brownell et al., 1980; Kerr et al., 2001a; Kerr, Eves, &amp; Carroll, 2001b; Marshall et al., 2002; Nomura et al., 2009)</w:t>
      </w:r>
      <w:r>
        <w:rPr>
          <w:rFonts w:ascii="Times New Roman" w:hAnsi="Times New Roman" w:cs="Times New Roman"/>
          <w:sz w:val="24"/>
          <w:szCs w:val="24"/>
        </w:rPr>
        <w:fldChar w:fldCharType="end"/>
      </w:r>
      <w:r>
        <w:rPr>
          <w:rFonts w:ascii="Times New Roman" w:hAnsi="Times New Roman" w:cs="Times New Roman"/>
          <w:sz w:val="24"/>
          <w:szCs w:val="24"/>
        </w:rPr>
        <w:t xml:space="preserve">, none suggested that there was a consistent pattern of evidence across the different contents that were studied. The positive impact on behavior as indicated in these studies increased stair use over elevators/escalators varied from around 2% to 12%, but not controlling for length of time in which the measure was implemented – i.e. 1 month or 3 months. Similar inconsistencies have also been noted for nudges that extend beyond the health domain. For instance, nudges used to increase civic behaviors, such as recycling, volunteering, voting, petitioning, donating, debating, have shown that the variation in how long, and where they are implemented may explain why overall effect size is as low as 9%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"John", "given" : "P.", "non-dropping-particle" : "", "parse-names" : false, "suffix" : "" }, { "dropping-particle" : "", "family" : "Moseley", "given" : "A.", "non-dropping-particle" : "", "parse-names" : false, "suffix" : "" }, { "dropping-particle" : "", "family" : "Wales", "given" : "C.", "non-dropping-particle" : "", "parse-names" : false, "suffix" : "" }, { "dropping-particle" : "", "family" : "Smith", "given" : "G.", "non-dropping-particle" : "", "parse-names" : false, "suffix" : "" }, { "dropping-particle" : "", "family" : "Richardson", "given" : "L.", "non-dropping-particle" : "", "parse-names" : false, "suffix" : "" }, { "dropping-particle" : "", "family" : "Stoker", "given" : "G.", "non-dropping-particle" : "", "parse-names" : false, "suffix" : "" }, { "dropping-particle" : "", "family" : "Cotterill", "given" : "S.", "non-dropping-particle" : "", "parse-names" : false, "suffix" : "" } ], "id" : "ITEM-1", "issued" : { "date-parts" : [ [ "2013" ] ] }, "publisher" : "Bloomsbury Academic", "publisher-place" : "London", "title" : "Nudge, Nudge, Think, Think: Experimenting with Ways to Change Civic Behaviour", "type" : "book" }, "uris" : [ "http://www.mendeley.com/documents/?uuid=2c010415-58d8-488b-8900-a2f3d3e98a67" ] } ], "mendeley" : { "formattedCitation" : "(John et al., 2013)", "plainTextFormattedCitation" : "(John et al., 2013)", "previouslyFormattedCitation" : "(John et al., 2013)"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(John et al., 2013)</w:t>
      </w:r>
      <w:r>
        <w:rPr>
          <w:rFonts w:ascii="Times New Roman" w:hAnsi="Times New Roman" w:cs="Times New Roman"/>
          <w:sz w:val="24"/>
          <w:szCs w:val="24"/>
        </w:rPr>
        <w:fldChar w:fldCharType="end"/>
      </w:r>
      <w:r>
        <w:rPr>
          <w:rFonts w:ascii="Times New Roman" w:hAnsi="Times New Roman" w:cs="Times New Roman"/>
          <w:sz w:val="24"/>
          <w:szCs w:val="24"/>
        </w:rPr>
        <w:t>. Thus, with findings such as this there needs to be more efforts in standardizing the ways in which nudges are examined in the wild in order to establish external reliability.</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Thus from an empirical perspective the picture appears to be somewhat bleak with respect to establishing good evidence for the effectiveness of nudges in the health domain. The main problem being that it is hard to draw any firm conclusions as to their effectiveness in the long-term (i.e. positive change over a year or more), which should be the ultimate goal of </w:t>
      </w:r>
      <w:r>
        <w:rPr>
          <w:rFonts w:ascii="Times New Roman" w:hAnsi="Times New Roman" w:cs="Times New Roman"/>
          <w:sz w:val="24"/>
          <w:szCs w:val="24"/>
        </w:rPr>
        <w:lastRenderedPageBreak/>
        <w:t xml:space="preserve">assessing their effectiveness. Often because the studies are conducted in the field, as with many field based studies, the problems are that it is hard to run studies on a large sample with proper controls, and it is rare to find field studies that also carry out follow-ups to examine the effects of the nudges in the long term. This does not undermine the program of nudge </w:t>
      </w:r>
      <w:r>
        <w:rPr>
          <w:rFonts w:ascii="Times New Roman" w:hAnsi="Times New Roman" w:cs="Times New Roman"/>
          <w:i/>
          <w:sz w:val="24"/>
          <w:szCs w:val="24"/>
        </w:rPr>
        <w:t>per se</w:t>
      </w:r>
      <w:r>
        <w:rPr>
          <w:rFonts w:ascii="Times New Roman" w:hAnsi="Times New Roman" w:cs="Times New Roman"/>
          <w:sz w:val="24"/>
          <w:szCs w:val="24"/>
        </w:rPr>
        <w:t xml:space="preserve">, but simply that the evidence to date does not allow researchers to draw strong conclusions about its general effectiveness in generating meaningful positive behavioral change. Moreover, as noted, the limitations in drawing firm conclusions is not restricted to their effectiveness and reliability over time, but also in establishing the generalizability of positive behavioral change beyond the context in which nudges are implemented. Furthermore, the small effect sizes reported in empirical studies means that translating their positive results at a population level may render them less effective than typical social policy methods (i.e. mandates, bans, taxes). Given that there is a growing list of international governments wanting to apply nudge to public policy on important issues such as health and wellbeing, there is clearly a need to establish further empirical rigor in order to better establish the effectiveness of these behavior interventions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"ISSN" : "2269-8450", "abstract" : "1. Nudge: The Pitch Suppose that a government\u2019s social policy agenda is to promote a healthier, wealthier, and happier population. The problem is that our psychological makeup means that we find it hard to behave in ways that consistently meet these objectives. Over half a century, a steady accumulation of social scientific research shows that people are susceptible to cognitive biases, that they fail to exercise self-control when it really matters, give in to their emotions too easily, and m...", "author" : [ { "dropping-particle" : "", "family" : "Osman", "given" : "Magda", "non-dropping-particle" : "", "parse-names" : false, "suffix" : "" } ], "container-title" : "\u0152conomia. History, Methodology, Philosophy", "id" : "ITEM-1", "issue" : "6-4", "issued" : { "date-parts" : [ [ "2016" ] ] }, "page" : "557-570", "publisher" : "Association \u0152conomia", "title" : "Nudge: How Far Have We Come?", "type" : "article-journal" }, "uris" : [ "http://www.mendeley.com/documents/?uuid=a2a8b5dc-00ad-37f4-8dd9-ef60a0f09da3" ] } ], "mendeley" : { "formattedCitation" : "(Osman, 2016)", "plainTextFormattedCitation" : "(Osman, 2016)", "previouslyFormattedCitation" : "(Osman, 2016)"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(Osman, 2016)</w:t>
      </w:r>
      <w:r>
        <w:rPr>
          <w:rFonts w:ascii="Times New Roman" w:hAnsi="Times New Roman" w:cs="Times New Roman"/>
          <w:sz w:val="24"/>
          <w:szCs w:val="24"/>
        </w:rPr>
        <w:fldChar w:fldCharType="end"/>
      </w:r>
      <w:r>
        <w:rPr>
          <w:rFonts w:ascii="Times New Roman" w:hAnsi="Times New Roman" w:cs="Times New Roman"/>
          <w:sz w:val="24"/>
          <w:szCs w:val="24"/>
        </w:rPr>
        <w:t>.</w:t>
      </w:r>
    </w:p>
    <w:p>
      <w:pPr>
        <w:spacing w:line="480" w:lineRule="auto"/>
        <w:contextualSpacing/>
        <w:jc w:val="center"/>
        <w:rPr>
          <w:rFonts w:ascii="Times New Roman" w:hAnsi="Times New Roman" w:cs="Times New Roman"/>
          <w:b/>
          <w:sz w:val="24"/>
          <w:szCs w:val="24"/>
        </w:rPr>
      </w:pPr>
      <w:r>
        <w:rPr>
          <w:rFonts w:ascii="Times New Roman" w:hAnsi="Times New Roman" w:cs="Times New Roman"/>
          <w:b/>
          <w:sz w:val="24"/>
          <w:szCs w:val="24"/>
        </w:rPr>
        <w:t>General Theoretical Re-Considerations of the Nudge Evidence-base</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As discussed earlier in this review, a concern for the nudge program is that the theoretical foundations in which it is built on is problematic. We have proposed that the types of nudges that have been developed fall into two broad categories which differ depending on the extent to which they promote a re-evaluation of information that informs better decisions (i.e. maximizing long term gains), so as to bring the new information and choice behavior into greater alignment (greater coherence). This is in contrast to a position of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"0300146817", "abstract" : "style=\"MARGIN: 0in 0in 0pt\"&gt;A groundbreaking discussion of how we can apply the new science of choice architecture to nudge people toward decisions that will improve their lives by making them healthier, wealthier, and more free", "author" : [ { "dropping-particle" : "", "family" : "Thaler", "given" : "Richard H.", "non-dropping-particle" : "", "parse-names" : false, "suffix" : "" }, { "dropping-particle" : "", "family" : "Sunstein", "given" : "C. R.", "non-dropping-particle" : "", "parse-names" : false, "suffix" : "" } ], "id" : "ITEM-1", "issued" : { "date-parts" : [ [ "2008" ] ] }, "number-of-pages" : "293", "publisher" : "Yale University Press", "publisher-place" : "New Haven", "title" : "Nudge: Improving Decisions about Health, Wealth, and Happiness", "type" : "book" }, "uris" : [ "http://www.mendeley.com/documents/?uuid=c441f339-9711-4f66-9a29-dd13dbb39baf" ] } ], "mendeley" : { "formattedCitation" : "(Thaler &amp; Sunstein, 2008)", "manualFormatting" : "Thaler &amp; Sunstein (2008)", "plainTextFormattedCitation" : "(Thaler &amp; Sunstein, 2008)", "previouslyFormattedCitation" : "(Thaler &amp; Sunstein, 2008)"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Thaler &amp; Sunstein (2008)</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"9780300197860", "author" : [ { "dropping-particle" : "", "family" : "Sunstein", "given" : "C. R.", "non-dropping-particle" : "", "parse-names" : false, "suffix" : "" } ], "id" : "ITEM-1", "issued" : { "date-parts" : [ [ "2014" ] ] }, "number-of-pages" : "1-189", "publisher" : "Yale University Press", "publisher-place" : "New Haven", "title" : "Why Nudge? The Politics of Libertarian Paternalism", "type" : "book" }, "uris" : [ "http://www.mendeley.com/documents/?uuid=db969f18-b486-4d73-8a17-3403695c77dd" ] }, { "id" : "ITEM-2", "itemData" : { "author" : [ { "dropping-particle" : "", "family" : "Sunstein", "given" : "C. R.", "non-dropping-particle" : "", "parse-names" : false, "suffix" : "" } ], "container-title" : "Duke Law Journal", "id" : "ITEM-2", "issued" : { "date-parts" : [ [ "2016" ] ] }, "page" : "121-168", "title" : "People prefer system 2 nudges (kind of)", "type" : "article-journal", "volume" : "66" }, "uris" : [ "http://www.mendeley.com/documents/?uuid=629cd0b8-b3cf-426c-92fe-f1b40ec53b33" ] } ], "mendeley" : { "formattedCitation" : "(Sunstein, 2014, 2016b)", "plainTextFormattedCitation" : "(Sunstein, 2014, 2016b)", "previouslyFormattedCitation" : "(Sunstein, 2014, 2016b)"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(Sunstein, 2014, 2016b)</w:t>
      </w:r>
      <w:r>
        <w:rPr>
          <w:rFonts w:ascii="Times New Roman" w:hAnsi="Times New Roman" w:cs="Times New Roman"/>
          <w:sz w:val="24"/>
          <w:szCs w:val="24"/>
        </w:rPr>
        <w:fldChar w:fldCharType="end"/>
      </w:r>
      <w:r>
        <w:rPr>
          <w:rFonts w:ascii="Times New Roman" w:hAnsi="Times New Roman" w:cs="Times New Roman"/>
          <w:sz w:val="24"/>
          <w:szCs w:val="24"/>
        </w:rPr>
        <w:t xml:space="preserve"> that nudges differ according to the underlying differences between System 1 and System 2 thought operations. Building on our proposals and the evidence we reviewed, one reason why Type 1 nudges seem to be ineffective and tend to be </w:t>
      </w:r>
      <w:r>
        <w:rPr>
          <w:rFonts w:ascii="Times New Roman" w:hAnsi="Times New Roman" w:cs="Times New Roman"/>
          <w:sz w:val="24"/>
          <w:szCs w:val="24"/>
        </w:rPr>
        <w:lastRenderedPageBreak/>
        <w:t xml:space="preserve">short lived is because they do not engage the decision-maker on any substantial level to re-examine the basis on which their decisions are made so as to meaningfully shift their choice behavior. This is consistent with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"Loewenstein", "given" : "G.", "non-dropping-particle" : "", "parse-names" : false, "suffix" : "" }, { "dropping-particle" : "", "family" : "Bryce", "given" : "C.", "non-dropping-particle" : "", "parse-names" : false, "suffix" : "" }, { "dropping-particle" : "", "family" : "Hagmann", "given" : "D.", "non-dropping-particle" : "", "parse-names" : false, "suffix" : "" }, { "dropping-particle" : "", "family" : "Rajpal", "given" : "S.", "non-dropping-particle" : "", "parse-names" : false, "suffix" : "" } ], "container-title" : "Behavioral Science &amp; Policy", "id" : "ITEM-1", "issue" : "1", "issued" : { "date-parts" : [ [ "2015" ] ] }, "page" : "35-42", "title" : "Warning: You are about to be nudged", "type" : "article-journal", "volume" : "1" }, "uris" : [ "http://www.mendeley.com/documents/?uuid=e9f66e1c-5fd8-44a7-8dc4-d492dfa00e36" ] } ], "mendeley" : { "formattedCitation" : "(Loewenstein et al., 2015)", "manualFormatting" : "Loewenstein et al. 's (2015)", "plainTextFormattedCitation" : "(Loewenstein et al., 2015)", "previouslyFormattedCitation" : "(Loewenstein et al., 2015)"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Loewenstein et al. 's (2015)</w:t>
      </w:r>
      <w:r>
        <w:rPr>
          <w:rFonts w:ascii="Times New Roman" w:hAnsi="Times New Roman" w:cs="Times New Roman"/>
          <w:sz w:val="24"/>
          <w:szCs w:val="24"/>
        </w:rPr>
        <w:fldChar w:fldCharType="end"/>
      </w:r>
      <w:r>
        <w:rPr>
          <w:rFonts w:ascii="Times New Roman" w:hAnsi="Times New Roman" w:cs="Times New Roman"/>
          <w:sz w:val="24"/>
          <w:szCs w:val="24"/>
        </w:rPr>
        <w:t xml:space="preserve"> claim regarding the level of insight that people have as to the underlying basis on which Type 1 nudges are designed to influence their behavior. Indeed, without prompting people to think about and acknowledge that they might be eating/drinking less as a result of smaller dinnerware/glassware any behavioral change is not likely to become sticky (i.e. habitual), or reliably generalize to other contexts outside of where the nudge is present. It has long since been known that habits require sustained and explicit association between situational cues and learned behavioral responses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"Hull", "given" : "C. L.", "non-dropping-particle" : "", "parse-names" : false, "suffix" : "" } ], "id" : "ITEM-1", "issued" : { "date-parts" : [ [ "1943" ] ] }, "publisher" : "Appleton-Century Crofts", "publisher-place" : "New York", "title" : "Principles of behaviour: An introduction to behaviour theory.", "type" : "book" }, "uris" : [ "http://www.mendeley.com/documents/?uuid=42504aa7-9180-326a-bef2-50b3c4796402" ] } ], "mendeley" : { "formattedCitation" : "(Hull, 1943)", "plainTextFormattedCitation" : "(Hull, 1943)", "previouslyFormattedCitation" : "(Hull, 1943)"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(Hull, 1943)</w:t>
      </w:r>
      <w:r>
        <w:rPr>
          <w:rFonts w:ascii="Times New Roman" w:hAnsi="Times New Roman" w:cs="Times New Roman"/>
          <w:sz w:val="24"/>
          <w:szCs w:val="24"/>
        </w:rPr>
        <w:fldChar w:fldCharType="end"/>
      </w:r>
      <w:r>
        <w:rPr>
          <w:rFonts w:ascii="Times New Roman" w:hAnsi="Times New Roman" w:cs="Times New Roman"/>
          <w:sz w:val="24"/>
          <w:szCs w:val="24"/>
        </w:rPr>
        <w:t xml:space="preserve">, often through repetition of a behaviors in the same context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"10.1037//0022-3514.83.6.1281", "abstract" : "To illustrate the differing thoughts and emotions involved in guiding habitual and nonhabitual behavior, 2 diary studies were conducted in which participants provided hourly reports of their ongoing experiences. When participants were engaged in habitual behavior, defined as behavior that had been performed almost daily in stable contexts, they were likely to think about issues unrelated to their behavior, presumably because they did not have to consciously guide their actions. When engaged in nonhabitual behavior, or actions performed less often or in shifting contexts, participants' thoughts tended to correspond to their behavior, suggesting that thought was necessary to guide action. Furthermore, the self-regulatory benefits of habits were apparent in the lesser feelings of stress associated with habitual than nonhabitual behavior. In this research we address the relation between ongoing thought, emotion, and everyday action. In the standard predictive models in social psychology, behavior is a product of a series of cognitive and affective events, typically preceded most closely by conscious intentions to perform the act (Ajzen, 1987; Eagly &amp; Chaiken, 1993; Gollwitzer, 1999; although see Greve, 2001). Intentions can be generated through thoughtful deliberation or relatively superficial processes. Research that has measured peo-ple's intentions and then behavior has provided strong support for these models (see meta-analytic reviews by Armitage &amp; Conner, 2001; Randall &amp; Wolff, 1994; Sheppard, Hartwick, &amp; Warshaw, 1988). However, not all behaviors are preceded by conscious inten-tions. Only minimal, sporadic thought is required to initiate, im-plement, and terminate actions that in the past have been repeated in stable contexts. Such actions reflect habits, and Ouellette and Wood (1998) demonstrated that specific intentions to perform repeated behaviors are not good predictors of such acts. Instead, habit performance reflects the routine repetition of past acts that is cued by stable features of the environment. In this view, the disposition or tendency to perform habitual behaviors is implicit, it is expressed through the performance itself, and it may not be reflected in people's thoughts or reported intentions. Thus, predic-tive models of behavior indicate that action can emerge from conscious intentions or from implicit guides developed through past performance. Research on the organization of memory systems is consistent with the idea that behavi\u2026", "author" : [ { "dropping-particle" : "", "family" : "Wood", "given" : "W.", "non-dropping-particle" : "", "parse-names" : false, "suffix" : "" }, { "dropping-particle" : "", "family" : "Quinn", "given" : "J. M.", "non-dropping-particle" : "", "parse-names" : false, "suffix" : "" }, { "dropping-particle" : "", "family" : "Kashy", "given" : "D. A.", "non-dropping-particle" : "", "parse-names" : false, "suffix" : "" } ], "container-title" : "Journal of Personality and Social Psychology", "id" : "ITEM-1", "issue" : "6", "issued" : { "date-parts" : [ [ "2002" ] ] }, "page" : "1281-97", "title" : "Habits in Everyday Life: Thought, Emotion, and Action", "type" : "article-journal", "volume" : "83" }, "uris" : [ "http://www.mendeley.com/documents/?uuid=2881dbc5-13e3-3adb-a9ca-0cb5f539a711" ] } ], "mendeley" : { "formattedCitation" : "(W. Wood, Quinn, &amp; Kashy, 2002)", "plainTextFormattedCitation" : "(W. Wood, Quinn, &amp; Kashy, 2002)", "previouslyFormattedCitation" : "(W. Wood, Quinn, &amp; Kashy, 2002)"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(Wood, Quinn, &amp; Kashy, 2002)</w:t>
      </w:r>
      <w:r>
        <w:rPr>
          <w:rFonts w:ascii="Times New Roman" w:hAnsi="Times New Roman" w:cs="Times New Roman"/>
          <w:sz w:val="24"/>
          <w:szCs w:val="24"/>
        </w:rPr>
        <w:fldChar w:fldCharType="end"/>
      </w:r>
      <w:r>
        <w:rPr>
          <w:rFonts w:ascii="Times New Roman" w:hAnsi="Times New Roman" w:cs="Times New Roman"/>
          <w:sz w:val="24"/>
          <w:szCs w:val="24"/>
        </w:rPr>
        <w:t xml:space="preserve"> for the behaviors to generalize beyond them.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The evidence we have reviewed regarding Type 2 nudges typically involve interventions that involve the provision of explicit information that is directly connected to the pursuit of a clearly identified goal, which in turn is associated with a specific choice behavior (e.g. reduce unhealthy eating, alcohol consumption, tobacco consumption); this has been in the form of providing calorie information, peer group’s alcohol consumption, or health warnings on cigarette packages. More to the point, Type 2 nudges seem to be effective in reducing poor health behaviors such as alcohol consumption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"Haines", "given" : "M. P.", "non-dropping-particle" : "", "parse-names" : false, "suffix" : "" }, { "dropping-particle" : "", "family" : "Barker", "given" : "G.", "non-dropping-particle" : "", "parse-names" : false, "suffix" : "" }, { "dropping-particle" : "", "family" : "Rice", "given" : "R.", "non-dropping-particle" : "", "parse-names" : false, "suffix" : "" } ], "container-title" : "The Social Norms Approach to Preventing School and College Age Substance Abuse: A Handbook for Educators, Counselors, and Clinicians", "editor" : [ { "dropping-particle" : "", "family" : "Perkinds", "given" : "H Wesley", "non-dropping-particle" : "", "parse-names" : false, "suffix" : "" } ], "id" : "ITEM-1", "issued" : { "date-parts" : [ [ "2003" ] ] }, "page" : "22", "publisher" : "Jossey-Bass", "publisher-place" : "San Francisco, Calif", "title" : "The NIU Experiment: A case study of the social norms approach", "type" : "chapter" }, "uris" : [ "http://www.mendeley.com/documents/?uuid=f62a3b1a-4d3f-4342-a4d8-612ab99b28a8" ] }, { "id" : "ITEM-2", "itemData" : { "DOI" : "10.1080/07448481.1996.9936873", "ISBN" : "doi:10.1080/07448481.1996.9936873", "ISSN" : "0744-8481", "PMID" : "8952206", "abstract" : "A reduction in college students' binge drinking associated with an intervention to change perceptions of drinking norms is described. The 5-year study was conducted at a public residential campus of 23,000 students. A traditional intervention proved unsuccessful, but a media campaign designed to change student perceptions of the amount of binge drinking showed an 18.5% drop in the number of students who perceived binge drinking as the norm (from 69.7% to 51.2%) and a corresponding reduction in self-reported binge drinking of 8.8% (from 43.0% to 34.2%). The apparent effectiveness of this prevention effort suggested that changing college students' perceptions of drinking norms may lower the proportion of students who engage in binge drinking.", "author" : [ { "dropping-particle" : "", "family" : "Haines", "given" : "M P", "non-dropping-particle" : "", "parse-names" : false, "suffix" : "" }, { "dropping-particle" : "", "family" : "Spear", "given" : "S F", "non-dropping-particle" : "", "parse-names" : false, "suffix" : "" } ], "container-title" : "Journal of American college health : J of ACH", "id" : "ITEM-2", "issue" : "3", "issued" : { "date-parts" : [ [ "1996", "11" ] ] }, "page" : "134-40", "title" : "Changing the perception of the norm: a strategy to decrease binge drinking among college students", "type" : "article-journal", "volume" : "45" }, "uris" : [ "http://www.mendeley.com/documents/?uuid=f1bee87e-8655-4ca4-bd18-b8cb93efad8b" ] } ], "mendeley" : { "formattedCitation" : "(Haines, Barker, &amp; Rice, 2003; Haines &amp; Spear, 1996)", "plainTextFormattedCitation" : "(Haines, Barker, &amp; Rice, 2003; Haines &amp; Spear, 1996)", "previouslyFormattedCitation" : "(Haines, Barker, &amp; Rice, 2003; Haines &amp; Spear, 1996)"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(Haines, Barker, &amp; Rice, 2003; Haines &amp; Spear, 1996)</w:t>
      </w:r>
      <w:r>
        <w:rPr>
          <w:rFonts w:ascii="Times New Roman" w:hAnsi="Times New Roman" w:cs="Times New Roman"/>
          <w:sz w:val="24"/>
          <w:szCs w:val="24"/>
        </w:rPr>
        <w:fldChar w:fldCharType="end"/>
      </w:r>
      <w:r>
        <w:rPr>
          <w:rFonts w:ascii="Times New Roman" w:hAnsi="Times New Roman" w:cs="Times New Roman"/>
          <w:sz w:val="24"/>
          <w:szCs w:val="24"/>
        </w:rPr>
        <w:t xml:space="preserve"> and cigarette smoking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"Hancock", "given" : "L.", "non-dropping-particle" : "", "parse-names" : false, "suffix" : "" }, { "dropping-particle" : "", "family" : "Abhold", "given" : "Joe", "non-dropping-particle" : "", "parse-names" : false, "suffix" : "" }, { "dropping-particle" : "", "family" : "Gascoigne", "given" : "Jan", "non-dropping-particle" : "", "parse-names" : false, "suffix" : "" }, { "dropping-particle" : "", "family" : "Altekruse", "given" : "Michael", "non-dropping-particle" : "", "parse-names" : false, "suffix" : "" } ], "container-title" : "The Report on Social Norms", "id" : "ITEM-1", "issued" : { "date-parts" : [ [ "2002" ] ] }, "title" : "Applying Social Norms Marketing to Tobacco Cessation and Prevention: Lessons Learned from Three Campaigns", "type" : "article-journal", "volume" : "Working Pa" }, "uris" : [ "http://www.mendeley.com/documents/?uuid=fdcebb25-8d69-4784-a5cf-36a840698f0c" ] }, { "id" : "ITEM-2", "itemData" : { "author" : [ { "dropping-particle" : "", "family" : "Hancock", "given" : "L.", "non-dropping-particle" : "", "parse-names" : false, "suffix" : "" }, { "dropping-particle" : "", "family" : "Henry", "given" : "N.", "non-dropping-particle" : "", "parse-names" : false, "suffix" : "" } ], "id" : "ITEM-2", "issued" : { "date-parts" : [ [ "2003" ] ] }, "publisher" : "Jossery-Bass", "publisher-place" : "San Francisco", "title" : "Perceptions, Norms and Tobacco Use in College Residence Hall Freshmen: Evaluation of a Social Norms Marketing Intervention", "type" : "book" }, "uris" : [ "http://www.mendeley.com/documents/?uuid=4801d731-3383-4b23-ac51-bac0b6cfb1d6" ] }, { "id" : "ITEM-3", "itemData" : { "author" : [ { "dropping-particle" : "", "family" : "Linkenbach", "given" : "J.", "non-dropping-particle" : "", "parse-names" : false, "suffix" : "" }, { "dropping-particle" : "", "family" : "Perkins", "given" : "H. W.", "non-dropping-particle" : "", "parse-names" : false, "suffix" : "" }, { "dropping-particle" : "", "family" : "DeJong", "given" : "W.", "non-dropping-particle" : "", "parse-names" : false, "suffix" : "" } ], "id" : "ITEM-3", "issued" : { "date-parts" : [ [ "2003" ] ] }, "publisher" : "Jossery-Bass", "publisher-place" : "San Francisco", "title" : "Parent's Perceptions of Parenting Norms: Using the Social Norms Approach to Reiniforce Effective Parenting", "type" : "book" }, "uris" : [ "http://www.mendeley.com/documents/?uuid=3a42a859-84bd-4695-93b8-9aa7d295c405" ] } ], "mendeley" : { "formattedCitation" : "(Hancock, Abhold, Gascoigne, &amp; Altekruse, 2002; Hancock &amp; Henry, 2003; Linkenbach, Perkins, &amp; DeJong, 2003)", "plainTextFormattedCitation" : "(Hancock, Abhold, Gascoigne, &amp; Altekruse, 2002; Hancock &amp; Henry, 2003; Linkenbach, Perkins, &amp; DeJong, 2003)", "previouslyFormattedCitation" : "(Hancock, Abhold, Gascoigne, &amp; Altekruse, 2002; Hancock &amp; Henry, 2003; Linkenbach, Perkins, &amp; DeJong, 2003)"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(Hancock, Abhold, Gascoigne, &amp; Altekruse, 2002; Hancock &amp; Henry, 2003; Linkenbach, Perkins, &amp; DeJong, 2003)</w:t>
      </w:r>
      <w:r>
        <w:rPr>
          <w:rFonts w:ascii="Times New Roman" w:hAnsi="Times New Roman" w:cs="Times New Roman"/>
          <w:sz w:val="24"/>
          <w:szCs w:val="24"/>
        </w:rPr>
        <w:fldChar w:fldCharType="end"/>
      </w:r>
      <w:r>
        <w:rPr>
          <w:rFonts w:ascii="Times New Roman" w:hAnsi="Times New Roman" w:cs="Times New Roman"/>
          <w:sz w:val="24"/>
          <w:szCs w:val="24"/>
        </w:rPr>
        <w:t xml:space="preserve"> for a period equal to or greater than 12 months. The evidence shows that through repeated intervention over long periods, some Type 2 nudges (particularly those correcting misapprehensions of social norms), can lead to sustainable behavioral change over longer periods of time (i.e. over a year post intervention). Thus, we suggest here that in order to establish reliable methods that promote critical re-examination of one’s values, attitudes and motivations, we advocate that Type 2 nudges should </w:t>
      </w:r>
      <w:r>
        <w:rPr>
          <w:rFonts w:ascii="Times New Roman" w:hAnsi="Times New Roman" w:cs="Times New Roman"/>
          <w:sz w:val="24"/>
          <w:szCs w:val="24"/>
        </w:rPr>
        <w:lastRenderedPageBreak/>
        <w:t>be more frequently used, and over sustained periods (i.e. at least 6-12 month educational campaigns). The rationale for this is that unlike Type 1 nudges, Type 2 nudges typically encourage a form of re-evaluation of behavior through explicit means, and this helps to maintain greater coherence between the information on which new choice behaviors are made coherently. We speculate that it is for this reason that the evidence-based suggests that they are relatively more effective in leading to meaningful sustained behavioral change than Type 1 nudges (see Table 1).</w:t>
      </w:r>
    </w:p>
    <w:p>
      <w:pPr>
        <w:spacing w:line="480" w:lineRule="auto"/>
        <w:contextualSpacing/>
        <w:jc w:val="center"/>
        <w:rPr>
          <w:rFonts w:ascii="Times New Roman" w:hAnsi="Times New Roman" w:cs="Times New Roman"/>
          <w:b/>
          <w:sz w:val="24"/>
          <w:szCs w:val="24"/>
        </w:rPr>
      </w:pPr>
      <w:r>
        <w:rPr>
          <w:rFonts w:ascii="Times New Roman" w:hAnsi="Times New Roman" w:cs="Times New Roman"/>
          <w:b/>
          <w:sz w:val="24"/>
          <w:szCs w:val="24"/>
        </w:rPr>
        <w:t>Ethical implications</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Our review of the theoretical foundations of nudge, as well as the evidence-base examining the efficacy of nudges in the health domain, suggests that there is good reason to focus on implementing Type 2 nudges over Type 1 nudges. That is to say, there are theoretical grounds on which Type 2 nudges can be argued to have a more sustainable and deeper impact on generating positive behavioral change, and in line with this, the current evidence-base indicates, to some degree, that they are more effective than Type 1 nudges. Not only are there theoretical and empirical grounds for promoting Type 2 nudges, but here, we briefly discuss the ethical reasons that corroborate this conclusion.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By definition, nudges are designed to influence choice behavior, but not at the expense of forbidding any options. That is, they preserve people’s rights to freely choose whatever option they like, but that the nudge is designed to highlight the option deemed better for them in the long run. This is why the nudge program is liberal paternalistic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"0300146817", "abstract" : "style=\"MARGIN: 0in 0in 0pt\"&gt;A groundbreaking discussion of how we can apply the new science of choice architecture to nudge people toward decisions that will improve their lives by making them healthier, wealthier, and more free", "author" : [ { "dropping-particle" : "", "family" : "Thaler", "given" : "Richard H.", "non-dropping-particle" : "", "parse-names" : false, "suffix" : "" }, { "dropping-particle" : "", "family" : "Sunstein", "given" : "C. R.", "non-dropping-particle" : "", "parse-names" : false, "suffix" : "" } ], "id" : "ITEM-1", "issued" : { "date-parts" : [ [ "2008" ] ] }, "number-of-pages" : "293", "publisher" : "Yale University Press", "publisher-place" : "New Haven", "title" : "Nudge: Improving Decisions about Health, Wealth, and Happiness", "type" : "book" }, "uris" : [ "http://www.mendeley.com/documents/?uuid=c441f339-9711-4f66-9a29-dd13dbb39baf" ] }, { "id" : "ITEM-2", "itemData" : { "author" : [ { "dropping-particle" : "", "family" : "Sunstein", "given" : "C. R.", "non-dropping-particle" : "", "parse-names" : false, "suffix" : "" } ], "edition" : "ed.", "id" : "ITEM-2", "issued" : { "date-parts" : [ [ "2016" ] ] }, "publisher" : "Cambridge University Press", "title" : "The Ethics of Influence: Government in the Age of Behavioral Science", "type" : "book" }, "uris" : [ "http://www.mendeley.com/documents/?uuid=c1060cd0-e05e-4dde-ac63-d3afdc6c0ceb" ] } ], "mendeley" : { "formattedCitation" : "(Sunstein, 2016c; Thaler &amp; Sunstein, 2008)", "plainTextFormattedCitation" : "(Sunstein, 2016c; Thaler &amp; Sunstein, 2008)", "previouslyFormattedCitation" : "(Sunstein, 2016c; Thaler &amp; Sunstein, 2008)"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(Sunstein, 2016c; Thaler &amp; Sunstein, 2008)</w:t>
      </w:r>
      <w:r>
        <w:rPr>
          <w:rFonts w:ascii="Times New Roman" w:hAnsi="Times New Roman" w:cs="Times New Roman"/>
          <w:sz w:val="24"/>
          <w:szCs w:val="24"/>
        </w:rPr>
        <w:fldChar w:fldCharType="end"/>
      </w:r>
      <w:r>
        <w:rPr>
          <w:rFonts w:ascii="Times New Roman" w:hAnsi="Times New Roman" w:cs="Times New Roman"/>
          <w:sz w:val="24"/>
          <w:szCs w:val="24"/>
        </w:rPr>
        <w:t xml:space="preserve">. This approach is designed to spare policy makers any ethical concerns that they might likely face, because a certain choice behavior is being encouraged by the state that promotes a certain value-based lifestyle approach, but that preserves the right an individual has to do otherwise (for an in depth discussion see Osman, 2016). What has come into question is whether nudges easily allow people to do otherwise. Debates have arisen because some have </w:t>
      </w:r>
      <w:r>
        <w:rPr>
          <w:rFonts w:ascii="Times New Roman" w:hAnsi="Times New Roman" w:cs="Times New Roman"/>
          <w:sz w:val="24"/>
          <w:szCs w:val="24"/>
        </w:rPr>
        <w:lastRenderedPageBreak/>
        <w:t xml:space="preserve">argued that the way in which nudges operate, specifically Type 1 nudges, do not preserve freedom of choice, because choice behavior is predominately influenced without the awareness of the individual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"10.1136/medethics-2012-101109", "ISSN" : "1473-4257", "PMID" : "23455009", "author" : [ { "dropping-particle" : "", "family" : "Ashcroft", "given" : "Richard E.", "non-dropping-particle" : "", "parse-names" : false, "suffix" : "" } ], "container-title" : "Journal of medical ethics", "id" : "ITEM-1", "issue" : "8", "issued" : { "date-parts" : [ [ "2013", "8" ] ] }, "page" : "494", "title" : "Doing good by stealth: comments on 'Salvaging the concept of nudge'.", "type" : "article-journal", "volume" : "39" }, "uris" : [ "http://www.mendeley.com/documents/?uuid=a3f77944-1c1b-4506-ab29-7d9b34117e1a" ] }, { "id" : "ITEM-2", "itemData" : { "DOI" : "10.1080/15265161.2011.634481", "ISBN" : "1536-0075; 1526-5161", "ISSN" : "1526-5161", "PMID" : "22304506", "abstract" : "Policymakers, employers, insurance companies, researchers, and health care providers have developed an increasing interest in using principles from behavioral economics and psychology to persuade people to change their health-related behaviors, lifestyles, and habits. In this article, we examine how principles from behavioral economics and psychology are being used to nudge people (the public, patients, or health care providers) toward particular decisions or behaviors related to health or health care, and we identify the ethically relevant dimensions that should be considered for the utilization of each principle.", "author" : [ { "dropping-particle" : "", "family" : "Blumenthal-Barby", "given" : "J. S.", "non-dropping-particle" : "", "parse-names" : false, "suffix" : "" }, { "dropping-particle" : "", "family" : "Burroughs", "given" : "Hadley", "non-dropping-particle" : "", "parse-names" : false, "suffix" : "" } ], "container-title" : "The American Journal of Bioethics", "id" : "ITEM-2", "issue" : "2", "issued" : { "date-parts" : [ [ "2012", "2" ] ] }, "page" : "1-10", "title" : "Seeking Better Health Care Outcomes: The Ethics of Using the \u201cNudge\u201d", "type" : "article-journal", "volume" : "12" }, "uris" : [ "http://www.mendeley.com/documents/?uuid=1c854d78-2035-4e85-b500-d4c31e5fa6c9" ] }, { "id" : "ITEM-3", "itemData" : { "ISBN" : "978-90-481-2592-0", "author" : [ { "dropping-particle" : "", "family" : "Bovens", "given" : "Luc", "non-dropping-particle" : "", "parse-names" : false, "suffix" : "" } ], "container-title" : "Preference Change : Approaches from Philosophy, Economics and Psychology", "editor" : [ { "dropping-particle" : "", "family" : "Gr\u00fcne-Yanoff", "given" : "Till", "non-dropping-particle" : "", "parse-names" : false, "suffix" : "" }, { "dropping-particle" : "", "family" : "Hansson", "given" : "Sven Ove", "non-dropping-particle" : "", "parse-names" : false, "suffix" : "" } ], "id" : "ITEM-3", "issued" : { "date-parts" : [ [ "2009" ] ] }, "page" : "217-209", "publisher" : "Springer Netherlands", "publisher-place" : "Dordrecht", "title" : "The Ethics of Nudge", "type" : "chapter" }, "uris" : [ "http://www.mendeley.com/documents/?uuid=8e54ccbd-4a9b-48b6-8055-aa714114a41c" ] }, { "id" : "ITEM-4", "itemData" : { "author" : [ { "dropping-particle" : "", "family" : "Dworkin", "given" : "G.", "non-dropping-particle" : "", "parse-names" : false, "suffix" : "" } ], "container-title" : "Journal of Medical Ethics", "id" : "ITEM-4", "issue" : "8", "issued" : { "date-parts" : [ [ "2012" ] ] }, "page" : "496-497", "title" : "Lying and nudging", "type" : "article-journal", "volume" : "39" }, "uris" : [ "http://www.mendeley.com/documents/?uuid=1d1a0787-14b2-4281-bdd7-0d6f388f1287" ] }, { "id" : "ITEM-5", "itemData" : { "ISSN" : "2269-8450", "abstract" : "1. Nudge: The Pitch Suppose that a government\u2019s social policy agenda is to promote a healthier, wealthier, and happier population. The problem is that our psychological makeup means that we find it hard to behave in ways that consistently meet these objectives. Over half a century, a steady accumulation of social scientific research shows that people are susceptible to cognitive biases, that they fail to exercise self-control when it really matters, give in to their emotions too easily, and m...", "author" : [ { "dropping-particle" : "", "family" : "Osman", "given" : "Magda", "non-dropping-particle" : "", "parse-names" : false, "suffix" : "" } ], "container-title" : "\u0152conomia. History, Methodology, Philosophy", "id" : "ITEM-5", "issue" : "6-4", "issued" : { "date-parts" : [ [ "2016" ] ] }, "page" : "557-570", "publisher" : "Association \u0152conomia", "title" : "Nudge: How Far Have We Come?", "type" : "article-journal" }, "uris" : [ "http://www.mendeley.com/documents/?uuid=a2a8b5dc-00ad-37f4-8dd9-ef60a0f09da3" ] }, { "id" : "ITEM-6", "itemData" : { "DOI" : "10.1136/medethics-2012-100727", "ISBN" : "1473-4257 (Electronic)\\r0306-6800 (Linking)", "ISSN" : "0306-6800", "PMID" : "23427215", "abstract" : "In recent years, 'nudge' theory has gained increasing attention for the design of population-wide health interventions. The concept of nudge puts a label on efficacious influences that preserve freedom of choice without engaging the influencees' deliberative capacities. Given disagreements over what it takes genuinely to preserve freedom of choice, the question is whether health influences relying on automatic cognitive processes may preserve freedom of choice in a sufficiently robust sense to be serviceable for the moral evaluation of actions and policies. In this article, I offer an argument to this effect, explicating preservation of freedom of choice in terms of choice-set preservation and noncontrol. I also briefly explore the healthcare contexts in which nudges may have priority over more controlling influences.", "author" : [ { "dropping-particle" : "", "family" : "Saghai", "given" : "Yashar", "non-dropping-particle" : "", "parse-names" : false, "suffix" : "" } ], "container-title" : "Journal of Medical Ethics", "id" : "ITEM-6", "issue" : "8", "issued" : { "date-parts" : [ [ "2013", "8", "1" ] ] }, "page" : "487-493", "title" : "Salvaging the concept of nudge", "type" : "article-journal", "volume" : "39" }, "uris" : [ "http://www.mendeley.com/documents/?uuid=fb0f9bf1-109e-4e14-ad21-4c316fd8e869" ] } ], "mendeley" : { "formattedCitation" : "(Ashcroft, 2013; Blumenthal-Barby &amp; Burroughs, 2012; Bovens, 2009; Dworkin, 2012; Osman, 2016; Saghai, 2013)", "plainTextFormattedCitation" : "(Ashcroft, 2013; Blumenthal-Barby &amp; Burroughs, 2012; Bovens, 2009; Dworkin, 2012; Osman, 2016; Saghai, 2013)", "previouslyFormattedCitation" : "(Ashcroft, 2013; Blumenthal-Barby &amp; Burroughs, 2012; Bovens, 2009; Dworkin, 2012; Osman, 2016; Saghai, 2013)"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(Ashcroft, 2013; Blumenthal-Barby &amp; Burroughs, 2012; Bovens, 2009; Dworkin, 2012; Osman, 2016; Saghai, 2013)</w:t>
      </w:r>
      <w:r>
        <w:rPr>
          <w:rFonts w:ascii="Times New Roman" w:hAnsi="Times New Roman" w:cs="Times New Roman"/>
          <w:sz w:val="24"/>
          <w:szCs w:val="24"/>
        </w:rPr>
        <w:fldChar w:fldCharType="end"/>
      </w:r>
      <w:r>
        <w:rPr>
          <w:rFonts w:ascii="Times New Roman" w:hAnsi="Times New Roman" w:cs="Times New Roman"/>
          <w:sz w:val="24"/>
          <w:szCs w:val="24"/>
        </w:rPr>
        <w:t>. That is, it would be hard to do otherwise, if one is choosing an option without any awareness of how and why it is being chosen. From an empirical stand point, this is a moot point because so far there simply isn’t enough evidence to suggest that Type 1 nudges work, and if they do, there is no good evidence to suggest that they are influencing behavior on a non-conscious level</w:t>
      </w:r>
      <w:r>
        <w:rPr>
          <w:rFonts w:ascii="Times New Roman" w:hAnsi="Times New Roman" w:cs="Times New Roman"/>
          <w:sz w:val="24"/>
          <w:szCs w:val="24"/>
          <w:lang w:eastAsia="zh-CN"/>
        </w:rPr>
        <w:t xml:space="preserve"> </w:t>
      </w:r>
      <w:r>
        <w:rPr>
          <w:rFonts w:ascii="Times New Roman" w:hAnsi="Times New Roman" w:cs="Times New Roman"/>
          <w:sz w:val="24"/>
          <w:szCs w:val="24"/>
          <w:lang w:val="en-GB" w:eastAsia="zh-CN"/>
        </w:rPr>
        <w:fldChar w:fldCharType="begin" w:fldLock="1"/>
      </w:r>
      <w:r>
        <w:rPr>
          <w:rFonts w:ascii="Times New Roman" w:hAnsi="Times New Roman" w:cs="Times New Roman"/>
          <w:sz w:val="24"/>
          <w:szCs w:val="24"/>
          <w:lang w:val="en-GB" w:eastAsia="zh-CN"/>
        </w:rPr>
        <w:instrText>ADDIN CSL_CITATION { "citationItems" : [ { "id" : "ITEM-1", "itemData" : { "author" : [ { "dropping-particle" : "", "family" : "Osman", "given" : "Magda", "non-dropping-particle" : "", "parse-names" : false, "suffix" : "" } ], "id" : "ITEM-1", "issued" : { "date-parts" : [ [ "2014" ] ] }, "publisher" : "Palgrave Macmillan", "publisher-place" : "New York", "title" : "Future-minded: The Psychology of Agency and Control", "type" : "book" }, "uris" : [ "http://www.mendeley.com/documents/?uuid=bf0af7c0-575a-44f4-94ea-9d55c253c4cd" ] } ], "mendeley" : { "formattedCitation" : "(Osman, 2014)", "plainTextFormattedCitation" : "(Osman, 2014)", "previouslyFormattedCitation" : "(Osman, 2014)" }, "properties" : { "noteIndex" : 0 }, "schema" : "https://github.com/citation-style-language/schema/raw/master/csl-citation.json" }</w:instrText>
      </w:r>
      <w:r>
        <w:rPr>
          <w:rFonts w:ascii="Times New Roman" w:hAnsi="Times New Roman" w:cs="Times New Roman"/>
          <w:sz w:val="24"/>
          <w:szCs w:val="24"/>
          <w:lang w:val="en-GB" w:eastAsia="zh-CN"/>
        </w:rPr>
        <w:fldChar w:fldCharType="separate"/>
      </w:r>
      <w:r>
        <w:rPr>
          <w:rFonts w:ascii="Times New Roman" w:hAnsi="Times New Roman" w:cs="Times New Roman"/>
          <w:noProof/>
          <w:sz w:val="24"/>
          <w:szCs w:val="24"/>
          <w:lang w:val="en-GB" w:eastAsia="zh-CN"/>
        </w:rPr>
        <w:t>(Osman, 2014)</w:t>
      </w:r>
      <w:r>
        <w:rPr>
          <w:rFonts w:ascii="Times New Roman" w:hAnsi="Times New Roman" w:cs="Times New Roman"/>
          <w:sz w:val="24"/>
          <w:szCs w:val="24"/>
          <w:lang w:val="en-GB" w:eastAsia="zh-CN"/>
        </w:rPr>
        <w:fldChar w:fldCharType="end"/>
      </w:r>
      <w:r>
        <w:rPr>
          <w:rFonts w:ascii="Times New Roman" w:hAnsi="Times New Roman" w:cs="Times New Roman"/>
          <w:sz w:val="24"/>
          <w:szCs w:val="24"/>
        </w:rPr>
        <w:t xml:space="preserve">. Rather, the ethical problems that researchers have raised consider the rationale behind the nudge program itself, and the extent to which an endeavor that has global appeal should be a cause for concern. Nudge defenders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"ISBN" : "0300146817", "abstract" : "style=\"MARGIN: 0in 0in 0pt\"&gt;A groundbreaking discussion of how we can apply the new science of choice architecture to nudge people toward decisions that will improve their lives by making them healthier, wealthier, and more free", "author" : [ { "dropping-particle" : "", "family" : "Thaler", "given" : "Richard H.", "non-dropping-particle" : "", "parse-names" : false, "suffix" : "" }, { "dropping-particle" : "", "family" : "Sunstein", "given" : "C. R.", "non-dropping-particle" : "", "parse-names" : false, "suffix" : "" } ], "id" : "ITEM-1", "issued" : { "date-parts" : [ [ "2008" ] ] }, "number-of-pages" : "293", "publisher" : "Yale University Press", "publisher-place" : "New Haven", "title" : "Nudge: Improving Decisions about Health, Wealth, and Happiness", "type" : "book" }, "uris" : [ "http://www.mendeley.com/documents/?uuid=c441f339-9711-4f66-9a29-dd13dbb39baf" ] }, { "id" : "ITEM-2", "itemData" : { "author" : [ { "dropping-particle" : "", "family" : "Sunstein", "given" : "C. R.", "non-dropping-particle" : "", "parse-names" : false, "suffix" : "" } ], "edition" : "ed.", "id" : "ITEM-2", "issued" : { "date-parts" : [ [ "2016" ] ] }, "publisher" : "Cambridge University Press", "title" : "The Ethics of Influence: Government in the Age of Behavioral Science", "type" : "book" }, "uris" : [ "http://www.mendeley.com/documents/?uuid=c1060cd0-e05e-4dde-ac63-d3afdc6c0ceb" ] } ], "mendeley" : { "formattedCitation" : "(Sunstein, 2016c; Thaler &amp; Sunstein, 2008)", "plainTextFormattedCitation" : "(Sunstein, 2016c; Thaler &amp; Sunstein, 2008)", "previouslyFormattedCitation" : "(Sunstein, 2016c; Thaler &amp; Sunstein, 2008)"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(Sunstein, 2016c; Thaler &amp; Sunstein, 2008)</w:t>
      </w:r>
      <w:r>
        <w:rPr>
          <w:rFonts w:ascii="Times New Roman" w:hAnsi="Times New Roman" w:cs="Times New Roman"/>
          <w:sz w:val="24"/>
          <w:szCs w:val="24"/>
        </w:rPr>
        <w:fldChar w:fldCharType="end"/>
      </w:r>
      <w:r>
        <w:rPr>
          <w:rFonts w:ascii="Times New Roman" w:hAnsi="Times New Roman" w:cs="Times New Roman"/>
          <w:sz w:val="24"/>
          <w:szCs w:val="24"/>
        </w:rPr>
        <w:t xml:space="preserve"> appeal to comparisons with typical social policy tools such as mandates, taxes and bans as a way to explicitly and more heavy handedly steer people to behave in a manner that maximizes their own and society’s good (i.e. seatbelt laws, fat tax, smoking bans). Though a critical point to highlight here is that typical policy measures are explicit, and often accompanied by educational campaigns, so the public is well aware of the basis on which their choices are being modified, even if they aren’t necessarily happy about it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"Osman", "given" : "Magda", "non-dropping-particle" : "", "parse-names" : false, "suffix" : "" } ], "id" : "ITEM-1", "issued" : { "date-parts" : [ [ "2014" ] ] }, "publisher" : "Palgrave Macmillan", "publisher-place" : "New York", "title" : "Future-minded: The Psychology of Agency and Control", "type" : "book" }, "uris" : [ "http://www.mendeley.com/documents/?uuid=bf0af7c0-575a-44f4-94ea-9d55c253c4cd" ] }, { "id" : "ITEM-2", "itemData" : { "DOI" : "10.1038/s41562-016-0013", "author" : [ { "dropping-particle" : "", "family" : "Weber", "given" : "E. U.", "non-dropping-particle" : "", "parse-names" : false, "suffix" : "" } ], "container-title" : "Nature Human Behaviour", "id" : "ITEM-2", "issued" : { "date-parts" : [ [ "2017" ] ] }, "page" : "0013", "title" : "Breaking cognitive barriers to a sustainable future", "type" : "article-journal", "volume" : "1" }, "uris" : [ "http://www.mendeley.com/documents/?uuid=a7b9a20c-89fe-4be9-9635-212faf9770b8" ] } ], "mendeley" : { "formattedCitation" : "(Osman, 2014; Weber, 2017)", "plainTextFormattedCitation" : "(Osman, 2014; Weber, 2017)", "previouslyFormattedCitation" : "(Osman, 2014; Weber, 2017)"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(Osman, 2014; Weber, 2017)</w:t>
      </w:r>
      <w:r>
        <w:rPr>
          <w:rFonts w:ascii="Times New Roman" w:hAnsi="Times New Roman" w:cs="Times New Roman"/>
          <w:sz w:val="24"/>
          <w:szCs w:val="24"/>
        </w:rPr>
        <w:fldChar w:fldCharType="end"/>
      </w:r>
      <w:r>
        <w:rPr>
          <w:rFonts w:ascii="Times New Roman" w:hAnsi="Times New Roman" w:cs="Times New Roman"/>
          <w:sz w:val="24"/>
          <w:szCs w:val="24"/>
        </w:rPr>
        <w:t xml:space="preserve"> In this regard, it is worth also considering the fact that public surveys of nudges also suggest that the public show much higher approval ratings for Type 2 over Type 1 nudges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"Arad", "given" : "A.", "non-dropping-particle" : "", "parse-names" : false, "suffix" : "" }, { "dropping-particle" : "", "family" : "Rubinstein", "given" : "A.", "non-dropping-particle" : "", "parse-names" : false, "suffix" : "" } ], "id" : "ITEM-1", "issued" : { "date-parts" : [ [ "2015" ] ] }, "title" : "The People\u2019s Perspective on Libertarian-Paternalistic Policies", "type" : "report" }, "uris" : [ "http://www.mendeley.com/documents/?uuid=6105b340-8731-47ec-a1c6-b6683a4bc650" ] }, { "id" : "ITEM-2", "itemData" : { "DOI" : "10.1177/2332858416674007", "author" : [ { "dropping-particle" : "", "family" : "Felsen", "given" : "G.", "non-dropping-particle" : "", "parse-names" : false, "suffix" : "" }, { "dropping-particle" : "", "family" : "Castelo", "given" : "N.", "non-dropping-particle" : "", "parse-names" : false, "suffix" : "" }, { "dropping-particle" : "", "family" : "Reiner", "given" : "P. B.", "non-dropping-particle" : "", "parse-names" : false, "suffix" : "" } ], "container-title" : "Judgement and Decision Making", "id" : "ITEM-2", "issue" : "3", "issued" : { "date-parts" : [ [ "2013" ] ] }, "page" : "202", "title" : "Decisional enhancement and autonomy: public attitudes towards overt and covert nudges", "type" : "article-journal", "volume" : "8" }, "uris" : [ "http://www.mendeley.com/documents/?uuid=41826e54-6895-46f6-8047-bc77cf9569f8" ] }, { "id" : "ITEM-3", "itemData" : { "DOI" : "10.1007/s13164-015-0263-2", "author" : [ { "dropping-particle" : "", "family" : "Hagman", "given" : "W.", "non-dropping-particle" : "", "parse-names" : false, "suffix" : "" }, { "dropping-particle" : "", "family" : "Andersson", "given" : "D.", "non-dropping-particle" : "", "parse-names" : false, "suffix" : "" }, { "dropping-particle" : "", "family" : "V\u00e4stfj\u00e4ll", "given" : "D.", "non-dropping-particle" : "", "parse-names" : false, "suffix" : "" }, { "dropping-particle" : "", "family" : "Tingh\u00f6g", "given" : "G.", "non-dropping-particle" : "", "parse-names" : false, "suffix" : "" } ], "container-title" : "Review of Philosophy and Psychology", "id" : "ITEM-3", "issue" : "3", "issued" : { "date-parts" : [ [ "2015" ] ] }, "page" : "439-453", "title" : "Public Views on Policies Involving Nudges", "type" : "article-journal", "volume" : "6" }, "uris" : [ "http://www.mendeley.com/documents/?uuid=8fad5942-f940-432f-bb42-7e8da2319a50" ] }, { "id" : "ITEM-4", "itemData" : { "author" : [ { "dropping-particle" : "", "family" : "Hedlin", "given" : "S.", "non-dropping-particle" : "", "parse-names" : false, "suffix" : "" }, { "dropping-particle" : "", "family" : "Sunstein", "given" : "C. R.", "non-dropping-particle" : "", "parse-names" : false, "suffix" : "" } ], "container-title" : "Ecology", "id" : "ITEM-4", "issued" : { "date-parts" : [ [ "2016" ] ] }, "page" : "107", "title" : "Does Active Choosing Promote Green Energy Use: Experimental Evidence", "type" : "article-journal", "volume" : "43" }, "uris" : [ "http://www.mendeley.com/documents/?uuid=9f4f4d35-ba9c-4c62-bb44-8c8caecd548f" ] }, { "id" : "ITEM-5", "itemData" : { "author" : [ { "dropping-particle" : "", "family" : "Jung", "given" : "J. Y.", "non-dropping-particle" : "", "parse-names" : false, "suffix" : "" }, { "dropping-particle" : "", "family" : "Mellers", "given" : "B. A. M.", "non-dropping-particle" : "", "parse-names" : false, "suffix" : "" } ], "container-title" : "Judgement and Decision Making", "id" : "ITEM-5", "issue" : "1", "issued" : { "date-parts" : [ [ "2016" ] ] }, "page" : "62-74", "title" : "American attitudes toward nudges. Judgment and Decision Making", "type" : "article-journal", "volume" : "11" }, "uris" : [ "http://www.mendeley.com/documents/?uuid=9849df06-c8c8-4137-a815-6de5592bcd06" ] }, { "id" : "ITEM-6", "itemData" : { "DOI" : "10.1017/S1744133114000346", "PMID" : "25170630", "abstract" : "&lt;p&gt;World Health Organization estimates that obesity accounts for 2?8% of health care costs in different parts of Europe, and highlights a key role for national policymaking in curbing the epidemic. A variety of healthy-eating policy instruments are available, ranging from more paternalistic policies to those less intrusive. Our aim is to measure and explain the level of public support for different types of healthy eating policy in Europe, based on data from a probabilistic sample of 3003 respondents in five European countries. We find that the main drivers of policy support are attitudinal factors, especially attribution of obesity to excessive availability of unhealthy foods, while socio-demographic characteristics and political preferences have little explanatory power. A high level of support for healthy eating policy does not translate into acceptance of higher taxes to fund them, however.&lt;/p&gt;", "author" : [ { "dropping-particle" : "", "family" : "Mazzocchi", "given" : "Mario", "non-dropping-particle" : "", "parse-names" : false, "suffix" : "" }, { "dropping-particle" : "", "family" : "Cagnone", "given" : "Silvia", "non-dropping-particle" : "", "parse-names" : false, "suffix" : "" }, { "dropping-particle" : "", "family" : "Bech-Larsen", "given" : "Tino", "non-dropping-particle" : "", "parse-names" : false, "suffix" : "" }, { "dropping-particle" : "", "family" : "Nied\u017awiedzka", "given" : "Barbara", "non-dropping-particle" : "", "parse-names" : false, "suffix" : "" }, { "dropping-particle" : "", "family" : "Saba", "given" : "Anna", "non-dropping-particle" : "", "parse-names" : false, "suffix" : "" }, { "dropping-particle" : "", "family" : "Shankar", "given" : "Bhavani", "non-dropping-particle" : "", "parse-names" : false, "suffix" : "" }, { "dropping-particle" : "", "family" : "Verbeke", "given" : "Wim", "non-dropping-particle" : "", "parse-names" : false, "suffix" : "" }, { "dropping-particle" : "", "family" : "Traill", "given" : "W Bruce", "non-dropping-particle" : "", "parse-names" : false, "suffix" : "" } ], "container-title" : "Health Economics, Policy and Law", "id" : "ITEM-6", "issue" : "03", "issued" : { "date-parts" : [ [ "2015", "7", "29" ] ] }, "page" : "267-292", "title" : "What is the public appetite for healthy eating policies? Evidence from a cross-European survey", "type" : "article-journal", "volume" : "10" }, "uris" : [ "http://www.mendeley.com/documents/?uuid=47c770e1-c46a-395e-b9d5-02a89f015fc7" ] }, { "id" : "ITEM-7", "itemData" : { "author" : [ { "dropping-particle" : "", "family" : "Reisch", "given" : "L. A.", "non-dropping-particle" : "", "parse-names" : false, "suffix" : "" }, { "dropping-particle" : "", "family" : "Sunstein", "given" : "C. R.", "non-dropping-particle" : "", "parse-names" : false, "suffix" : "" } ], "container-title" : "Judgement and Decision Making", "id" : "ITEM-7", "issue" : "4", "issued" : { "date-parts" : [ [ "2016" ] ] }, "page" : "310-325", "title" : "Do Europeans like nudges?", "type" : "article-journal", "volume" : "11" }, "uris" : [ "http://www.mendeley.com/documents/?uuid=762346f1-47bc-49bb-87f3-fc953a6ad851" ] }, { "id" : "ITEM-8", "itemData" : { "DOI" : "doi.org/10.1016/j.foodpol.2017.01.007", "author" : [ { "dropping-particle" : "", "family" : "Reisch", "given" : "L. A.", "non-dropping-particle" : "", "parse-names" : false, "suffix" : "" }, { "dropping-particle" : "", "family" : "Sunstein", "given" : "C. R.", "non-dropping-particle" : "", "parse-names" : false, "suffix" : "" }, { "dropping-particle" : "", "family" : "Gwozdz", "given" : "W.", "non-dropping-particle" : "", "parse-names" : false, "suffix" : "" } ], "container-title" : "Food Policy", "id" : "ITEM-8", "issued" : { "date-parts" : [ [ "2016" ] ] }, "page" : "1-10", "title" : "Better Than A Whip? European Attitudes Toward Health Nudges", "type" : "article-journal", "volume" : "69" }, "uris" : [ "http://www.mendeley.com/documents/?uuid=b2a77805-5684-49af-8592-3a159847672d" ] }, { "id" : "ITEM-9", "itemData" : { "author" : [ { "dropping-particle" : "", "family" : "Sunstein", "given" : "C. R.", "non-dropping-particle" : "", "parse-names" : false, "suffix" : "" } ], "container-title" : "Duke Law Journal", "id" : "ITEM-9", "issued" : { "date-parts" : [ [ "2016" ] ] }, "page" : "121-168", "title" : "People prefer system 2 nudges (kind of)", "type" : "article-journal", "volume" : "66" }, "uris" : [ "http://www.mendeley.com/documents/?uuid=629cd0b8-b3cf-426c-92fe-f1b40ec53b33" ] }, { "id" : "ITEM-10", "itemData" : { "DOI" : "10.2139/ssrn.2955693", "author" : [ { "dropping-particle" : "", "family" : "Sunstein", "given" : "C. R.", "non-dropping-particle" : "", "parse-names" : false, "suffix" : "" }, { "dropping-particle" : "", "family" : "Reisch", "given" : "Lucia A.", "non-dropping-particle" : "", "parse-names" : false, "suffix" : "" }, { "dropping-particle" : "", "family" : "Rauber", "given" : "Julius", "non-dropping-particle" : "", "parse-names" : false, "suffix" : "" } ], "container-title" : "Regulation and Governance", "id" : "ITEM-10", "issued" : { "date-parts" : [ [ "2017", "4", "20" ] ] }, "title" : "A World-Wide Consensus on Nudging? Not Quite, But Almost", "type" : "report" }, "uris" : [ "http://www.mendeley.com/documents/?uuid=68ee9592-5cc3-3e3b-a419-ddbfb5942344" ] } ], "mendeley" : { "formattedCitation" : "(Arad &amp; Rubinstein, 2015; Felsen, Castelo, &amp; Reiner, 2013; Hagman, Andersson, V\u00e4stfj\u00e4ll, &amp; Tingh\u00f6g, 2015; Hedlin &amp; Sunstein, 2016; Jung &amp; Mellers, 2016; Mazzocchi et al., 2015; Reisch &amp; Sunstein, 2016; Reisch, Sunstein, &amp; Gwozdz, 2016; Sunstein, 2016b; Sunstein, Reisch, &amp; Rauber, 2017)", "plainTextFormattedCitation" : "(Arad &amp; Rubinstein, 2015; Felsen, Castelo, &amp; Reiner, 2013; Hagman, Andersson, V\u00e4stfj\u00e4ll, &amp; Tingh\u00f6g, 2015; Hedlin &amp; Sunstein, 2016; Jung &amp; Mellers, 2016; Mazzocchi et al., 2015; Reisch &amp; Sunstein, 2016; Reisch, Sunstein, &amp; Gwozdz, 2016; Sunstein, 2016b; Sunstein, Reisch, &amp; Rauber, 2017)", "previouslyFormattedCitation" : "(Arad &amp; Rubinstein, 2015; Felsen, Castelo, &amp; Reiner, 2013; Hagman, Andersson, V\u00e4stfj\u00e4ll, &amp; Tingh\u00f6g, 2015; Hedlin &amp; Sunstein, 2016; Jung &amp; Mellers, 2016; Mazzocchi et al., 2015; Reisch &amp; Sunstein, 2016; Reisch, Sunstein, &amp; Gwozdz, 2016; Sunstein, 2016b; Sunstein, Reisch, &amp; Rauber, 2017)"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(Arad &amp; Rubinstein, 2015; Felsen, Castelo, &amp; Reiner, 2013; Hagman, Andersson, Västfjäll, &amp; Tinghög, 2015; Hedlin &amp; Sunstein, 2016; Jung &amp; Mellers, 2016; Mazzocchi et al., 2015; Reisch &amp; Sunstein, 2016; Reisch, Sunstein, &amp; Gwozdz, 2016; Sunstein, 2016b; Sunstein, Reisch, &amp; Rauber, 2017)</w:t>
      </w:r>
      <w:r>
        <w:rPr>
          <w:rFonts w:ascii="Times New Roman" w:hAnsi="Times New Roman" w:cs="Times New Roman"/>
          <w:sz w:val="24"/>
          <w:szCs w:val="24"/>
        </w:rPr>
        <w:fldChar w:fldCharType="end"/>
      </w:r>
      <w:r>
        <w:rPr>
          <w:rFonts w:ascii="Times New Roman" w:hAnsi="Times New Roman" w:cs="Times New Roman"/>
          <w:sz w:val="24"/>
          <w:szCs w:val="24"/>
        </w:rPr>
        <w:t xml:space="preserve">.  Again, this goes to show that, whether or not people are going to modify their behavior in light of nudges, or more typical policy methods of behavioral change, they are supportive of explicit methods that signal what methods are being used and how they change behavior over those that seek to do this covertly, especially </w:t>
      </w:r>
      <w:r>
        <w:rPr>
          <w:rFonts w:ascii="Times New Roman" w:hAnsi="Times New Roman" w:cs="Times New Roman"/>
          <w:sz w:val="24"/>
          <w:szCs w:val="24"/>
        </w:rPr>
        <w:lastRenderedPageBreak/>
        <w:t xml:space="preserve">without their consent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"ISSN" : "2269-8450", "abstract" : "1. Nudge: The Pitch Suppose that a government\u2019s social policy agenda is to promote a healthier, wealthier, and happier population. The problem is that our psychological makeup means that we find it hard to behave in ways that consistently meet these objectives. Over half a century, a steady accumulation of social scientific research shows that people are susceptible to cognitive biases, that they fail to exercise self-control when it really matters, give in to their emotions too easily, and m...", "author" : [ { "dropping-particle" : "", "family" : "Osman", "given" : "Magda", "non-dropping-particle" : "", "parse-names" : false, "suffix" : "" } ], "container-title" : "\u0152conomia. History, Methodology, Philosophy", "id" : "ITEM-1", "issue" : "6-4", "issued" : { "date-parts" : [ [ "2016" ] ] }, "page" : "557-570", "publisher" : "Association \u0152conomia", "title" : "Nudge: How Far Have We Come?", "type" : "article-journal" }, "uris" : [ "http://www.mendeley.com/documents/?uuid=a2a8b5dc-00ad-37f4-8dd9-ef60a0f09da3" ] } ], "mendeley" : { "formattedCitation" : "(Osman, 2016)", "plainTextFormattedCitation" : "(Osman, 2016)", "previouslyFormattedCitation" : "(Osman, 2016)"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(Osman, 2016)</w:t>
      </w:r>
      <w:r>
        <w:rPr>
          <w:rFonts w:ascii="Times New Roman" w:hAnsi="Times New Roman" w:cs="Times New Roman"/>
          <w:sz w:val="24"/>
          <w:szCs w:val="24"/>
        </w:rPr>
        <w:fldChar w:fldCharType="end"/>
      </w:r>
      <w:r>
        <w:rPr>
          <w:rFonts w:ascii="Times New Roman" w:hAnsi="Times New Roman" w:cs="Times New Roman"/>
          <w:sz w:val="24"/>
          <w:szCs w:val="24"/>
        </w:rPr>
        <w:t xml:space="preserve">. On a macro level, in a democratic society, nudges, like other governance interventions, would be subject to evaluation by the government official that represents the citizens’ interest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"10.2139/ssrn.2604084", "ISSN" : "1556-5068", "author" : [ { "dropping-particle" : "", "family" : "Sunstein", "given" : "C. R.", "non-dropping-particle" : "", "parse-names" : false, "suffix" : "" } ], "container-title" : "Administrative Law Review, Forthcoming", "id" : "ITEM-1", "issued" : { "date-parts" : [ [ "2016" ] ] }, "title" : "Do People Like Nudges?", "type" : "article-journal" }, "uris" : [ "http://www.mendeley.com/documents/?uuid=5837dd45-d60f-3868-a645-47c6789554c9" ] } ], "mendeley" : { "formattedCitation" : "(Sunstein, 2016a)", "plainTextFormattedCitation" : "(Sunstein, 2016a)", "previouslyFormattedCitation" : "(Sunstein, 2016a)" }, "properties" : { "noteIndex" : 0 }, "schema" : "https://github.com/citation-style-language/schema/raw/master/csl-citation.json"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(Sunstein, 2016a)</w:t>
      </w:r>
      <w:r>
        <w:rPr>
          <w:rFonts w:ascii="Times New Roman" w:hAnsi="Times New Roman" w:cs="Times New Roman"/>
          <w:sz w:val="24"/>
          <w:szCs w:val="24"/>
        </w:rPr>
        <w:fldChar w:fldCharType="end"/>
      </w:r>
      <w:r>
        <w:rPr>
          <w:rFonts w:ascii="Times New Roman" w:hAnsi="Times New Roman" w:cs="Times New Roman"/>
          <w:sz w:val="24"/>
          <w:szCs w:val="24"/>
        </w:rPr>
        <w:t xml:space="preserve">. If there are indeed strong objections against nudge, then public officials would be and should be attentive to public views of their consent to implement them, as well as acquiring evidence to examine their effectiveness. Similarly, the duty of public officials is to promote the welfare of the citizen in the long-term, but this cannot be done in a liberal society without discussion and debate. </w:t>
      </w:r>
    </w:p>
    <w:p>
      <w:pPr>
        <w:spacing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In conclusion, the motivation behind this review was a fairly simple, to better understand how nudges work. With that in mind, once this is achieved, then the better armed we (social scientists, policy makers, practitioner) are in designing ways of intervening on behaviors to achieve the best outcome for individuals that need and want it. In this review we argue that any meaningful change in behavior arises from developing a consistently coherent basis on which people understand the reasons for their decisions and how they enact them. If, through nudges, we want to encourage people to help themselves, particularly in targeting serious problems around NCDs, we need to make the goal of helping oneself making better lifestyle choices a coherent and sustained approach. We argue that for theoretical, empirical, and ethical reasons, this is best achieved through Type 2 rather than Type 1 nudges.</w:t>
      </w:r>
    </w:p>
    <w:p>
      <w:pPr>
        <w:rPr>
          <w:rFonts w:ascii="Times New Roman" w:hAnsi="Times New Roman" w:cs="Times New Roman"/>
          <w:sz w:val="24"/>
          <w:szCs w:val="24"/>
        </w:rPr>
      </w:pPr>
      <w:r>
        <w:rPr>
          <w:rFonts w:ascii="Times New Roman" w:hAnsi="Times New Roman" w:cs="Times New Roman"/>
          <w:sz w:val="24"/>
          <w:szCs w:val="24"/>
        </w:rPr>
        <w:br w:type="page"/>
      </w:r>
    </w:p>
    <w:p>
      <w:pPr>
        <w:spacing w:line="480" w:lineRule="auto"/>
        <w:ind w:firstLine="720"/>
        <w:contextualSpacing/>
        <w:jc w:val="both"/>
        <w:rPr>
          <w:rFonts w:ascii="Times New Roman" w:hAnsi="Times New Roman" w:cs="Times New Roman"/>
          <w:sz w:val="24"/>
          <w:szCs w:val="24"/>
        </w:rPr>
      </w:pPr>
    </w:p>
    <w:p>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References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Andersen, R. E., Franckowiak, S. C., Snyder, J., Bartlett, S. J., &amp; Fontaine, K. R. (1998). Can Inexpensive Signs Encourage the Use of Stairs? Results From a Community Intervention. </w:t>
      </w:r>
      <w:r>
        <w:rPr>
          <w:rFonts w:ascii="Times New Roman" w:hAnsi="Times New Roman" w:cs="Times New Roman"/>
          <w:i/>
          <w:iCs/>
          <w:noProof/>
          <w:sz w:val="24"/>
          <w:szCs w:val="24"/>
        </w:rPr>
        <w:t>Annals of Internal Medicine</w:t>
      </w:r>
      <w:r>
        <w:rPr>
          <w:rFonts w:ascii="Times New Roman" w:hAnsi="Times New Roman" w:cs="Times New Roman"/>
          <w:noProof/>
          <w:sz w:val="24"/>
          <w:szCs w:val="24"/>
        </w:rPr>
        <w:t xml:space="preserve">, </w:t>
      </w:r>
      <w:r>
        <w:rPr>
          <w:rFonts w:ascii="Times New Roman" w:hAnsi="Times New Roman" w:cs="Times New Roman"/>
          <w:i/>
          <w:iCs/>
          <w:noProof/>
          <w:sz w:val="24"/>
          <w:szCs w:val="24"/>
        </w:rPr>
        <w:t>129</w:t>
      </w:r>
      <w:r>
        <w:rPr>
          <w:rFonts w:ascii="Times New Roman" w:hAnsi="Times New Roman" w:cs="Times New Roman"/>
          <w:noProof/>
          <w:sz w:val="24"/>
          <w:szCs w:val="24"/>
        </w:rPr>
        <w:t>(5), 363–369.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Arad, A., &amp; Rubinstein, A. (2015). </w:t>
      </w:r>
      <w:r>
        <w:rPr>
          <w:rFonts w:ascii="Times New Roman" w:hAnsi="Times New Roman" w:cs="Times New Roman"/>
          <w:i/>
          <w:iCs/>
          <w:noProof/>
          <w:sz w:val="24"/>
          <w:szCs w:val="24"/>
        </w:rPr>
        <w:t>The People’s Perspective on Libertarian-Paternalistic Policies</w:t>
      </w:r>
      <w:r>
        <w:rPr>
          <w:rFonts w:ascii="Times New Roman" w:hAnsi="Times New Roman" w:cs="Times New Roman"/>
          <w:noProof/>
          <w:sz w:val="24"/>
          <w:szCs w:val="24"/>
        </w:rPr>
        <w:t>.</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Ashcroft, R. E. (2013). Doing good by stealth: comments on “Salvaging the concept of nudge”. </w:t>
      </w:r>
      <w:r>
        <w:rPr>
          <w:rFonts w:ascii="Times New Roman" w:hAnsi="Times New Roman" w:cs="Times New Roman"/>
          <w:i/>
          <w:iCs/>
          <w:noProof/>
          <w:sz w:val="24"/>
          <w:szCs w:val="24"/>
        </w:rPr>
        <w:t>Journal of Medical Ethics</w:t>
      </w:r>
      <w:r>
        <w:rPr>
          <w:rFonts w:ascii="Times New Roman" w:hAnsi="Times New Roman" w:cs="Times New Roman"/>
          <w:noProof/>
          <w:sz w:val="24"/>
          <w:szCs w:val="24"/>
        </w:rPr>
        <w:t xml:space="preserve">, </w:t>
      </w:r>
      <w:r>
        <w:rPr>
          <w:rFonts w:ascii="Times New Roman" w:hAnsi="Times New Roman" w:cs="Times New Roman"/>
          <w:i/>
          <w:iCs/>
          <w:noProof/>
          <w:sz w:val="24"/>
          <w:szCs w:val="24"/>
        </w:rPr>
        <w:t>39</w:t>
      </w:r>
      <w:r>
        <w:rPr>
          <w:rFonts w:ascii="Times New Roman" w:hAnsi="Times New Roman" w:cs="Times New Roman"/>
          <w:noProof/>
          <w:sz w:val="24"/>
          <w:szCs w:val="24"/>
        </w:rPr>
        <w:t>(8), 494. http://doi.org/10.1136/medethics-2012-101109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Attwood, A. S., Scott-Samuel, N. E., Stothart, G., Munafò, M. R., &amp; Campanella, S. (2012). Glass Shape Influences Consumption Rate for Alcoholic Beverages. </w:t>
      </w:r>
      <w:r>
        <w:rPr>
          <w:rFonts w:ascii="Times New Roman" w:hAnsi="Times New Roman" w:cs="Times New Roman"/>
          <w:i/>
          <w:iCs/>
          <w:noProof/>
          <w:sz w:val="24"/>
          <w:szCs w:val="24"/>
        </w:rPr>
        <w:t>PLoS ONE</w:t>
      </w:r>
      <w:r>
        <w:rPr>
          <w:rFonts w:ascii="Times New Roman" w:hAnsi="Times New Roman" w:cs="Times New Roman"/>
          <w:noProof/>
          <w:sz w:val="24"/>
          <w:szCs w:val="24"/>
        </w:rPr>
        <w:t xml:space="preserve">, </w:t>
      </w:r>
      <w:r>
        <w:rPr>
          <w:rFonts w:ascii="Times New Roman" w:hAnsi="Times New Roman" w:cs="Times New Roman"/>
          <w:i/>
          <w:iCs/>
          <w:noProof/>
          <w:sz w:val="24"/>
          <w:szCs w:val="24"/>
        </w:rPr>
        <w:t>7</w:t>
      </w:r>
      <w:r>
        <w:rPr>
          <w:rFonts w:ascii="Times New Roman" w:hAnsi="Times New Roman" w:cs="Times New Roman"/>
          <w:noProof/>
          <w:sz w:val="24"/>
          <w:szCs w:val="24"/>
        </w:rPr>
        <w:t>(8), e43007. http://doi.org/10.1371/journal.pone.0043007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Australian Government - Department of Health. (2016). </w:t>
      </w:r>
      <w:r>
        <w:rPr>
          <w:rFonts w:ascii="Times New Roman" w:hAnsi="Times New Roman" w:cs="Times New Roman"/>
          <w:i/>
          <w:iCs/>
          <w:noProof/>
          <w:sz w:val="24"/>
          <w:szCs w:val="24"/>
        </w:rPr>
        <w:t>Post-Implementation Review Tobacco Plain Packaging 2016</w:t>
      </w:r>
      <w:r>
        <w:rPr>
          <w:rFonts w:ascii="Times New Roman" w:hAnsi="Times New Roman" w:cs="Times New Roman"/>
          <w:noProof/>
          <w:sz w:val="24"/>
          <w:szCs w:val="24"/>
        </w:rPr>
        <w:t>. Retrieved from http://ris.pmc.gov.au/sites/default/files/posts/2016/02/Tobacco-Plain-Packaging-PIR.pdf</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Åvitsland, A., Solbraa, A. K., &amp; Riiser, A. (2017). Promoting workplace stair climbing: sometimes, not interfering is the best. </w:t>
      </w:r>
      <w:r>
        <w:rPr>
          <w:rFonts w:ascii="Times New Roman" w:hAnsi="Times New Roman" w:cs="Times New Roman"/>
          <w:i/>
          <w:iCs/>
          <w:noProof/>
          <w:sz w:val="24"/>
          <w:szCs w:val="24"/>
        </w:rPr>
        <w:t>Archives of Public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75</w:t>
      </w:r>
      <w:r>
        <w:rPr>
          <w:rFonts w:ascii="Times New Roman" w:hAnsi="Times New Roman" w:cs="Times New Roman"/>
          <w:noProof/>
          <w:sz w:val="24"/>
          <w:szCs w:val="24"/>
        </w:rPr>
        <w:t>, 2. http://doi.org/10.1186/s13690-016-0170-8</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Baer, J. S., Stacy, A., &amp; Larimer, M. (1991). Biases in the perception of drinking norms among college students. </w:t>
      </w:r>
      <w:r>
        <w:rPr>
          <w:rFonts w:ascii="Times New Roman" w:hAnsi="Times New Roman" w:cs="Times New Roman"/>
          <w:i/>
          <w:iCs/>
          <w:noProof/>
          <w:sz w:val="24"/>
          <w:szCs w:val="24"/>
        </w:rPr>
        <w:t>Journal of Studies on Alcohol</w:t>
      </w:r>
      <w:r>
        <w:rPr>
          <w:rFonts w:ascii="Times New Roman" w:hAnsi="Times New Roman" w:cs="Times New Roman"/>
          <w:noProof/>
          <w:sz w:val="24"/>
          <w:szCs w:val="24"/>
        </w:rPr>
        <w:t xml:space="preserve">, </w:t>
      </w:r>
      <w:r>
        <w:rPr>
          <w:rFonts w:ascii="Times New Roman" w:hAnsi="Times New Roman" w:cs="Times New Roman"/>
          <w:i/>
          <w:iCs/>
          <w:noProof/>
          <w:sz w:val="24"/>
          <w:szCs w:val="24"/>
        </w:rPr>
        <w:t>52</w:t>
      </w:r>
      <w:r>
        <w:rPr>
          <w:rFonts w:ascii="Times New Roman" w:hAnsi="Times New Roman" w:cs="Times New Roman"/>
          <w:noProof/>
          <w:sz w:val="24"/>
          <w:szCs w:val="24"/>
        </w:rPr>
        <w:t>(6), 580–586.</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Baldwin, R. (2014). From Regulation to Behaviour Change: Giving Nudge the Third Degree. </w:t>
      </w:r>
      <w:r>
        <w:rPr>
          <w:rFonts w:ascii="Times New Roman" w:hAnsi="Times New Roman" w:cs="Times New Roman"/>
          <w:i/>
          <w:iCs/>
          <w:noProof/>
          <w:sz w:val="24"/>
          <w:szCs w:val="24"/>
        </w:rPr>
        <w:t>The Modern Law Review</w:t>
      </w:r>
      <w:r>
        <w:rPr>
          <w:rFonts w:ascii="Times New Roman" w:hAnsi="Times New Roman" w:cs="Times New Roman"/>
          <w:noProof/>
          <w:sz w:val="24"/>
          <w:szCs w:val="24"/>
        </w:rPr>
        <w:t xml:space="preserve">, </w:t>
      </w:r>
      <w:r>
        <w:rPr>
          <w:rFonts w:ascii="Times New Roman" w:hAnsi="Times New Roman" w:cs="Times New Roman"/>
          <w:i/>
          <w:iCs/>
          <w:noProof/>
          <w:sz w:val="24"/>
          <w:szCs w:val="24"/>
        </w:rPr>
        <w:t>77</w:t>
      </w:r>
      <w:r>
        <w:rPr>
          <w:rFonts w:ascii="Times New Roman" w:hAnsi="Times New Roman" w:cs="Times New Roman"/>
          <w:noProof/>
          <w:sz w:val="24"/>
          <w:szCs w:val="24"/>
        </w:rPr>
        <w:t>(6), 831–857. http://doi.org/10.1111/1468-2230.12094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lastRenderedPageBreak/>
        <w:t xml:space="preserve">Blamey, A., Mutrie, N., &amp; Aitchison, T. (1995). Health promotion by encouraged use of stairs. </w:t>
      </w:r>
      <w:r>
        <w:rPr>
          <w:rFonts w:ascii="Times New Roman" w:hAnsi="Times New Roman" w:cs="Times New Roman"/>
          <w:i/>
          <w:iCs/>
          <w:noProof/>
          <w:sz w:val="24"/>
          <w:szCs w:val="24"/>
        </w:rPr>
        <w:t>BMJ</w:t>
      </w:r>
      <w:r>
        <w:rPr>
          <w:rFonts w:ascii="Times New Roman" w:hAnsi="Times New Roman" w:cs="Times New Roman"/>
          <w:noProof/>
          <w:sz w:val="24"/>
          <w:szCs w:val="24"/>
        </w:rPr>
        <w:t xml:space="preserve">, </w:t>
      </w:r>
      <w:r>
        <w:rPr>
          <w:rFonts w:ascii="Times New Roman" w:hAnsi="Times New Roman" w:cs="Times New Roman"/>
          <w:i/>
          <w:iCs/>
          <w:noProof/>
          <w:sz w:val="24"/>
          <w:szCs w:val="24"/>
        </w:rPr>
        <w:t>311</w:t>
      </w:r>
      <w:r>
        <w:rPr>
          <w:rFonts w:ascii="Times New Roman" w:hAnsi="Times New Roman" w:cs="Times New Roman"/>
          <w:noProof/>
          <w:sz w:val="24"/>
          <w:szCs w:val="24"/>
        </w:rPr>
        <w:t>(7000), 289–290. http://doi.org/10.1136/bmj.311.7000.289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Blumenthal-Barby, J. S., &amp; Burroughs, H. (2012). Seeking Better Health Care Outcomes: The Ethics of Using the “Nudge.” </w:t>
      </w:r>
      <w:r>
        <w:rPr>
          <w:rFonts w:ascii="Times New Roman" w:hAnsi="Times New Roman" w:cs="Times New Roman"/>
          <w:i/>
          <w:iCs/>
          <w:noProof/>
          <w:sz w:val="24"/>
          <w:szCs w:val="24"/>
        </w:rPr>
        <w:t>The American Journal of Bioethics</w:t>
      </w:r>
      <w:r>
        <w:rPr>
          <w:rFonts w:ascii="Times New Roman" w:hAnsi="Times New Roman" w:cs="Times New Roman"/>
          <w:noProof/>
          <w:sz w:val="24"/>
          <w:szCs w:val="24"/>
        </w:rPr>
        <w:t xml:space="preserve">, </w:t>
      </w:r>
      <w:r>
        <w:rPr>
          <w:rFonts w:ascii="Times New Roman" w:hAnsi="Times New Roman" w:cs="Times New Roman"/>
          <w:i/>
          <w:iCs/>
          <w:noProof/>
          <w:sz w:val="24"/>
          <w:szCs w:val="24"/>
        </w:rPr>
        <w:t>12</w:t>
      </w:r>
      <w:r>
        <w:rPr>
          <w:rFonts w:ascii="Times New Roman" w:hAnsi="Times New Roman" w:cs="Times New Roman"/>
          <w:noProof/>
          <w:sz w:val="24"/>
          <w:szCs w:val="24"/>
        </w:rPr>
        <w:t>(2), 1–10. http://doi.org/10.1080/15265161.2011.634481</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Bonell, C., McKee, M., Fletcher, A., Wilkinson, P., &amp; Haines, A. (2011). One nudge forward, two steps back. </w:t>
      </w:r>
      <w:r>
        <w:rPr>
          <w:rFonts w:ascii="Times New Roman" w:hAnsi="Times New Roman" w:cs="Times New Roman"/>
          <w:i/>
          <w:iCs/>
          <w:noProof/>
          <w:sz w:val="24"/>
          <w:szCs w:val="24"/>
        </w:rPr>
        <w:t>BMJ</w:t>
      </w:r>
      <w:r>
        <w:rPr>
          <w:rFonts w:ascii="Times New Roman" w:hAnsi="Times New Roman" w:cs="Times New Roman"/>
          <w:noProof/>
          <w:sz w:val="24"/>
          <w:szCs w:val="24"/>
        </w:rPr>
        <w:t xml:space="preserve">, </w:t>
      </w:r>
      <w:r>
        <w:rPr>
          <w:rFonts w:ascii="Times New Roman" w:hAnsi="Times New Roman" w:cs="Times New Roman"/>
          <w:i/>
          <w:iCs/>
          <w:noProof/>
          <w:sz w:val="24"/>
          <w:szCs w:val="24"/>
        </w:rPr>
        <w:t>342</w:t>
      </w:r>
      <w:r>
        <w:rPr>
          <w:rFonts w:ascii="Times New Roman" w:hAnsi="Times New Roman" w:cs="Times New Roman"/>
          <w:noProof/>
          <w:sz w:val="24"/>
          <w:szCs w:val="24"/>
        </w:rPr>
        <w:t>, d401–d401. http://doi.org/10.1136/bmj.d401</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Boreham, C. A. G., Wallace, W. F. M., &amp; Nevill, A. (2000). Training Effects of Accumulated Daily Stair-Climbing Exercise in Previously Sedentary Young Women. </w:t>
      </w:r>
      <w:r>
        <w:rPr>
          <w:rFonts w:ascii="Times New Roman" w:hAnsi="Times New Roman" w:cs="Times New Roman"/>
          <w:i/>
          <w:iCs/>
          <w:noProof/>
          <w:sz w:val="24"/>
          <w:szCs w:val="24"/>
        </w:rPr>
        <w:t>Preventive Medicine</w:t>
      </w:r>
      <w:r>
        <w:rPr>
          <w:rFonts w:ascii="Times New Roman" w:hAnsi="Times New Roman" w:cs="Times New Roman"/>
          <w:noProof/>
          <w:sz w:val="24"/>
          <w:szCs w:val="24"/>
        </w:rPr>
        <w:t xml:space="preserve">, </w:t>
      </w:r>
      <w:r>
        <w:rPr>
          <w:rFonts w:ascii="Times New Roman" w:hAnsi="Times New Roman" w:cs="Times New Roman"/>
          <w:i/>
          <w:iCs/>
          <w:noProof/>
          <w:sz w:val="24"/>
          <w:szCs w:val="24"/>
        </w:rPr>
        <w:t>30</w:t>
      </w:r>
      <w:r>
        <w:rPr>
          <w:rFonts w:ascii="Times New Roman" w:hAnsi="Times New Roman" w:cs="Times New Roman"/>
          <w:noProof/>
          <w:sz w:val="24"/>
          <w:szCs w:val="24"/>
        </w:rPr>
        <w:t>(4), 277–281. http://doi.org/10.1006/pmed.2000.0634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Borsari, B., &amp; Carey, K. B. (2003). Descriptive and injunctive norms in college drinking: a meta-analytic integration. </w:t>
      </w:r>
      <w:r>
        <w:rPr>
          <w:rFonts w:ascii="Times New Roman" w:hAnsi="Times New Roman" w:cs="Times New Roman"/>
          <w:i/>
          <w:iCs/>
          <w:noProof/>
          <w:sz w:val="24"/>
          <w:szCs w:val="24"/>
        </w:rPr>
        <w:t>Journal of Studies on Alcohol</w:t>
      </w:r>
      <w:r>
        <w:rPr>
          <w:rFonts w:ascii="Times New Roman" w:hAnsi="Times New Roman" w:cs="Times New Roman"/>
          <w:noProof/>
          <w:sz w:val="24"/>
          <w:szCs w:val="24"/>
        </w:rPr>
        <w:t xml:space="preserve">, </w:t>
      </w:r>
      <w:r>
        <w:rPr>
          <w:rFonts w:ascii="Times New Roman" w:hAnsi="Times New Roman" w:cs="Times New Roman"/>
          <w:i/>
          <w:iCs/>
          <w:noProof/>
          <w:sz w:val="24"/>
          <w:szCs w:val="24"/>
        </w:rPr>
        <w:t>64</w:t>
      </w:r>
      <w:r>
        <w:rPr>
          <w:rFonts w:ascii="Times New Roman" w:hAnsi="Times New Roman" w:cs="Times New Roman"/>
          <w:noProof/>
          <w:sz w:val="24"/>
          <w:szCs w:val="24"/>
        </w:rPr>
        <w:t>(3), 331–341.</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Bovens, L. (2009). The Ethics of Nudge. In T. Grüne-Yanoff &amp; S. O. Hansson (Eds.), </w:t>
      </w:r>
      <w:r>
        <w:rPr>
          <w:rFonts w:ascii="Times New Roman" w:hAnsi="Times New Roman" w:cs="Times New Roman"/>
          <w:i/>
          <w:iCs/>
          <w:noProof/>
          <w:sz w:val="24"/>
          <w:szCs w:val="24"/>
        </w:rPr>
        <w:t>Preference Change : Approaches from Philosophy, Economics and Psychology</w:t>
      </w:r>
      <w:r>
        <w:rPr>
          <w:rFonts w:ascii="Times New Roman" w:hAnsi="Times New Roman" w:cs="Times New Roman"/>
          <w:noProof/>
          <w:sz w:val="24"/>
          <w:szCs w:val="24"/>
        </w:rPr>
        <w:t xml:space="preserve"> (pp. 217–209). Dordrecht: Springer Netherlands.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Brose, L. S., Chong, C. B., Aspinall, E., Michie, S., &amp; McEwen, A. (2014). Effects of standardised cigarette packaging on craving, motivation to stop and perceptions of cigarettes and packs. </w:t>
      </w:r>
      <w:r>
        <w:rPr>
          <w:rFonts w:ascii="Times New Roman" w:hAnsi="Times New Roman" w:cs="Times New Roman"/>
          <w:i/>
          <w:iCs/>
          <w:noProof/>
          <w:sz w:val="24"/>
          <w:szCs w:val="24"/>
        </w:rPr>
        <w:t>Psychology &amp;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29</w:t>
      </w:r>
      <w:r>
        <w:rPr>
          <w:rFonts w:ascii="Times New Roman" w:hAnsi="Times New Roman" w:cs="Times New Roman"/>
          <w:noProof/>
          <w:sz w:val="24"/>
          <w:szCs w:val="24"/>
        </w:rPr>
        <w:t>(7), 849–860. http://doi.org/10.1080/08870446.2014.896915</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Brownell, K. D., Stunkard, A. J., &amp; Albaum, J. M. (1980). Evaluation and modification of exercise patterns in the natural environment. </w:t>
      </w:r>
      <w:r>
        <w:rPr>
          <w:rFonts w:ascii="Times New Roman" w:hAnsi="Times New Roman" w:cs="Times New Roman"/>
          <w:i/>
          <w:iCs/>
          <w:noProof/>
          <w:sz w:val="24"/>
          <w:szCs w:val="24"/>
        </w:rPr>
        <w:t>The American Journal of Psychiatry</w:t>
      </w:r>
      <w:r>
        <w:rPr>
          <w:rFonts w:ascii="Times New Roman" w:hAnsi="Times New Roman" w:cs="Times New Roman"/>
          <w:noProof/>
          <w:sz w:val="24"/>
          <w:szCs w:val="24"/>
        </w:rPr>
        <w:t xml:space="preserve">, </w:t>
      </w:r>
      <w:r>
        <w:rPr>
          <w:rFonts w:ascii="Times New Roman" w:hAnsi="Times New Roman" w:cs="Times New Roman"/>
          <w:i/>
          <w:iCs/>
          <w:noProof/>
          <w:sz w:val="24"/>
          <w:szCs w:val="24"/>
        </w:rPr>
        <w:t>137</w:t>
      </w:r>
      <w:r>
        <w:rPr>
          <w:rFonts w:ascii="Times New Roman" w:hAnsi="Times New Roman" w:cs="Times New Roman"/>
          <w:noProof/>
          <w:sz w:val="24"/>
          <w:szCs w:val="24"/>
        </w:rPr>
        <w:t>(12), 1540–5.</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Bullers, S., Cooper, M. L., &amp; Russell, M. (2001). Social network drinking and adult alcohol </w:t>
      </w:r>
      <w:r>
        <w:rPr>
          <w:rFonts w:ascii="Times New Roman" w:hAnsi="Times New Roman" w:cs="Times New Roman"/>
          <w:noProof/>
          <w:sz w:val="24"/>
          <w:szCs w:val="24"/>
        </w:rPr>
        <w:lastRenderedPageBreak/>
        <w:t xml:space="preserve">involvement. </w:t>
      </w:r>
      <w:r>
        <w:rPr>
          <w:rFonts w:ascii="Times New Roman" w:hAnsi="Times New Roman" w:cs="Times New Roman"/>
          <w:i/>
          <w:iCs/>
          <w:noProof/>
          <w:sz w:val="24"/>
          <w:szCs w:val="24"/>
        </w:rPr>
        <w:t>Addictive Behaviors</w:t>
      </w:r>
      <w:r>
        <w:rPr>
          <w:rFonts w:ascii="Times New Roman" w:hAnsi="Times New Roman" w:cs="Times New Roman"/>
          <w:noProof/>
          <w:sz w:val="24"/>
          <w:szCs w:val="24"/>
        </w:rPr>
        <w:t xml:space="preserve">, </w:t>
      </w:r>
      <w:r>
        <w:rPr>
          <w:rFonts w:ascii="Times New Roman" w:hAnsi="Times New Roman" w:cs="Times New Roman"/>
          <w:i/>
          <w:iCs/>
          <w:noProof/>
          <w:sz w:val="24"/>
          <w:szCs w:val="24"/>
        </w:rPr>
        <w:t>26</w:t>
      </w:r>
      <w:r>
        <w:rPr>
          <w:rFonts w:ascii="Times New Roman" w:hAnsi="Times New Roman" w:cs="Times New Roman"/>
          <w:noProof/>
          <w:sz w:val="24"/>
          <w:szCs w:val="24"/>
        </w:rPr>
        <w:t>(2), 181–199. http://doi.org/10.1016/S0306-4603(00)00099-X</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Coleman, K. J., &amp; Gonzalez, E. C. (2001). Promoting Stair Use in a US–Mexico Border Community. </w:t>
      </w:r>
      <w:r>
        <w:rPr>
          <w:rFonts w:ascii="Times New Roman" w:hAnsi="Times New Roman" w:cs="Times New Roman"/>
          <w:i/>
          <w:iCs/>
          <w:noProof/>
          <w:sz w:val="24"/>
          <w:szCs w:val="24"/>
        </w:rPr>
        <w:t>American Journal of Public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91</w:t>
      </w:r>
      <w:r>
        <w:rPr>
          <w:rFonts w:ascii="Times New Roman" w:hAnsi="Times New Roman" w:cs="Times New Roman"/>
          <w:noProof/>
          <w:sz w:val="24"/>
          <w:szCs w:val="24"/>
        </w:rPr>
        <w:t>(12), 2007–2009. http://doi.org/10.2105/AJPH.91.12.2007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De Neys, W. D. (2006). Dual Processing in Reasoning: Two Systems but One Reasoner. </w:t>
      </w:r>
      <w:r>
        <w:rPr>
          <w:rFonts w:ascii="Times New Roman" w:hAnsi="Times New Roman" w:cs="Times New Roman"/>
          <w:i/>
          <w:iCs/>
          <w:noProof/>
          <w:sz w:val="24"/>
          <w:szCs w:val="24"/>
        </w:rPr>
        <w:t>Psychological Science</w:t>
      </w:r>
      <w:r>
        <w:rPr>
          <w:rFonts w:ascii="Times New Roman" w:hAnsi="Times New Roman" w:cs="Times New Roman"/>
          <w:noProof/>
          <w:sz w:val="24"/>
          <w:szCs w:val="24"/>
        </w:rPr>
        <w:t xml:space="preserve">, </w:t>
      </w:r>
      <w:r>
        <w:rPr>
          <w:rFonts w:ascii="Times New Roman" w:hAnsi="Times New Roman" w:cs="Times New Roman"/>
          <w:i/>
          <w:iCs/>
          <w:noProof/>
          <w:sz w:val="24"/>
          <w:szCs w:val="24"/>
        </w:rPr>
        <w:t>17</w:t>
      </w:r>
      <w:r>
        <w:rPr>
          <w:rFonts w:ascii="Times New Roman" w:hAnsi="Times New Roman" w:cs="Times New Roman"/>
          <w:noProof/>
          <w:sz w:val="24"/>
          <w:szCs w:val="24"/>
        </w:rPr>
        <w:t>(5), 428–433. http://doi.org/10.1111/j.1467-9280.2006.01723.x</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Downs, J. S., Loewenstein, G., &amp; Wisdom, J. (2009). Strategies for Promoting Healthier Food Choices. </w:t>
      </w:r>
      <w:r>
        <w:rPr>
          <w:rFonts w:ascii="Times New Roman" w:hAnsi="Times New Roman" w:cs="Times New Roman"/>
          <w:i/>
          <w:iCs/>
          <w:noProof/>
          <w:sz w:val="24"/>
          <w:szCs w:val="24"/>
        </w:rPr>
        <w:t>American Economic Review</w:t>
      </w:r>
      <w:r>
        <w:rPr>
          <w:rFonts w:ascii="Times New Roman" w:hAnsi="Times New Roman" w:cs="Times New Roman"/>
          <w:noProof/>
          <w:sz w:val="24"/>
          <w:szCs w:val="24"/>
        </w:rPr>
        <w:t xml:space="preserve">, </w:t>
      </w:r>
      <w:r>
        <w:rPr>
          <w:rFonts w:ascii="Times New Roman" w:hAnsi="Times New Roman" w:cs="Times New Roman"/>
          <w:i/>
          <w:iCs/>
          <w:noProof/>
          <w:sz w:val="24"/>
          <w:szCs w:val="24"/>
        </w:rPr>
        <w:t>99</w:t>
      </w:r>
      <w:r>
        <w:rPr>
          <w:rFonts w:ascii="Times New Roman" w:hAnsi="Times New Roman" w:cs="Times New Roman"/>
          <w:noProof/>
          <w:sz w:val="24"/>
          <w:szCs w:val="24"/>
        </w:rPr>
        <w:t>(2), 159–164. http://doi.org/10.1257/aer.99.2.159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Dunlop, S. M., Dobbins, T., Young, J. M., Perez, D., &amp; Currow, D. C. (2014). Impact of Australia’s introduction of tobacco plain packs on adult smokers’ pack-related perceptions and responses: results from a continuous tracking survey. </w:t>
      </w:r>
      <w:r>
        <w:rPr>
          <w:rFonts w:ascii="Times New Roman" w:hAnsi="Times New Roman" w:cs="Times New Roman"/>
          <w:i/>
          <w:iCs/>
          <w:noProof/>
          <w:sz w:val="24"/>
          <w:szCs w:val="24"/>
        </w:rPr>
        <w:t>BMJ Open</w:t>
      </w:r>
      <w:r>
        <w:rPr>
          <w:rFonts w:ascii="Times New Roman" w:hAnsi="Times New Roman" w:cs="Times New Roman"/>
          <w:noProof/>
          <w:sz w:val="24"/>
          <w:szCs w:val="24"/>
        </w:rPr>
        <w:t xml:space="preserve">, </w:t>
      </w:r>
      <w:r>
        <w:rPr>
          <w:rFonts w:ascii="Times New Roman" w:hAnsi="Times New Roman" w:cs="Times New Roman"/>
          <w:i/>
          <w:iCs/>
          <w:noProof/>
          <w:sz w:val="24"/>
          <w:szCs w:val="24"/>
        </w:rPr>
        <w:t>4</w:t>
      </w:r>
      <w:r>
        <w:rPr>
          <w:rFonts w:ascii="Times New Roman" w:hAnsi="Times New Roman" w:cs="Times New Roman"/>
          <w:noProof/>
          <w:sz w:val="24"/>
          <w:szCs w:val="24"/>
        </w:rPr>
        <w:t>(12), e005836. http://doi.org/10.1136/bmjopen-2014-005836</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Dworkin, G. (2012). Lying and nudging. </w:t>
      </w:r>
      <w:r>
        <w:rPr>
          <w:rFonts w:ascii="Times New Roman" w:hAnsi="Times New Roman" w:cs="Times New Roman"/>
          <w:i/>
          <w:iCs/>
          <w:noProof/>
          <w:sz w:val="24"/>
          <w:szCs w:val="24"/>
        </w:rPr>
        <w:t>Journal of Medical Ethics</w:t>
      </w:r>
      <w:r>
        <w:rPr>
          <w:rFonts w:ascii="Times New Roman" w:hAnsi="Times New Roman" w:cs="Times New Roman"/>
          <w:noProof/>
          <w:sz w:val="24"/>
          <w:szCs w:val="24"/>
        </w:rPr>
        <w:t xml:space="preserve">, </w:t>
      </w:r>
      <w:r>
        <w:rPr>
          <w:rFonts w:ascii="Times New Roman" w:hAnsi="Times New Roman" w:cs="Times New Roman"/>
          <w:i/>
          <w:iCs/>
          <w:noProof/>
          <w:sz w:val="24"/>
          <w:szCs w:val="24"/>
        </w:rPr>
        <w:t>39</w:t>
      </w:r>
      <w:r>
        <w:rPr>
          <w:rFonts w:ascii="Times New Roman" w:hAnsi="Times New Roman" w:cs="Times New Roman"/>
          <w:noProof/>
          <w:sz w:val="24"/>
          <w:szCs w:val="24"/>
        </w:rPr>
        <w:t>(8), 496–497.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Elbel, B., Gyamfi, J., &amp; Kersh, R. (2011). Child and adolescent fast-food choice and the influence of calorie labeling: a natural experiment. </w:t>
      </w:r>
      <w:r>
        <w:rPr>
          <w:rFonts w:ascii="Times New Roman" w:hAnsi="Times New Roman" w:cs="Times New Roman"/>
          <w:i/>
          <w:iCs/>
          <w:noProof/>
          <w:sz w:val="24"/>
          <w:szCs w:val="24"/>
        </w:rPr>
        <w:t>International Journal of Obesity (London)</w:t>
      </w:r>
      <w:r>
        <w:rPr>
          <w:rFonts w:ascii="Times New Roman" w:hAnsi="Times New Roman" w:cs="Times New Roman"/>
          <w:noProof/>
          <w:sz w:val="24"/>
          <w:szCs w:val="24"/>
        </w:rPr>
        <w:t xml:space="preserve">, </w:t>
      </w:r>
      <w:r>
        <w:rPr>
          <w:rFonts w:ascii="Times New Roman" w:hAnsi="Times New Roman" w:cs="Times New Roman"/>
          <w:i/>
          <w:iCs/>
          <w:noProof/>
          <w:sz w:val="24"/>
          <w:szCs w:val="24"/>
        </w:rPr>
        <w:t>35</w:t>
      </w:r>
      <w:r>
        <w:rPr>
          <w:rFonts w:ascii="Times New Roman" w:hAnsi="Times New Roman" w:cs="Times New Roman"/>
          <w:noProof/>
          <w:sz w:val="24"/>
          <w:szCs w:val="24"/>
        </w:rPr>
        <w:t>(4), 493–500. http://doi.org/10.1038/ijo.2011.4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Elbel, B., Kersh, R., Brescoll, V. L., &amp; Dixon, L. B. (2009). Calorie Labeling And Food Choices: A First Look At The Effects On Low-Income People In New York City. </w:t>
      </w:r>
      <w:r>
        <w:rPr>
          <w:rFonts w:ascii="Times New Roman" w:hAnsi="Times New Roman" w:cs="Times New Roman"/>
          <w:i/>
          <w:iCs/>
          <w:noProof/>
          <w:sz w:val="24"/>
          <w:szCs w:val="24"/>
        </w:rPr>
        <w:t>Health Affairs</w:t>
      </w:r>
      <w:r>
        <w:rPr>
          <w:rFonts w:ascii="Times New Roman" w:hAnsi="Times New Roman" w:cs="Times New Roman"/>
          <w:noProof/>
          <w:sz w:val="24"/>
          <w:szCs w:val="24"/>
        </w:rPr>
        <w:t xml:space="preserve">, </w:t>
      </w:r>
      <w:r>
        <w:rPr>
          <w:rFonts w:ascii="Times New Roman" w:hAnsi="Times New Roman" w:cs="Times New Roman"/>
          <w:i/>
          <w:iCs/>
          <w:noProof/>
          <w:sz w:val="24"/>
          <w:szCs w:val="24"/>
        </w:rPr>
        <w:t>28</w:t>
      </w:r>
      <w:r>
        <w:rPr>
          <w:rFonts w:ascii="Times New Roman" w:hAnsi="Times New Roman" w:cs="Times New Roman"/>
          <w:noProof/>
          <w:sz w:val="24"/>
          <w:szCs w:val="24"/>
        </w:rPr>
        <w:t>(6), w1110–w1121. http://doi.org/10.1377/hlthaff.28.6.w1110</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Ennett, S. T., Bauman, K. E., Hussong, A., Faris, R., Foshee, V. A., Cai, L., &amp; DuRant, R. H. </w:t>
      </w:r>
      <w:r>
        <w:rPr>
          <w:rFonts w:ascii="Times New Roman" w:hAnsi="Times New Roman" w:cs="Times New Roman"/>
          <w:noProof/>
          <w:sz w:val="24"/>
          <w:szCs w:val="24"/>
        </w:rPr>
        <w:lastRenderedPageBreak/>
        <w:t xml:space="preserve">(2006). The Peer Context of Adolescent Substance Use: Findings from Social Network Analysis. </w:t>
      </w:r>
      <w:r>
        <w:rPr>
          <w:rFonts w:ascii="Times New Roman" w:hAnsi="Times New Roman" w:cs="Times New Roman"/>
          <w:i/>
          <w:iCs/>
          <w:noProof/>
          <w:sz w:val="24"/>
          <w:szCs w:val="24"/>
        </w:rPr>
        <w:t>Journal of Research on Adolescence</w:t>
      </w:r>
      <w:r>
        <w:rPr>
          <w:rFonts w:ascii="Times New Roman" w:hAnsi="Times New Roman" w:cs="Times New Roman"/>
          <w:noProof/>
          <w:sz w:val="24"/>
          <w:szCs w:val="24"/>
        </w:rPr>
        <w:t xml:space="preserve">, </w:t>
      </w:r>
      <w:r>
        <w:rPr>
          <w:rFonts w:ascii="Times New Roman" w:hAnsi="Times New Roman" w:cs="Times New Roman"/>
          <w:i/>
          <w:iCs/>
          <w:noProof/>
          <w:sz w:val="24"/>
          <w:szCs w:val="24"/>
        </w:rPr>
        <w:t>16</w:t>
      </w:r>
      <w:r>
        <w:rPr>
          <w:rFonts w:ascii="Times New Roman" w:hAnsi="Times New Roman" w:cs="Times New Roman"/>
          <w:noProof/>
          <w:sz w:val="24"/>
          <w:szCs w:val="24"/>
        </w:rPr>
        <w:t>(2), 159–186. http://doi.org/10.1111/j.1532-7795.2006.00127.x</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Epstein, S. (1973). The self-concept revisited: Or a theory of a theory. </w:t>
      </w:r>
      <w:r>
        <w:rPr>
          <w:rFonts w:ascii="Times New Roman" w:hAnsi="Times New Roman" w:cs="Times New Roman"/>
          <w:i/>
          <w:iCs/>
          <w:noProof/>
          <w:sz w:val="24"/>
          <w:szCs w:val="24"/>
        </w:rPr>
        <w:t>American Psychologist</w:t>
      </w:r>
      <w:r>
        <w:rPr>
          <w:rFonts w:ascii="Times New Roman" w:hAnsi="Times New Roman" w:cs="Times New Roman"/>
          <w:noProof/>
          <w:sz w:val="24"/>
          <w:szCs w:val="24"/>
        </w:rPr>
        <w:t xml:space="preserve">, </w:t>
      </w:r>
      <w:r>
        <w:rPr>
          <w:rFonts w:ascii="Times New Roman" w:hAnsi="Times New Roman" w:cs="Times New Roman"/>
          <w:i/>
          <w:iCs/>
          <w:noProof/>
          <w:sz w:val="24"/>
          <w:szCs w:val="24"/>
        </w:rPr>
        <w:t>28</w:t>
      </w:r>
      <w:r>
        <w:rPr>
          <w:rFonts w:ascii="Times New Roman" w:hAnsi="Times New Roman" w:cs="Times New Roman"/>
          <w:noProof/>
          <w:sz w:val="24"/>
          <w:szCs w:val="24"/>
        </w:rPr>
        <w:t>(5), 404–416. http://doi.org/10.1037/h0034679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Epstein, S. (1994). Integration of the cognitive and the psychodynamic unconscious. </w:t>
      </w:r>
      <w:r>
        <w:rPr>
          <w:rFonts w:ascii="Times New Roman" w:hAnsi="Times New Roman" w:cs="Times New Roman"/>
          <w:i/>
          <w:iCs/>
          <w:noProof/>
          <w:sz w:val="24"/>
          <w:szCs w:val="24"/>
        </w:rPr>
        <w:t>The American Psychologist</w:t>
      </w:r>
      <w:r>
        <w:rPr>
          <w:rFonts w:ascii="Times New Roman" w:hAnsi="Times New Roman" w:cs="Times New Roman"/>
          <w:noProof/>
          <w:sz w:val="24"/>
          <w:szCs w:val="24"/>
        </w:rPr>
        <w:t xml:space="preserve">, </w:t>
      </w:r>
      <w:r>
        <w:rPr>
          <w:rFonts w:ascii="Times New Roman" w:hAnsi="Times New Roman" w:cs="Times New Roman"/>
          <w:i/>
          <w:iCs/>
          <w:noProof/>
          <w:sz w:val="24"/>
          <w:szCs w:val="24"/>
        </w:rPr>
        <w:t>49</w:t>
      </w:r>
      <w:r>
        <w:rPr>
          <w:rFonts w:ascii="Times New Roman" w:hAnsi="Times New Roman" w:cs="Times New Roman"/>
          <w:noProof/>
          <w:sz w:val="24"/>
          <w:szCs w:val="24"/>
        </w:rPr>
        <w:t>, 729–724.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Evans, J. S. B. T., &amp; Over, D. E. (1996). </w:t>
      </w:r>
      <w:r>
        <w:rPr>
          <w:rFonts w:ascii="Times New Roman" w:hAnsi="Times New Roman" w:cs="Times New Roman"/>
          <w:i/>
          <w:iCs/>
          <w:noProof/>
          <w:sz w:val="24"/>
          <w:szCs w:val="24"/>
        </w:rPr>
        <w:t>Rationality and reasoning</w:t>
      </w:r>
      <w:r>
        <w:rPr>
          <w:rFonts w:ascii="Times New Roman" w:hAnsi="Times New Roman" w:cs="Times New Roman"/>
          <w:noProof/>
          <w:sz w:val="24"/>
          <w:szCs w:val="24"/>
        </w:rPr>
        <w:t xml:space="preserve">. </w:t>
      </w:r>
      <w:r>
        <w:rPr>
          <w:rFonts w:ascii="Times New Roman" w:hAnsi="Times New Roman" w:cs="Times New Roman"/>
          <w:i/>
          <w:iCs/>
          <w:noProof/>
          <w:sz w:val="24"/>
          <w:szCs w:val="24"/>
        </w:rPr>
        <w:t>International Journal of Psychology</w:t>
      </w:r>
      <w:r>
        <w:rPr>
          <w:rFonts w:ascii="Times New Roman" w:hAnsi="Times New Roman" w:cs="Times New Roman"/>
          <w:noProof/>
          <w:sz w:val="24"/>
          <w:szCs w:val="24"/>
        </w:rPr>
        <w:t xml:space="preserve"> (Vol. 31). East Sussex: Psychology Press.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Evans, J. S. B. T., &amp; Stanovich, K. E. (2013). Dual-Process Theories of Higher Cognition: Advancing the Debate. </w:t>
      </w:r>
      <w:r>
        <w:rPr>
          <w:rFonts w:ascii="Times New Roman" w:hAnsi="Times New Roman" w:cs="Times New Roman"/>
          <w:i/>
          <w:iCs/>
          <w:noProof/>
          <w:sz w:val="24"/>
          <w:szCs w:val="24"/>
        </w:rPr>
        <w:t>Perspectives on Psychological Science</w:t>
      </w:r>
      <w:r>
        <w:rPr>
          <w:rFonts w:ascii="Times New Roman" w:hAnsi="Times New Roman" w:cs="Times New Roman"/>
          <w:noProof/>
          <w:sz w:val="24"/>
          <w:szCs w:val="24"/>
        </w:rPr>
        <w:t xml:space="preserve">, </w:t>
      </w:r>
      <w:r>
        <w:rPr>
          <w:rFonts w:ascii="Times New Roman" w:hAnsi="Times New Roman" w:cs="Times New Roman"/>
          <w:i/>
          <w:iCs/>
          <w:noProof/>
          <w:sz w:val="24"/>
          <w:szCs w:val="24"/>
        </w:rPr>
        <w:t>8</w:t>
      </w:r>
      <w:r>
        <w:rPr>
          <w:rFonts w:ascii="Times New Roman" w:hAnsi="Times New Roman" w:cs="Times New Roman"/>
          <w:noProof/>
          <w:sz w:val="24"/>
          <w:szCs w:val="24"/>
        </w:rPr>
        <w:t>(3), 223–241. http://doi.org/10.1177/1745691612460685</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Fardy, P. S., &amp; Ilmarinen, J. (1975). Evaluating the effects and feasibility of an at work stairclimbing intervention program for men. </w:t>
      </w:r>
      <w:r>
        <w:rPr>
          <w:rFonts w:ascii="Times New Roman" w:hAnsi="Times New Roman" w:cs="Times New Roman"/>
          <w:i/>
          <w:iCs/>
          <w:noProof/>
          <w:sz w:val="24"/>
          <w:szCs w:val="24"/>
        </w:rPr>
        <w:t>Medicine and Science in Sports</w:t>
      </w:r>
      <w:r>
        <w:rPr>
          <w:rFonts w:ascii="Times New Roman" w:hAnsi="Times New Roman" w:cs="Times New Roman"/>
          <w:noProof/>
          <w:sz w:val="24"/>
          <w:szCs w:val="24"/>
        </w:rPr>
        <w:t xml:space="preserve">, </w:t>
      </w:r>
      <w:r>
        <w:rPr>
          <w:rFonts w:ascii="Times New Roman" w:hAnsi="Times New Roman" w:cs="Times New Roman"/>
          <w:i/>
          <w:iCs/>
          <w:noProof/>
          <w:sz w:val="24"/>
          <w:szCs w:val="24"/>
        </w:rPr>
        <w:t>7</w:t>
      </w:r>
      <w:r>
        <w:rPr>
          <w:rFonts w:ascii="Times New Roman" w:hAnsi="Times New Roman" w:cs="Times New Roman"/>
          <w:noProof/>
          <w:sz w:val="24"/>
          <w:szCs w:val="24"/>
        </w:rPr>
        <w:t>(2), 91–3.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Felsen, G., Castelo, N., &amp; Reiner, P. B. (2013). Decisional enhancement and autonomy: public attitudes towards overt and covert nudges. </w:t>
      </w:r>
      <w:r>
        <w:rPr>
          <w:rFonts w:ascii="Times New Roman" w:hAnsi="Times New Roman" w:cs="Times New Roman"/>
          <w:i/>
          <w:iCs/>
          <w:noProof/>
          <w:sz w:val="24"/>
          <w:szCs w:val="24"/>
        </w:rPr>
        <w:t>Judgement and Decision Making</w:t>
      </w:r>
      <w:r>
        <w:rPr>
          <w:rFonts w:ascii="Times New Roman" w:hAnsi="Times New Roman" w:cs="Times New Roman"/>
          <w:noProof/>
          <w:sz w:val="24"/>
          <w:szCs w:val="24"/>
        </w:rPr>
        <w:t xml:space="preserve">, </w:t>
      </w:r>
      <w:r>
        <w:rPr>
          <w:rFonts w:ascii="Times New Roman" w:hAnsi="Times New Roman" w:cs="Times New Roman"/>
          <w:i/>
          <w:iCs/>
          <w:noProof/>
          <w:sz w:val="24"/>
          <w:szCs w:val="24"/>
        </w:rPr>
        <w:t>8</w:t>
      </w:r>
      <w:r>
        <w:rPr>
          <w:rFonts w:ascii="Times New Roman" w:hAnsi="Times New Roman" w:cs="Times New Roman"/>
          <w:noProof/>
          <w:sz w:val="24"/>
          <w:szCs w:val="24"/>
        </w:rPr>
        <w:t>(3), 202. http://doi.org/10.1177/2332858416674007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Finkelstein, E. A., Strombotne, K. L., Chan, N. L., &amp; Krieger, J. (2011). Mandatory Menu Labeling in One Fast-Food Chain in King County, Washington. </w:t>
      </w:r>
      <w:r>
        <w:rPr>
          <w:rFonts w:ascii="Times New Roman" w:hAnsi="Times New Roman" w:cs="Times New Roman"/>
          <w:i/>
          <w:iCs/>
          <w:noProof/>
          <w:sz w:val="24"/>
          <w:szCs w:val="24"/>
        </w:rPr>
        <w:t>American Journal of Preventive Medicine</w:t>
      </w:r>
      <w:r>
        <w:rPr>
          <w:rFonts w:ascii="Times New Roman" w:hAnsi="Times New Roman" w:cs="Times New Roman"/>
          <w:noProof/>
          <w:sz w:val="24"/>
          <w:szCs w:val="24"/>
        </w:rPr>
        <w:t xml:space="preserve">, </w:t>
      </w:r>
      <w:r>
        <w:rPr>
          <w:rFonts w:ascii="Times New Roman" w:hAnsi="Times New Roman" w:cs="Times New Roman"/>
          <w:i/>
          <w:iCs/>
          <w:noProof/>
          <w:sz w:val="24"/>
          <w:szCs w:val="24"/>
        </w:rPr>
        <w:t>40</w:t>
      </w:r>
      <w:r>
        <w:rPr>
          <w:rFonts w:ascii="Times New Roman" w:hAnsi="Times New Roman" w:cs="Times New Roman"/>
          <w:noProof/>
          <w:sz w:val="24"/>
          <w:szCs w:val="24"/>
        </w:rPr>
        <w:t>(2), 122–127. http://doi.org/10.1016/j.amepre.2010.10.019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Foxcraft, D. R., Moreira, M. T., Santimano, N. M. L., &amp; Smith, L. A. (2015). Social norms information for alcohol misuse in university and college students (Review). </w:t>
      </w:r>
      <w:r>
        <w:rPr>
          <w:rFonts w:ascii="Times New Roman" w:hAnsi="Times New Roman" w:cs="Times New Roman"/>
          <w:i/>
          <w:iCs/>
          <w:noProof/>
          <w:sz w:val="24"/>
          <w:szCs w:val="24"/>
        </w:rPr>
        <w:t>Cochrane Database of Systematic Reviews.</w:t>
      </w:r>
      <w:r>
        <w:rPr>
          <w:rFonts w:ascii="Times New Roman" w:hAnsi="Times New Roman" w:cs="Times New Roman"/>
          <w:noProof/>
          <w:sz w:val="24"/>
          <w:szCs w:val="24"/>
        </w:rPr>
        <w:t xml:space="preserve">, (12). </w:t>
      </w:r>
      <w:r>
        <w:rPr>
          <w:rFonts w:ascii="Times New Roman" w:hAnsi="Times New Roman" w:cs="Times New Roman"/>
          <w:noProof/>
          <w:sz w:val="24"/>
          <w:szCs w:val="24"/>
        </w:rPr>
        <w:lastRenderedPageBreak/>
        <w:t>http://doi.org/10.1002/14651858.CD006748.pub4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Gilbert, D. T. (1989). Thinking lightly about others: Automatic components of the social inference process. In J. S. Uleman &amp; J. A. Bargh (Eds.), </w:t>
      </w:r>
      <w:r>
        <w:rPr>
          <w:rFonts w:ascii="Times New Roman" w:hAnsi="Times New Roman" w:cs="Times New Roman"/>
          <w:i/>
          <w:iCs/>
          <w:noProof/>
          <w:sz w:val="24"/>
          <w:szCs w:val="24"/>
        </w:rPr>
        <w:t>Unintended thought</w:t>
      </w:r>
      <w:r>
        <w:rPr>
          <w:rFonts w:ascii="Times New Roman" w:hAnsi="Times New Roman" w:cs="Times New Roman"/>
          <w:noProof/>
          <w:sz w:val="24"/>
          <w:szCs w:val="24"/>
        </w:rPr>
        <w:t xml:space="preserve"> (pp. 189–211). New York: Guilford Press.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Gomberg, L., Schneider, S. K., &amp; DeJong, W. (2001). Evaluation of a social norms marketing campaign to reduce high-risk drinking at the University of Mississippi*. </w:t>
      </w:r>
      <w:r>
        <w:rPr>
          <w:rFonts w:ascii="Times New Roman" w:hAnsi="Times New Roman" w:cs="Times New Roman"/>
          <w:i/>
          <w:iCs/>
          <w:noProof/>
          <w:sz w:val="24"/>
          <w:szCs w:val="24"/>
        </w:rPr>
        <w:t>The American Journal of Drug and Alcohol Abuse: Encompassing All Addictive Disorders</w:t>
      </w:r>
      <w:r>
        <w:rPr>
          <w:rFonts w:ascii="Times New Roman" w:hAnsi="Times New Roman" w:cs="Times New Roman"/>
          <w:noProof/>
          <w:sz w:val="24"/>
          <w:szCs w:val="24"/>
        </w:rPr>
        <w:t xml:space="preserve">, </w:t>
      </w:r>
      <w:r>
        <w:rPr>
          <w:rFonts w:ascii="Times New Roman" w:hAnsi="Times New Roman" w:cs="Times New Roman"/>
          <w:i/>
          <w:iCs/>
          <w:noProof/>
          <w:sz w:val="24"/>
          <w:szCs w:val="24"/>
        </w:rPr>
        <w:t>27</w:t>
      </w:r>
      <w:r>
        <w:rPr>
          <w:rFonts w:ascii="Times New Roman" w:hAnsi="Times New Roman" w:cs="Times New Roman"/>
          <w:noProof/>
          <w:sz w:val="24"/>
          <w:szCs w:val="24"/>
        </w:rPr>
        <w:t>(2), 375–389.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Goodwin, T. (2012). Why we should reject “nudge.” </w:t>
      </w:r>
      <w:r>
        <w:rPr>
          <w:rFonts w:ascii="Times New Roman" w:hAnsi="Times New Roman" w:cs="Times New Roman"/>
          <w:i/>
          <w:iCs/>
          <w:noProof/>
          <w:sz w:val="24"/>
          <w:szCs w:val="24"/>
        </w:rPr>
        <w:t>Politics</w:t>
      </w:r>
      <w:r>
        <w:rPr>
          <w:rFonts w:ascii="Times New Roman" w:hAnsi="Times New Roman" w:cs="Times New Roman"/>
          <w:noProof/>
          <w:sz w:val="24"/>
          <w:szCs w:val="24"/>
        </w:rPr>
        <w:t xml:space="preserve">, </w:t>
      </w:r>
      <w:r>
        <w:rPr>
          <w:rFonts w:ascii="Times New Roman" w:hAnsi="Times New Roman" w:cs="Times New Roman"/>
          <w:i/>
          <w:iCs/>
          <w:noProof/>
          <w:sz w:val="24"/>
          <w:szCs w:val="24"/>
        </w:rPr>
        <w:t>32</w:t>
      </w:r>
      <w:r>
        <w:rPr>
          <w:rFonts w:ascii="Times New Roman" w:hAnsi="Times New Roman" w:cs="Times New Roman"/>
          <w:noProof/>
          <w:sz w:val="24"/>
          <w:szCs w:val="24"/>
        </w:rPr>
        <w:t>(2), 85–92.</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Grüne-Yanoff, T. (2016). Why behavioural policy needs mechanistic evidence. </w:t>
      </w:r>
      <w:r>
        <w:rPr>
          <w:rFonts w:ascii="Times New Roman" w:hAnsi="Times New Roman" w:cs="Times New Roman"/>
          <w:i/>
          <w:iCs/>
          <w:noProof/>
          <w:sz w:val="24"/>
          <w:szCs w:val="24"/>
        </w:rPr>
        <w:t>Economics and Philosophy</w:t>
      </w:r>
      <w:r>
        <w:rPr>
          <w:rFonts w:ascii="Times New Roman" w:hAnsi="Times New Roman" w:cs="Times New Roman"/>
          <w:noProof/>
          <w:sz w:val="24"/>
          <w:szCs w:val="24"/>
        </w:rPr>
        <w:t xml:space="preserve">, </w:t>
      </w:r>
      <w:r>
        <w:rPr>
          <w:rFonts w:ascii="Times New Roman" w:hAnsi="Times New Roman" w:cs="Times New Roman"/>
          <w:i/>
          <w:iCs/>
          <w:noProof/>
          <w:sz w:val="24"/>
          <w:szCs w:val="24"/>
        </w:rPr>
        <w:t>32</w:t>
      </w:r>
      <w:r>
        <w:rPr>
          <w:rFonts w:ascii="Times New Roman" w:hAnsi="Times New Roman" w:cs="Times New Roman"/>
          <w:noProof/>
          <w:sz w:val="24"/>
          <w:szCs w:val="24"/>
        </w:rPr>
        <w:t>(3), 463–483. http://doi.org/10.1017/S0266267115000425</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Grüne-Yanoff, T., &amp; Hertwig, R. (2015). Nudge Versus Boost: How Coherent are Policy and Theory? </w:t>
      </w:r>
      <w:r>
        <w:rPr>
          <w:rFonts w:ascii="Times New Roman" w:hAnsi="Times New Roman" w:cs="Times New Roman"/>
          <w:i/>
          <w:iCs/>
          <w:noProof/>
          <w:sz w:val="24"/>
          <w:szCs w:val="24"/>
        </w:rPr>
        <w:t>Minds and Machines</w:t>
      </w:r>
      <w:r>
        <w:rPr>
          <w:rFonts w:ascii="Times New Roman" w:hAnsi="Times New Roman" w:cs="Times New Roman"/>
          <w:noProof/>
          <w:sz w:val="24"/>
          <w:szCs w:val="24"/>
        </w:rPr>
        <w:t xml:space="preserve">, </w:t>
      </w:r>
      <w:r>
        <w:rPr>
          <w:rFonts w:ascii="Times New Roman" w:hAnsi="Times New Roman" w:cs="Times New Roman"/>
          <w:i/>
          <w:iCs/>
          <w:noProof/>
          <w:sz w:val="24"/>
          <w:szCs w:val="24"/>
        </w:rPr>
        <w:t>26</w:t>
      </w:r>
      <w:r>
        <w:rPr>
          <w:rFonts w:ascii="Times New Roman" w:hAnsi="Times New Roman" w:cs="Times New Roman"/>
          <w:noProof/>
          <w:sz w:val="24"/>
          <w:szCs w:val="24"/>
        </w:rPr>
        <w:t>(1–2), 1–52. http://doi.org/10.1007/s11023-015-9367-9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Hagman, W., Andersson, D., Västfjäll, D., &amp; Tinghög, G. (2015). Public Views on Policies Involving Nudges. </w:t>
      </w:r>
      <w:r>
        <w:rPr>
          <w:rFonts w:ascii="Times New Roman" w:hAnsi="Times New Roman" w:cs="Times New Roman"/>
          <w:i/>
          <w:iCs/>
          <w:noProof/>
          <w:sz w:val="24"/>
          <w:szCs w:val="24"/>
        </w:rPr>
        <w:t>Review of Philosophy and Psychology</w:t>
      </w:r>
      <w:r>
        <w:rPr>
          <w:rFonts w:ascii="Times New Roman" w:hAnsi="Times New Roman" w:cs="Times New Roman"/>
          <w:noProof/>
          <w:sz w:val="24"/>
          <w:szCs w:val="24"/>
        </w:rPr>
        <w:t xml:space="preserve">, </w:t>
      </w:r>
      <w:r>
        <w:rPr>
          <w:rFonts w:ascii="Times New Roman" w:hAnsi="Times New Roman" w:cs="Times New Roman"/>
          <w:i/>
          <w:iCs/>
          <w:noProof/>
          <w:sz w:val="24"/>
          <w:szCs w:val="24"/>
        </w:rPr>
        <w:t>6</w:t>
      </w:r>
      <w:r>
        <w:rPr>
          <w:rFonts w:ascii="Times New Roman" w:hAnsi="Times New Roman" w:cs="Times New Roman"/>
          <w:noProof/>
          <w:sz w:val="24"/>
          <w:szCs w:val="24"/>
        </w:rPr>
        <w:t>(3), 439–453. http://doi.org/10.1007/s13164-015-0263-2</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Hahn, U. (2011). The problem of circularity in evidence, argument, and explanation. </w:t>
      </w:r>
      <w:r>
        <w:rPr>
          <w:rFonts w:ascii="Times New Roman" w:hAnsi="Times New Roman" w:cs="Times New Roman"/>
          <w:i/>
          <w:iCs/>
          <w:noProof/>
          <w:sz w:val="24"/>
          <w:szCs w:val="24"/>
        </w:rPr>
        <w:t>Perspectives on Psychological Science</w:t>
      </w:r>
      <w:r>
        <w:rPr>
          <w:rFonts w:ascii="Times New Roman" w:hAnsi="Times New Roman" w:cs="Times New Roman"/>
          <w:noProof/>
          <w:sz w:val="24"/>
          <w:szCs w:val="24"/>
        </w:rPr>
        <w:t xml:space="preserve">, </w:t>
      </w:r>
      <w:r>
        <w:rPr>
          <w:rFonts w:ascii="Times New Roman" w:hAnsi="Times New Roman" w:cs="Times New Roman"/>
          <w:i/>
          <w:iCs/>
          <w:noProof/>
          <w:sz w:val="24"/>
          <w:szCs w:val="24"/>
        </w:rPr>
        <w:t>6</w:t>
      </w:r>
      <w:r>
        <w:rPr>
          <w:rFonts w:ascii="Times New Roman" w:hAnsi="Times New Roman" w:cs="Times New Roman"/>
          <w:noProof/>
          <w:sz w:val="24"/>
          <w:szCs w:val="24"/>
        </w:rPr>
        <w:t>(2), 172–182.</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Haines, M. P., Barker, G., &amp; Rice, R. (2003). The NIU Experiment: A case study of the social norms approach. In H. W. Perkinds (Ed.), </w:t>
      </w:r>
      <w:r>
        <w:rPr>
          <w:rFonts w:ascii="Times New Roman" w:hAnsi="Times New Roman" w:cs="Times New Roman"/>
          <w:i/>
          <w:iCs/>
          <w:noProof/>
          <w:sz w:val="24"/>
          <w:szCs w:val="24"/>
        </w:rPr>
        <w:t>The Social Norms Approach to Preventing School and College Age Substance Abuse: A Handbook for Educators, Counselors, and Clinicians</w:t>
      </w:r>
      <w:r>
        <w:rPr>
          <w:rFonts w:ascii="Times New Roman" w:hAnsi="Times New Roman" w:cs="Times New Roman"/>
          <w:noProof/>
          <w:sz w:val="24"/>
          <w:szCs w:val="24"/>
        </w:rPr>
        <w:t xml:space="preserve"> (p. 22). San Francisco, Calif: Jossey-Bass.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Haines, M. P., &amp; Spear, S. F. (1996). Changing the perception of the norm: a strategy to </w:t>
      </w:r>
      <w:r>
        <w:rPr>
          <w:rFonts w:ascii="Times New Roman" w:hAnsi="Times New Roman" w:cs="Times New Roman"/>
          <w:noProof/>
          <w:sz w:val="24"/>
          <w:szCs w:val="24"/>
        </w:rPr>
        <w:lastRenderedPageBreak/>
        <w:t xml:space="preserve">decrease binge drinking among college students. </w:t>
      </w:r>
      <w:r>
        <w:rPr>
          <w:rFonts w:ascii="Times New Roman" w:hAnsi="Times New Roman" w:cs="Times New Roman"/>
          <w:i/>
          <w:iCs/>
          <w:noProof/>
          <w:sz w:val="24"/>
          <w:szCs w:val="24"/>
        </w:rPr>
        <w:t>Journal of American College Health : J of ACH</w:t>
      </w:r>
      <w:r>
        <w:rPr>
          <w:rFonts w:ascii="Times New Roman" w:hAnsi="Times New Roman" w:cs="Times New Roman"/>
          <w:noProof/>
          <w:sz w:val="24"/>
          <w:szCs w:val="24"/>
        </w:rPr>
        <w:t xml:space="preserve">, </w:t>
      </w:r>
      <w:r>
        <w:rPr>
          <w:rFonts w:ascii="Times New Roman" w:hAnsi="Times New Roman" w:cs="Times New Roman"/>
          <w:i/>
          <w:iCs/>
          <w:noProof/>
          <w:sz w:val="24"/>
          <w:szCs w:val="24"/>
        </w:rPr>
        <w:t>45</w:t>
      </w:r>
      <w:r>
        <w:rPr>
          <w:rFonts w:ascii="Times New Roman" w:hAnsi="Times New Roman" w:cs="Times New Roman"/>
          <w:noProof/>
          <w:sz w:val="24"/>
          <w:szCs w:val="24"/>
        </w:rPr>
        <w:t>(3), 134–40. http://doi.org/10.1080/07448481.1996.9936873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Hallal, P. C., Andersen, L. B., Bull, F. C., Guthold, R., Haskell, W., Ekelund, U., &amp; Group., L. P. A. S. W. G. (2012). Global physical activity levels: surveillance progress, pitfalls, and prospects. </w:t>
      </w:r>
      <w:r>
        <w:rPr>
          <w:rFonts w:ascii="Times New Roman" w:hAnsi="Times New Roman" w:cs="Times New Roman"/>
          <w:i/>
          <w:iCs/>
          <w:noProof/>
          <w:sz w:val="24"/>
          <w:szCs w:val="24"/>
        </w:rPr>
        <w:t>The Lancet</w:t>
      </w:r>
      <w:r>
        <w:rPr>
          <w:rFonts w:ascii="Times New Roman" w:hAnsi="Times New Roman" w:cs="Times New Roman"/>
          <w:noProof/>
          <w:sz w:val="24"/>
          <w:szCs w:val="24"/>
        </w:rPr>
        <w:t xml:space="preserve">, </w:t>
      </w:r>
      <w:r>
        <w:rPr>
          <w:rFonts w:ascii="Times New Roman" w:hAnsi="Times New Roman" w:cs="Times New Roman"/>
          <w:i/>
          <w:iCs/>
          <w:noProof/>
          <w:sz w:val="24"/>
          <w:szCs w:val="24"/>
        </w:rPr>
        <w:t>380</w:t>
      </w:r>
      <w:r>
        <w:rPr>
          <w:rFonts w:ascii="Times New Roman" w:hAnsi="Times New Roman" w:cs="Times New Roman"/>
          <w:noProof/>
          <w:sz w:val="24"/>
          <w:szCs w:val="24"/>
        </w:rPr>
        <w:t>(9838), 247–257.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Hammond, D., Daniel, S., &amp; White, C. M. (2013). The effect of cigarette branding and plain packaging on female youth in the United Kingdom. </w:t>
      </w:r>
      <w:r>
        <w:rPr>
          <w:rFonts w:ascii="Times New Roman" w:hAnsi="Times New Roman" w:cs="Times New Roman"/>
          <w:i/>
          <w:iCs/>
          <w:noProof/>
          <w:sz w:val="24"/>
          <w:szCs w:val="24"/>
        </w:rPr>
        <w:t>The Journal of Adolescent Health : Official Publication of the Society for Adolescent Medicine</w:t>
      </w:r>
      <w:r>
        <w:rPr>
          <w:rFonts w:ascii="Times New Roman" w:hAnsi="Times New Roman" w:cs="Times New Roman"/>
          <w:noProof/>
          <w:sz w:val="24"/>
          <w:szCs w:val="24"/>
        </w:rPr>
        <w:t xml:space="preserve">, </w:t>
      </w:r>
      <w:r>
        <w:rPr>
          <w:rFonts w:ascii="Times New Roman" w:hAnsi="Times New Roman" w:cs="Times New Roman"/>
          <w:i/>
          <w:iCs/>
          <w:noProof/>
          <w:sz w:val="24"/>
          <w:szCs w:val="24"/>
        </w:rPr>
        <w:t>52</w:t>
      </w:r>
      <w:r>
        <w:rPr>
          <w:rFonts w:ascii="Times New Roman" w:hAnsi="Times New Roman" w:cs="Times New Roman"/>
          <w:noProof/>
          <w:sz w:val="24"/>
          <w:szCs w:val="24"/>
        </w:rPr>
        <w:t>(2), 151–7. http://doi.org/10.1016/j.jadohealth.2012.06.003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Hammond, D., Fong, G. T., Mcneill, A., Borland, R., Cummings, K. M., &amp; Hammond, D. (2006). Effectiveness of cigarette warning labels in informing smokers about the risks of smoking: findings from the International Tobacco Control (ITC) Four Country Survey. </w:t>
      </w:r>
      <w:r>
        <w:rPr>
          <w:rFonts w:ascii="Times New Roman" w:hAnsi="Times New Roman" w:cs="Times New Roman"/>
          <w:i/>
          <w:iCs/>
          <w:noProof/>
          <w:sz w:val="24"/>
          <w:szCs w:val="24"/>
        </w:rPr>
        <w:t>Tobacco Control</w:t>
      </w:r>
      <w:r>
        <w:rPr>
          <w:rFonts w:ascii="Times New Roman" w:hAnsi="Times New Roman" w:cs="Times New Roman"/>
          <w:noProof/>
          <w:sz w:val="24"/>
          <w:szCs w:val="24"/>
        </w:rPr>
        <w:t xml:space="preserve">, </w:t>
      </w:r>
      <w:r>
        <w:rPr>
          <w:rFonts w:ascii="Times New Roman" w:hAnsi="Times New Roman" w:cs="Times New Roman"/>
          <w:i/>
          <w:iCs/>
          <w:noProof/>
          <w:sz w:val="24"/>
          <w:szCs w:val="24"/>
        </w:rPr>
        <w:t>15</w:t>
      </w:r>
      <w:r>
        <w:rPr>
          <w:rFonts w:ascii="Times New Roman" w:hAnsi="Times New Roman" w:cs="Times New Roman"/>
          <w:noProof/>
          <w:sz w:val="24"/>
          <w:szCs w:val="24"/>
        </w:rPr>
        <w:t>, 19–25. http://doi.org/10.1136/tc.2005.012294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Hammond, D., &amp; Parkinson, C. (2009). The impact of cigarette package design on perceptions of risk. </w:t>
      </w:r>
      <w:r>
        <w:rPr>
          <w:rFonts w:ascii="Times New Roman" w:hAnsi="Times New Roman" w:cs="Times New Roman"/>
          <w:i/>
          <w:iCs/>
          <w:noProof/>
          <w:sz w:val="24"/>
          <w:szCs w:val="24"/>
        </w:rPr>
        <w:t>Journal of Public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31</w:t>
      </w:r>
      <w:r>
        <w:rPr>
          <w:rFonts w:ascii="Times New Roman" w:hAnsi="Times New Roman" w:cs="Times New Roman"/>
          <w:noProof/>
          <w:sz w:val="24"/>
          <w:szCs w:val="24"/>
        </w:rPr>
        <w:t>(3), 345–353. http://doi.org/10.1093/pubmed/fdp066</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Hancock, L., Abhold, J., Gascoigne, J., &amp; Altekruse, M. (2002). Applying Social Norms Marketing to Tobacco Cessation and Prevention: Lessons Learned from Three Campaigns. </w:t>
      </w:r>
      <w:r>
        <w:rPr>
          <w:rFonts w:ascii="Times New Roman" w:hAnsi="Times New Roman" w:cs="Times New Roman"/>
          <w:i/>
          <w:iCs/>
          <w:noProof/>
          <w:sz w:val="24"/>
          <w:szCs w:val="24"/>
        </w:rPr>
        <w:t>The Report on Social Norms</w:t>
      </w:r>
      <w:r>
        <w:rPr>
          <w:rFonts w:ascii="Times New Roman" w:hAnsi="Times New Roman" w:cs="Times New Roman"/>
          <w:noProof/>
          <w:sz w:val="24"/>
          <w:szCs w:val="24"/>
        </w:rPr>
        <w:t xml:space="preserve">, </w:t>
      </w:r>
      <w:r>
        <w:rPr>
          <w:rFonts w:ascii="Times New Roman" w:hAnsi="Times New Roman" w:cs="Times New Roman"/>
          <w:i/>
          <w:iCs/>
          <w:noProof/>
          <w:sz w:val="24"/>
          <w:szCs w:val="24"/>
        </w:rPr>
        <w:t>Working Pa</w:t>
      </w:r>
      <w:r>
        <w:rPr>
          <w:rFonts w:ascii="Times New Roman" w:hAnsi="Times New Roman" w:cs="Times New Roman"/>
          <w:noProof/>
          <w:sz w:val="24"/>
          <w:szCs w:val="24"/>
        </w:rPr>
        <w:t>. Retrieved from https://www.mendeley.com/research/applying-social-norms-marketing-tobacco-cessation-prevention-lessons-learned-three-campaigns/?utm_source=desktop&amp;utm_medium=1.15&amp;utm_campaign=open_catalog&amp;userDocumentId=%7B49f39eea-2ba5-40fa-b274-05ed28604d4d%7D</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Hancock, L., &amp; Henry, N. (2003). </w:t>
      </w:r>
      <w:r>
        <w:rPr>
          <w:rFonts w:ascii="Times New Roman" w:hAnsi="Times New Roman" w:cs="Times New Roman"/>
          <w:i/>
          <w:iCs/>
          <w:noProof/>
          <w:sz w:val="24"/>
          <w:szCs w:val="24"/>
        </w:rPr>
        <w:t xml:space="preserve">Perceptions, Norms and Tobacco Use in College </w:t>
      </w:r>
      <w:r>
        <w:rPr>
          <w:rFonts w:ascii="Times New Roman" w:hAnsi="Times New Roman" w:cs="Times New Roman"/>
          <w:i/>
          <w:iCs/>
          <w:noProof/>
          <w:sz w:val="24"/>
          <w:szCs w:val="24"/>
        </w:rPr>
        <w:lastRenderedPageBreak/>
        <w:t>Residence Hall Freshmen: Evaluation of a Social Norms Marketing Intervention</w:t>
      </w:r>
      <w:r>
        <w:rPr>
          <w:rFonts w:ascii="Times New Roman" w:hAnsi="Times New Roman" w:cs="Times New Roman"/>
          <w:noProof/>
          <w:sz w:val="24"/>
          <w:szCs w:val="24"/>
        </w:rPr>
        <w:t>. San Francisco: Jossery-Bass.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Hansen, P. G., &amp; Jespersen, A. M. (2013). Nudge and the Manipulation of Choice A Framework for the Responsible Use of the Nudge Approach to Behaviour Change in Public Policy. </w:t>
      </w:r>
      <w:r>
        <w:rPr>
          <w:rFonts w:ascii="Times New Roman" w:hAnsi="Times New Roman" w:cs="Times New Roman"/>
          <w:i/>
          <w:iCs/>
          <w:noProof/>
          <w:sz w:val="24"/>
          <w:szCs w:val="24"/>
        </w:rPr>
        <w:t>European Journal of Risk Regulation</w:t>
      </w:r>
      <w:r>
        <w:rPr>
          <w:rFonts w:ascii="Times New Roman" w:hAnsi="Times New Roman" w:cs="Times New Roman"/>
          <w:noProof/>
          <w:sz w:val="24"/>
          <w:szCs w:val="24"/>
        </w:rPr>
        <w:t xml:space="preserve">, </w:t>
      </w:r>
      <w:r>
        <w:rPr>
          <w:rFonts w:ascii="Times New Roman" w:hAnsi="Times New Roman" w:cs="Times New Roman"/>
          <w:i/>
          <w:iCs/>
          <w:noProof/>
          <w:sz w:val="24"/>
          <w:szCs w:val="24"/>
        </w:rPr>
        <w:t>1</w:t>
      </w:r>
      <w:r>
        <w:rPr>
          <w:rFonts w:ascii="Times New Roman" w:hAnsi="Times New Roman" w:cs="Times New Roman"/>
          <w:noProof/>
          <w:sz w:val="24"/>
          <w:szCs w:val="24"/>
        </w:rPr>
        <w:t>, 3–28.</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Hedlin, S., &amp; Sunstein, C. R. (2016). Does Active Choosing Promote Green Energy Use: Experimental Evidence. </w:t>
      </w:r>
      <w:r>
        <w:rPr>
          <w:rFonts w:ascii="Times New Roman" w:hAnsi="Times New Roman" w:cs="Times New Roman"/>
          <w:i/>
          <w:iCs/>
          <w:noProof/>
          <w:sz w:val="24"/>
          <w:szCs w:val="24"/>
        </w:rPr>
        <w:t>Ecology</w:t>
      </w:r>
      <w:r>
        <w:rPr>
          <w:rFonts w:ascii="Times New Roman" w:hAnsi="Times New Roman" w:cs="Times New Roman"/>
          <w:noProof/>
          <w:sz w:val="24"/>
          <w:szCs w:val="24"/>
        </w:rPr>
        <w:t xml:space="preserve">, </w:t>
      </w:r>
      <w:r>
        <w:rPr>
          <w:rFonts w:ascii="Times New Roman" w:hAnsi="Times New Roman" w:cs="Times New Roman"/>
          <w:i/>
          <w:iCs/>
          <w:noProof/>
          <w:sz w:val="24"/>
          <w:szCs w:val="24"/>
        </w:rPr>
        <w:t>43</w:t>
      </w:r>
      <w:r>
        <w:rPr>
          <w:rFonts w:ascii="Times New Roman" w:hAnsi="Times New Roman" w:cs="Times New Roman"/>
          <w:noProof/>
          <w:sz w:val="24"/>
          <w:szCs w:val="24"/>
        </w:rPr>
        <w:t>, 107.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Holden, S. S., Zlatevska, N., &amp; Dubelaar, C. (2016). Whether Smaller Plates Reduce Consumption Depends on Who’s Serving and Who’s Looking: A Meta-Analysis. </w:t>
      </w:r>
      <w:r>
        <w:rPr>
          <w:rFonts w:ascii="Times New Roman" w:hAnsi="Times New Roman" w:cs="Times New Roman"/>
          <w:i/>
          <w:iCs/>
          <w:noProof/>
          <w:sz w:val="24"/>
          <w:szCs w:val="24"/>
        </w:rPr>
        <w:t>Journal of the Association for Consumer Research</w:t>
      </w:r>
      <w:r>
        <w:rPr>
          <w:rFonts w:ascii="Times New Roman" w:hAnsi="Times New Roman" w:cs="Times New Roman"/>
          <w:noProof/>
          <w:sz w:val="24"/>
          <w:szCs w:val="24"/>
        </w:rPr>
        <w:t xml:space="preserve">, </w:t>
      </w:r>
      <w:r>
        <w:rPr>
          <w:rFonts w:ascii="Times New Roman" w:hAnsi="Times New Roman" w:cs="Times New Roman"/>
          <w:i/>
          <w:iCs/>
          <w:noProof/>
          <w:sz w:val="24"/>
          <w:szCs w:val="24"/>
        </w:rPr>
        <w:t>1</w:t>
      </w:r>
      <w:r>
        <w:rPr>
          <w:rFonts w:ascii="Times New Roman" w:hAnsi="Times New Roman" w:cs="Times New Roman"/>
          <w:noProof/>
          <w:sz w:val="24"/>
          <w:szCs w:val="24"/>
        </w:rPr>
        <w:t>(1), 134–146.</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Hollands, G. J., Shemilt, I., Marteau, T. M., Jebb, S. A., Kelly, M. P., Nakamura, R., … Ogilvie, D. (2013). Altering micro-environments to change population health behaviour: towards an evidence base for choice architecture interventions. </w:t>
      </w:r>
      <w:r>
        <w:rPr>
          <w:rFonts w:ascii="Times New Roman" w:hAnsi="Times New Roman" w:cs="Times New Roman"/>
          <w:i/>
          <w:iCs/>
          <w:noProof/>
          <w:sz w:val="24"/>
          <w:szCs w:val="24"/>
        </w:rPr>
        <w:t>BMC Public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13</w:t>
      </w:r>
      <w:r>
        <w:rPr>
          <w:rFonts w:ascii="Times New Roman" w:hAnsi="Times New Roman" w:cs="Times New Roman"/>
          <w:noProof/>
          <w:sz w:val="24"/>
          <w:szCs w:val="24"/>
        </w:rPr>
        <w:t>(1), 1218. http://doi.org/10.1186/1471-2458-13-1218</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Hollands, G. J., Shemilt, I., Marteau, T. M., Jebb, S. A., Lewis, H. B., Wei, Y., … Ogilvie, D. (2015). Portion, package or tableware size for changing selection and consumption of food, alcohol and tobacco. In G. J. Hollands (Ed.), </w:t>
      </w:r>
      <w:r>
        <w:rPr>
          <w:rFonts w:ascii="Times New Roman" w:hAnsi="Times New Roman" w:cs="Times New Roman"/>
          <w:i/>
          <w:iCs/>
          <w:noProof/>
          <w:sz w:val="24"/>
          <w:szCs w:val="24"/>
        </w:rPr>
        <w:t>Cochrane Database of Systematic Reviews</w:t>
      </w:r>
      <w:r>
        <w:rPr>
          <w:rFonts w:ascii="Times New Roman" w:hAnsi="Times New Roman" w:cs="Times New Roman"/>
          <w:noProof/>
          <w:sz w:val="24"/>
          <w:szCs w:val="24"/>
        </w:rPr>
        <w:t>. UK: John Wiley &amp; Sons, Ltd. http://doi.org/10.1002/14651858.CD011045.pub2</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Holmes, A. S., Serrano, E. L., Machin, J. E., Duetsch, T., &amp; Davis, G. C. (2013). Effect of different children’s menu labeling designs on family purchases. </w:t>
      </w:r>
      <w:r>
        <w:rPr>
          <w:rFonts w:ascii="Times New Roman" w:hAnsi="Times New Roman" w:cs="Times New Roman"/>
          <w:i/>
          <w:iCs/>
          <w:noProof/>
          <w:sz w:val="24"/>
          <w:szCs w:val="24"/>
        </w:rPr>
        <w:t>Appetite</w:t>
      </w:r>
      <w:r>
        <w:rPr>
          <w:rFonts w:ascii="Times New Roman" w:hAnsi="Times New Roman" w:cs="Times New Roman"/>
          <w:noProof/>
          <w:sz w:val="24"/>
          <w:szCs w:val="24"/>
        </w:rPr>
        <w:t xml:space="preserve">, </w:t>
      </w:r>
      <w:r>
        <w:rPr>
          <w:rFonts w:ascii="Times New Roman" w:hAnsi="Times New Roman" w:cs="Times New Roman"/>
          <w:i/>
          <w:iCs/>
          <w:noProof/>
          <w:sz w:val="24"/>
          <w:szCs w:val="24"/>
        </w:rPr>
        <w:t>62</w:t>
      </w:r>
      <w:r>
        <w:rPr>
          <w:rFonts w:ascii="Times New Roman" w:hAnsi="Times New Roman" w:cs="Times New Roman"/>
          <w:noProof/>
          <w:sz w:val="24"/>
          <w:szCs w:val="24"/>
        </w:rPr>
        <w:t>, 198–202.</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House of Lords. (2011). </w:t>
      </w:r>
      <w:r>
        <w:rPr>
          <w:rFonts w:ascii="Times New Roman" w:hAnsi="Times New Roman" w:cs="Times New Roman"/>
          <w:i/>
          <w:iCs/>
          <w:noProof/>
          <w:sz w:val="24"/>
          <w:szCs w:val="24"/>
        </w:rPr>
        <w:t>Behaviour Change</w:t>
      </w:r>
      <w:r>
        <w:rPr>
          <w:rFonts w:ascii="Times New Roman" w:hAnsi="Times New Roman" w:cs="Times New Roman"/>
          <w:noProof/>
          <w:sz w:val="24"/>
          <w:szCs w:val="24"/>
        </w:rPr>
        <w:t>. London. Retrieved from http://www.parliament.uk/business/lords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lastRenderedPageBreak/>
        <w:t xml:space="preserve">Hull, C. L. (1943). </w:t>
      </w:r>
      <w:r>
        <w:rPr>
          <w:rFonts w:ascii="Times New Roman" w:hAnsi="Times New Roman" w:cs="Times New Roman"/>
          <w:i/>
          <w:iCs/>
          <w:noProof/>
          <w:sz w:val="24"/>
          <w:szCs w:val="24"/>
        </w:rPr>
        <w:t>Principles of behaviour: An introduction to behaviour theory.</w:t>
      </w:r>
      <w:r>
        <w:rPr>
          <w:rFonts w:ascii="Times New Roman" w:hAnsi="Times New Roman" w:cs="Times New Roman"/>
          <w:noProof/>
          <w:sz w:val="24"/>
          <w:szCs w:val="24"/>
        </w:rPr>
        <w:t xml:space="preserve"> New York: Appleton-Century Crofts.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John, P., Moseley, A., Wales, C., Smith, G., Richardson, L., Stoker, G., &amp; Cotterill, S. (2013). </w:t>
      </w:r>
      <w:r>
        <w:rPr>
          <w:rFonts w:ascii="Times New Roman" w:hAnsi="Times New Roman" w:cs="Times New Roman"/>
          <w:i/>
          <w:iCs/>
          <w:noProof/>
          <w:sz w:val="24"/>
          <w:szCs w:val="24"/>
        </w:rPr>
        <w:t>Nudge, Nudge, Think, Think: Experimenting with Ways to Change Civic Behaviour</w:t>
      </w:r>
      <w:r>
        <w:rPr>
          <w:rFonts w:ascii="Times New Roman" w:hAnsi="Times New Roman" w:cs="Times New Roman"/>
          <w:noProof/>
          <w:sz w:val="24"/>
          <w:szCs w:val="24"/>
        </w:rPr>
        <w:t>. London: Bloomsbury Academic.</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Jung, J. Y., &amp; Mellers, B. A. M. (2016). American attitudes toward nudges. Judgment and Decision Making. </w:t>
      </w:r>
      <w:r>
        <w:rPr>
          <w:rFonts w:ascii="Times New Roman" w:hAnsi="Times New Roman" w:cs="Times New Roman"/>
          <w:i/>
          <w:iCs/>
          <w:noProof/>
          <w:sz w:val="24"/>
          <w:szCs w:val="24"/>
        </w:rPr>
        <w:t>Judgement and Decision Making</w:t>
      </w:r>
      <w:r>
        <w:rPr>
          <w:rFonts w:ascii="Times New Roman" w:hAnsi="Times New Roman" w:cs="Times New Roman"/>
          <w:noProof/>
          <w:sz w:val="24"/>
          <w:szCs w:val="24"/>
        </w:rPr>
        <w:t xml:space="preserve">, </w:t>
      </w:r>
      <w:r>
        <w:rPr>
          <w:rFonts w:ascii="Times New Roman" w:hAnsi="Times New Roman" w:cs="Times New Roman"/>
          <w:i/>
          <w:iCs/>
          <w:noProof/>
          <w:sz w:val="24"/>
          <w:szCs w:val="24"/>
        </w:rPr>
        <w:t>11</w:t>
      </w:r>
      <w:r>
        <w:rPr>
          <w:rFonts w:ascii="Times New Roman" w:hAnsi="Times New Roman" w:cs="Times New Roman"/>
          <w:noProof/>
          <w:sz w:val="24"/>
          <w:szCs w:val="24"/>
        </w:rPr>
        <w:t>(1), 62–74.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Kahneman, D. (2003). Maps of bounded rationality: a perspective on intuitive judgement and choice. In T. Frangsmyr (Ed.), </w:t>
      </w:r>
      <w:r>
        <w:rPr>
          <w:rFonts w:ascii="Times New Roman" w:hAnsi="Times New Roman" w:cs="Times New Roman"/>
          <w:i/>
          <w:iCs/>
          <w:noProof/>
          <w:sz w:val="24"/>
          <w:szCs w:val="24"/>
        </w:rPr>
        <w:t>Lex Prix Nobel: The Nobel Prizes 2002</w:t>
      </w:r>
      <w:r>
        <w:rPr>
          <w:rFonts w:ascii="Times New Roman" w:hAnsi="Times New Roman" w:cs="Times New Roman"/>
          <w:noProof/>
          <w:sz w:val="24"/>
          <w:szCs w:val="24"/>
        </w:rPr>
        <w:t xml:space="preserve"> (pp. 449–89). Stockholm: Almquist &amp; Wiksell International.</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Kahneman, D. (2011). </w:t>
      </w:r>
      <w:r>
        <w:rPr>
          <w:rFonts w:ascii="Times New Roman" w:hAnsi="Times New Roman" w:cs="Times New Roman"/>
          <w:i/>
          <w:iCs/>
          <w:noProof/>
          <w:sz w:val="24"/>
          <w:szCs w:val="24"/>
        </w:rPr>
        <w:t>Thinking Fast and Slow</w:t>
      </w:r>
      <w:r>
        <w:rPr>
          <w:rFonts w:ascii="Times New Roman" w:hAnsi="Times New Roman" w:cs="Times New Roman"/>
          <w:noProof/>
          <w:sz w:val="24"/>
          <w:szCs w:val="24"/>
        </w:rPr>
        <w:t>. London: Allen Lane.</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Kahneman, D., &amp; Frederick, S. (2002). Representativeness revisited: Attribute substitution in intuitive judgment. In T. Gilovich, D. Griffin, &amp; D. Kahneman (Eds.), </w:t>
      </w:r>
      <w:r>
        <w:rPr>
          <w:rFonts w:ascii="Times New Roman" w:hAnsi="Times New Roman" w:cs="Times New Roman"/>
          <w:i/>
          <w:iCs/>
          <w:noProof/>
          <w:sz w:val="24"/>
          <w:szCs w:val="24"/>
        </w:rPr>
        <w:t>Heuristics and Biases: The Psychology of Intuitive Judgment</w:t>
      </w:r>
      <w:r>
        <w:rPr>
          <w:rFonts w:ascii="Times New Roman" w:hAnsi="Times New Roman" w:cs="Times New Roman"/>
          <w:noProof/>
          <w:sz w:val="24"/>
          <w:szCs w:val="24"/>
        </w:rPr>
        <w:t xml:space="preserve"> (pp. 49–81). New York: Cambridge University Press.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Kahneman, D., &amp; Frederick, S. (2005). A model of heuristic judgment. In K. J. Holyoack &amp; R. G. Morrison (Eds.), </w:t>
      </w:r>
      <w:r>
        <w:rPr>
          <w:rFonts w:ascii="Times New Roman" w:hAnsi="Times New Roman" w:cs="Times New Roman"/>
          <w:i/>
          <w:iCs/>
          <w:noProof/>
          <w:sz w:val="24"/>
          <w:szCs w:val="24"/>
        </w:rPr>
        <w:t>Tge Cnmbridge Handbook of Thinking and Reasoning</w:t>
      </w:r>
      <w:r>
        <w:rPr>
          <w:rFonts w:ascii="Times New Roman" w:hAnsi="Times New Roman" w:cs="Times New Roman"/>
          <w:noProof/>
          <w:sz w:val="24"/>
          <w:szCs w:val="24"/>
        </w:rPr>
        <w:t xml:space="preserve"> (pp. 267–293). New York: Cambridge University Press.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Kahneman, D., &amp; Tversky, A. (1982). On the study of statistical intuitions. In D. Kahneman, P. Slovic, &amp; A. Tversky (Eds.), </w:t>
      </w:r>
      <w:r>
        <w:rPr>
          <w:rFonts w:ascii="Times New Roman" w:hAnsi="Times New Roman" w:cs="Times New Roman"/>
          <w:i/>
          <w:iCs/>
          <w:noProof/>
          <w:sz w:val="24"/>
          <w:szCs w:val="24"/>
        </w:rPr>
        <w:t>Judgement under uncertainty: Heuristics and biases</w:t>
      </w:r>
      <w:r>
        <w:rPr>
          <w:rFonts w:ascii="Times New Roman" w:hAnsi="Times New Roman" w:cs="Times New Roman"/>
          <w:noProof/>
          <w:sz w:val="24"/>
          <w:szCs w:val="24"/>
        </w:rPr>
        <w:t xml:space="preserve"> (pp. 493–508). New York: Camrbidge University Press. http://doi.org/10.1016/0010-0277(82)90022-1</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Kerr, J., Eves, F., &amp; Carroll, D. (2001a). Six-Month Observational Study of Prompted Stair </w:t>
      </w:r>
      <w:r>
        <w:rPr>
          <w:rFonts w:ascii="Times New Roman" w:hAnsi="Times New Roman" w:cs="Times New Roman"/>
          <w:noProof/>
          <w:sz w:val="24"/>
          <w:szCs w:val="24"/>
        </w:rPr>
        <w:lastRenderedPageBreak/>
        <w:t xml:space="preserve">Climbing. </w:t>
      </w:r>
      <w:r>
        <w:rPr>
          <w:rFonts w:ascii="Times New Roman" w:hAnsi="Times New Roman" w:cs="Times New Roman"/>
          <w:i/>
          <w:iCs/>
          <w:noProof/>
          <w:sz w:val="24"/>
          <w:szCs w:val="24"/>
        </w:rPr>
        <w:t>Preventive Medicine</w:t>
      </w:r>
      <w:r>
        <w:rPr>
          <w:rFonts w:ascii="Times New Roman" w:hAnsi="Times New Roman" w:cs="Times New Roman"/>
          <w:noProof/>
          <w:sz w:val="24"/>
          <w:szCs w:val="24"/>
        </w:rPr>
        <w:t xml:space="preserve">, </w:t>
      </w:r>
      <w:r>
        <w:rPr>
          <w:rFonts w:ascii="Times New Roman" w:hAnsi="Times New Roman" w:cs="Times New Roman"/>
          <w:i/>
          <w:iCs/>
          <w:noProof/>
          <w:sz w:val="24"/>
          <w:szCs w:val="24"/>
        </w:rPr>
        <w:t>33</w:t>
      </w:r>
      <w:r>
        <w:rPr>
          <w:rFonts w:ascii="Times New Roman" w:hAnsi="Times New Roman" w:cs="Times New Roman"/>
          <w:noProof/>
          <w:sz w:val="24"/>
          <w:szCs w:val="24"/>
        </w:rPr>
        <w:t>(5), 422–427. http://doi.org/10.1006/pmed.2001.0908</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Kerr, J., Eves, F. F., &amp; Carroll, D. (2001b). Getting more people on the stairs: the impact of a new message format. </w:t>
      </w:r>
      <w:r>
        <w:rPr>
          <w:rFonts w:ascii="Times New Roman" w:hAnsi="Times New Roman" w:cs="Times New Roman"/>
          <w:i/>
          <w:iCs/>
          <w:noProof/>
          <w:sz w:val="24"/>
          <w:szCs w:val="24"/>
        </w:rPr>
        <w:t>Journal of Health Psychology</w:t>
      </w:r>
      <w:r>
        <w:rPr>
          <w:rFonts w:ascii="Times New Roman" w:hAnsi="Times New Roman" w:cs="Times New Roman"/>
          <w:noProof/>
          <w:sz w:val="24"/>
          <w:szCs w:val="24"/>
        </w:rPr>
        <w:t xml:space="preserve">, </w:t>
      </w:r>
      <w:r>
        <w:rPr>
          <w:rFonts w:ascii="Times New Roman" w:hAnsi="Times New Roman" w:cs="Times New Roman"/>
          <w:i/>
          <w:iCs/>
          <w:noProof/>
          <w:sz w:val="24"/>
          <w:szCs w:val="24"/>
        </w:rPr>
        <w:t>6</w:t>
      </w:r>
      <w:r>
        <w:rPr>
          <w:rFonts w:ascii="Times New Roman" w:hAnsi="Times New Roman" w:cs="Times New Roman"/>
          <w:noProof/>
          <w:sz w:val="24"/>
          <w:szCs w:val="24"/>
        </w:rPr>
        <w:t>(5), 495–500. http://doi.org/10.1177/135910530100600503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Kiszko, K. M., Martinez, O. D., Abrams, C., &amp; Elbel, B. (2014). The influence of calorie labeling on food orders and consumption: a review of the literature. </w:t>
      </w:r>
      <w:r>
        <w:rPr>
          <w:rFonts w:ascii="Times New Roman" w:hAnsi="Times New Roman" w:cs="Times New Roman"/>
          <w:i/>
          <w:iCs/>
          <w:noProof/>
          <w:sz w:val="24"/>
          <w:szCs w:val="24"/>
        </w:rPr>
        <w:t>Journal of Community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39</w:t>
      </w:r>
      <w:r>
        <w:rPr>
          <w:rFonts w:ascii="Times New Roman" w:hAnsi="Times New Roman" w:cs="Times New Roman"/>
          <w:noProof/>
          <w:sz w:val="24"/>
          <w:szCs w:val="24"/>
        </w:rPr>
        <w:t>(6), 1248–69. http://doi.org/10.1007/s10900-014-9876-0</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Klaczynski, P. A. (2001). Analytic and Heuristic Processing Influences on Adolescent Reasoning and Decision Making. </w:t>
      </w:r>
      <w:r>
        <w:rPr>
          <w:rFonts w:ascii="Times New Roman" w:hAnsi="Times New Roman" w:cs="Times New Roman"/>
          <w:i/>
          <w:iCs/>
          <w:noProof/>
          <w:sz w:val="24"/>
          <w:szCs w:val="24"/>
        </w:rPr>
        <w:t>Child Development</w:t>
      </w:r>
      <w:r>
        <w:rPr>
          <w:rFonts w:ascii="Times New Roman" w:hAnsi="Times New Roman" w:cs="Times New Roman"/>
          <w:noProof/>
          <w:sz w:val="24"/>
          <w:szCs w:val="24"/>
        </w:rPr>
        <w:t xml:space="preserve">, </w:t>
      </w:r>
      <w:r>
        <w:rPr>
          <w:rFonts w:ascii="Times New Roman" w:hAnsi="Times New Roman" w:cs="Times New Roman"/>
          <w:i/>
          <w:iCs/>
          <w:noProof/>
          <w:sz w:val="24"/>
          <w:szCs w:val="24"/>
        </w:rPr>
        <w:t>72</w:t>
      </w:r>
      <w:r>
        <w:rPr>
          <w:rFonts w:ascii="Times New Roman" w:hAnsi="Times New Roman" w:cs="Times New Roman"/>
          <w:noProof/>
          <w:sz w:val="24"/>
          <w:szCs w:val="24"/>
        </w:rPr>
        <w:t>(3), 844–861.</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Kosters, M., &amp; Van der Heijden, J. (2015). From mechanism to virtue: Evaluating Nudge theory. </w:t>
      </w:r>
      <w:r>
        <w:rPr>
          <w:rFonts w:ascii="Times New Roman" w:hAnsi="Times New Roman" w:cs="Times New Roman"/>
          <w:i/>
          <w:iCs/>
          <w:noProof/>
          <w:sz w:val="24"/>
          <w:szCs w:val="24"/>
        </w:rPr>
        <w:t>Evaluation</w:t>
      </w:r>
      <w:r>
        <w:rPr>
          <w:rFonts w:ascii="Times New Roman" w:hAnsi="Times New Roman" w:cs="Times New Roman"/>
          <w:noProof/>
          <w:sz w:val="24"/>
          <w:szCs w:val="24"/>
        </w:rPr>
        <w:t xml:space="preserve">, </w:t>
      </w:r>
      <w:r>
        <w:rPr>
          <w:rFonts w:ascii="Times New Roman" w:hAnsi="Times New Roman" w:cs="Times New Roman"/>
          <w:i/>
          <w:iCs/>
          <w:noProof/>
          <w:sz w:val="24"/>
          <w:szCs w:val="24"/>
        </w:rPr>
        <w:t>21</w:t>
      </w:r>
      <w:r>
        <w:rPr>
          <w:rFonts w:ascii="Times New Roman" w:hAnsi="Times New Roman" w:cs="Times New Roman"/>
          <w:noProof/>
          <w:sz w:val="24"/>
          <w:szCs w:val="24"/>
        </w:rPr>
        <w:t>(3), 276–291. http://doi.org/10.1177/1356389015590218</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Kruglanski, A. W. (2013). Only One? The Default Interventionist Perspective as a Unimodel--Commentary on Evans &amp; Stanovich (2013). </w:t>
      </w:r>
      <w:r>
        <w:rPr>
          <w:rFonts w:ascii="Times New Roman" w:hAnsi="Times New Roman" w:cs="Times New Roman"/>
          <w:i/>
          <w:iCs/>
          <w:noProof/>
          <w:sz w:val="24"/>
          <w:szCs w:val="24"/>
        </w:rPr>
        <w:t>Perspectives on Psychological Science</w:t>
      </w:r>
      <w:r>
        <w:rPr>
          <w:rFonts w:ascii="Times New Roman" w:hAnsi="Times New Roman" w:cs="Times New Roman"/>
          <w:noProof/>
          <w:sz w:val="24"/>
          <w:szCs w:val="24"/>
        </w:rPr>
        <w:t xml:space="preserve">, </w:t>
      </w:r>
      <w:r>
        <w:rPr>
          <w:rFonts w:ascii="Times New Roman" w:hAnsi="Times New Roman" w:cs="Times New Roman"/>
          <w:i/>
          <w:iCs/>
          <w:noProof/>
          <w:sz w:val="24"/>
          <w:szCs w:val="24"/>
        </w:rPr>
        <w:t>8</w:t>
      </w:r>
      <w:r>
        <w:rPr>
          <w:rFonts w:ascii="Times New Roman" w:hAnsi="Times New Roman" w:cs="Times New Roman"/>
          <w:noProof/>
          <w:sz w:val="24"/>
          <w:szCs w:val="24"/>
        </w:rPr>
        <w:t>(3), 242–247. http://doi.org/10.1177/1745691613483477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Lee, K. K., Perry, A. S., Wolf, S. A., Agarwal, R., Rosenblum, R., Fischer, S., … Silver, L. D. (2012). Promoting Routine Stair Use Evaluating the Impact of a Stair Prompt Across Buildings. </w:t>
      </w:r>
      <w:r>
        <w:rPr>
          <w:rFonts w:ascii="Times New Roman" w:hAnsi="Times New Roman" w:cs="Times New Roman"/>
          <w:i/>
          <w:iCs/>
          <w:noProof/>
          <w:sz w:val="24"/>
          <w:szCs w:val="24"/>
        </w:rPr>
        <w:t>American Journal of Preventive Medicine</w:t>
      </w:r>
      <w:r>
        <w:rPr>
          <w:rFonts w:ascii="Times New Roman" w:hAnsi="Times New Roman" w:cs="Times New Roman"/>
          <w:noProof/>
          <w:sz w:val="24"/>
          <w:szCs w:val="24"/>
        </w:rPr>
        <w:t xml:space="preserve">, </w:t>
      </w:r>
      <w:r>
        <w:rPr>
          <w:rFonts w:ascii="Times New Roman" w:hAnsi="Times New Roman" w:cs="Times New Roman"/>
          <w:i/>
          <w:iCs/>
          <w:noProof/>
          <w:sz w:val="24"/>
          <w:szCs w:val="24"/>
        </w:rPr>
        <w:t>42</w:t>
      </w:r>
      <w:r>
        <w:rPr>
          <w:rFonts w:ascii="Times New Roman" w:hAnsi="Times New Roman" w:cs="Times New Roman"/>
          <w:noProof/>
          <w:sz w:val="24"/>
          <w:szCs w:val="24"/>
        </w:rPr>
        <w:t>(2), 136–141. http://doi.org/10.1016/j.amepre.2011.10.005</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Lewis, A., &amp; Eves, F. (2012). Prompt before the choice is made: Effects of a stair-climbing intervention in university buildings. </w:t>
      </w:r>
      <w:r>
        <w:rPr>
          <w:rFonts w:ascii="Times New Roman" w:hAnsi="Times New Roman" w:cs="Times New Roman"/>
          <w:i/>
          <w:iCs/>
          <w:noProof/>
          <w:sz w:val="24"/>
          <w:szCs w:val="24"/>
        </w:rPr>
        <w:t>British Journal of Health Psychology</w:t>
      </w:r>
      <w:r>
        <w:rPr>
          <w:rFonts w:ascii="Times New Roman" w:hAnsi="Times New Roman" w:cs="Times New Roman"/>
          <w:noProof/>
          <w:sz w:val="24"/>
          <w:szCs w:val="24"/>
        </w:rPr>
        <w:t xml:space="preserve">, </w:t>
      </w:r>
      <w:r>
        <w:rPr>
          <w:rFonts w:ascii="Times New Roman" w:hAnsi="Times New Roman" w:cs="Times New Roman"/>
          <w:i/>
          <w:iCs/>
          <w:noProof/>
          <w:sz w:val="24"/>
          <w:szCs w:val="24"/>
        </w:rPr>
        <w:t>17</w:t>
      </w:r>
      <w:r>
        <w:rPr>
          <w:rFonts w:ascii="Times New Roman" w:hAnsi="Times New Roman" w:cs="Times New Roman"/>
          <w:noProof/>
          <w:sz w:val="24"/>
          <w:szCs w:val="24"/>
        </w:rPr>
        <w:t>(3), 631–643. http://doi.org/10.1111/j.2044-8287.2011.02060.x</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Lewis, M. A., &amp; Neighbors, C. (2006). Social norms approaches using descriptive drinking norms education: a review of the research on personalized normative feedback. </w:t>
      </w:r>
      <w:r>
        <w:rPr>
          <w:rFonts w:ascii="Times New Roman" w:hAnsi="Times New Roman" w:cs="Times New Roman"/>
          <w:i/>
          <w:iCs/>
          <w:noProof/>
          <w:sz w:val="24"/>
          <w:szCs w:val="24"/>
        </w:rPr>
        <w:t xml:space="preserve">Journal </w:t>
      </w:r>
      <w:r>
        <w:rPr>
          <w:rFonts w:ascii="Times New Roman" w:hAnsi="Times New Roman" w:cs="Times New Roman"/>
          <w:i/>
          <w:iCs/>
          <w:noProof/>
          <w:sz w:val="24"/>
          <w:szCs w:val="24"/>
        </w:rPr>
        <w:lastRenderedPageBreak/>
        <w:t>of American College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54</w:t>
      </w:r>
      <w:r>
        <w:rPr>
          <w:rFonts w:ascii="Times New Roman" w:hAnsi="Times New Roman" w:cs="Times New Roman"/>
          <w:noProof/>
          <w:sz w:val="24"/>
          <w:szCs w:val="24"/>
        </w:rPr>
        <w:t>(4), 213–8. http://doi.org/10.3200/JACH.54.4.213-218</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Linkenbach, J., Perkins, H. W., &amp; DeJong, W. (2003). </w:t>
      </w:r>
      <w:r>
        <w:rPr>
          <w:rFonts w:ascii="Times New Roman" w:hAnsi="Times New Roman" w:cs="Times New Roman"/>
          <w:i/>
          <w:iCs/>
          <w:noProof/>
          <w:sz w:val="24"/>
          <w:szCs w:val="24"/>
        </w:rPr>
        <w:t>Parent’s Perceptions of Parenting Norms: Using the Social Norms Approach to Reiniforce Effective Parenting</w:t>
      </w:r>
      <w:r>
        <w:rPr>
          <w:rFonts w:ascii="Times New Roman" w:hAnsi="Times New Roman" w:cs="Times New Roman"/>
          <w:noProof/>
          <w:sz w:val="24"/>
          <w:szCs w:val="24"/>
        </w:rPr>
        <w:t>. San Francisco: Jossery-Bass.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Liu, P. J., Wisdom, J., Roberto, C. A., Liu, L. J., &amp; Ubel, P. A. (2014). Using Behavioral Economics to Design More Effective Food Policies to Address Obesity. </w:t>
      </w:r>
      <w:r>
        <w:rPr>
          <w:rFonts w:ascii="Times New Roman" w:hAnsi="Times New Roman" w:cs="Times New Roman"/>
          <w:i/>
          <w:iCs/>
          <w:noProof/>
          <w:sz w:val="24"/>
          <w:szCs w:val="24"/>
        </w:rPr>
        <w:t>Applied Economic Perspectives and Policy</w:t>
      </w:r>
      <w:r>
        <w:rPr>
          <w:rFonts w:ascii="Times New Roman" w:hAnsi="Times New Roman" w:cs="Times New Roman"/>
          <w:noProof/>
          <w:sz w:val="24"/>
          <w:szCs w:val="24"/>
        </w:rPr>
        <w:t xml:space="preserve">, </w:t>
      </w:r>
      <w:r>
        <w:rPr>
          <w:rFonts w:ascii="Times New Roman" w:hAnsi="Times New Roman" w:cs="Times New Roman"/>
          <w:i/>
          <w:iCs/>
          <w:noProof/>
          <w:sz w:val="24"/>
          <w:szCs w:val="24"/>
        </w:rPr>
        <w:t>36</w:t>
      </w:r>
      <w:r>
        <w:rPr>
          <w:rFonts w:ascii="Times New Roman" w:hAnsi="Times New Roman" w:cs="Times New Roman"/>
          <w:noProof/>
          <w:sz w:val="24"/>
          <w:szCs w:val="24"/>
        </w:rPr>
        <w:t>(1), 6–24. http://doi.org/10.1093/aepp/ppt027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Loewenstein, G., Asch, D. A., Friedman, J. Y., Melichar, L. A., Volpp, K. G., Lowenstein, G., … Volpp, K. G. (2012). Can behavioural economics make us healthier? </w:t>
      </w:r>
      <w:r>
        <w:rPr>
          <w:rFonts w:ascii="Times New Roman" w:hAnsi="Times New Roman" w:cs="Times New Roman"/>
          <w:i/>
          <w:iCs/>
          <w:noProof/>
          <w:sz w:val="24"/>
          <w:szCs w:val="24"/>
        </w:rPr>
        <w:t>BMJ</w:t>
      </w:r>
      <w:r>
        <w:rPr>
          <w:rFonts w:ascii="Times New Roman" w:hAnsi="Times New Roman" w:cs="Times New Roman"/>
          <w:noProof/>
          <w:sz w:val="24"/>
          <w:szCs w:val="24"/>
        </w:rPr>
        <w:t xml:space="preserve">, </w:t>
      </w:r>
      <w:r>
        <w:rPr>
          <w:rFonts w:ascii="Times New Roman" w:hAnsi="Times New Roman" w:cs="Times New Roman"/>
          <w:i/>
          <w:iCs/>
          <w:noProof/>
          <w:sz w:val="24"/>
          <w:szCs w:val="24"/>
        </w:rPr>
        <w:t>344</w:t>
      </w:r>
      <w:r>
        <w:rPr>
          <w:rFonts w:ascii="Times New Roman" w:hAnsi="Times New Roman" w:cs="Times New Roman"/>
          <w:noProof/>
          <w:sz w:val="24"/>
          <w:szCs w:val="24"/>
        </w:rPr>
        <w:t>, e3482. http://doi.org/10.1136/bmj.e3482</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Loewenstein, G., Bryce, C., Hagmann, D., &amp; Rajpal, S. (2015). Warning: You are about to be nudged. </w:t>
      </w:r>
      <w:r>
        <w:rPr>
          <w:rFonts w:ascii="Times New Roman" w:hAnsi="Times New Roman" w:cs="Times New Roman"/>
          <w:i/>
          <w:iCs/>
          <w:noProof/>
          <w:sz w:val="24"/>
          <w:szCs w:val="24"/>
        </w:rPr>
        <w:t>Behavioral Science &amp; Policy</w:t>
      </w:r>
      <w:r>
        <w:rPr>
          <w:rFonts w:ascii="Times New Roman" w:hAnsi="Times New Roman" w:cs="Times New Roman"/>
          <w:noProof/>
          <w:sz w:val="24"/>
          <w:szCs w:val="24"/>
        </w:rPr>
        <w:t xml:space="preserve">, </w:t>
      </w:r>
      <w:r>
        <w:rPr>
          <w:rFonts w:ascii="Times New Roman" w:hAnsi="Times New Roman" w:cs="Times New Roman"/>
          <w:i/>
          <w:iCs/>
          <w:noProof/>
          <w:sz w:val="24"/>
          <w:szCs w:val="24"/>
        </w:rPr>
        <w:t>1</w:t>
      </w:r>
      <w:r>
        <w:rPr>
          <w:rFonts w:ascii="Times New Roman" w:hAnsi="Times New Roman" w:cs="Times New Roman"/>
          <w:noProof/>
          <w:sz w:val="24"/>
          <w:szCs w:val="24"/>
        </w:rPr>
        <w:t>(1), 35–42.</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Magnusson, R. S. (2009). Rethinking global health challenges: towards a “global compact”for reducing the burden of chronic disease. </w:t>
      </w:r>
      <w:r>
        <w:rPr>
          <w:rFonts w:ascii="Times New Roman" w:hAnsi="Times New Roman" w:cs="Times New Roman"/>
          <w:i/>
          <w:iCs/>
          <w:noProof/>
          <w:sz w:val="24"/>
          <w:szCs w:val="24"/>
        </w:rPr>
        <w:t>Public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123</w:t>
      </w:r>
      <w:r>
        <w:rPr>
          <w:rFonts w:ascii="Times New Roman" w:hAnsi="Times New Roman" w:cs="Times New Roman"/>
          <w:noProof/>
          <w:sz w:val="24"/>
          <w:szCs w:val="24"/>
        </w:rPr>
        <w:t>(3), 265–274.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Marshall, A. L., Bauman, A. E., Patch, C., Wilson, J., &amp; Chen, J. (2002). Can motivational signs prompt increases in incidental physical activity in an Australian health-care facility? </w:t>
      </w:r>
      <w:r>
        <w:rPr>
          <w:rFonts w:ascii="Times New Roman" w:hAnsi="Times New Roman" w:cs="Times New Roman"/>
          <w:i/>
          <w:iCs/>
          <w:noProof/>
          <w:sz w:val="24"/>
          <w:szCs w:val="24"/>
        </w:rPr>
        <w:t>Health Education Research</w:t>
      </w:r>
      <w:r>
        <w:rPr>
          <w:rFonts w:ascii="Times New Roman" w:hAnsi="Times New Roman" w:cs="Times New Roman"/>
          <w:noProof/>
          <w:sz w:val="24"/>
          <w:szCs w:val="24"/>
        </w:rPr>
        <w:t xml:space="preserve">, </w:t>
      </w:r>
      <w:r>
        <w:rPr>
          <w:rFonts w:ascii="Times New Roman" w:hAnsi="Times New Roman" w:cs="Times New Roman"/>
          <w:i/>
          <w:iCs/>
          <w:noProof/>
          <w:sz w:val="24"/>
          <w:szCs w:val="24"/>
        </w:rPr>
        <w:t>17</w:t>
      </w:r>
      <w:r>
        <w:rPr>
          <w:rFonts w:ascii="Times New Roman" w:hAnsi="Times New Roman" w:cs="Times New Roman"/>
          <w:noProof/>
          <w:sz w:val="24"/>
          <w:szCs w:val="24"/>
        </w:rPr>
        <w:t>(6), 743–749. http://doi.org/10.1093/her/17.6.743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Marteau, T. M., Ogilvie, D., Ronald, M., Suhrcke, M., &amp; Kelly, M. P. (2011). Judging nudging: can nudge improve population health? </w:t>
      </w:r>
      <w:r>
        <w:rPr>
          <w:rFonts w:ascii="Times New Roman" w:hAnsi="Times New Roman" w:cs="Times New Roman"/>
          <w:i/>
          <w:iCs/>
          <w:noProof/>
          <w:sz w:val="24"/>
          <w:szCs w:val="24"/>
        </w:rPr>
        <w:t>BMJ</w:t>
      </w:r>
      <w:r>
        <w:rPr>
          <w:rFonts w:ascii="Times New Roman" w:hAnsi="Times New Roman" w:cs="Times New Roman"/>
          <w:noProof/>
          <w:sz w:val="24"/>
          <w:szCs w:val="24"/>
        </w:rPr>
        <w:t xml:space="preserve">, </w:t>
      </w:r>
      <w:r>
        <w:rPr>
          <w:rFonts w:ascii="Times New Roman" w:hAnsi="Times New Roman" w:cs="Times New Roman"/>
          <w:i/>
          <w:iCs/>
          <w:noProof/>
          <w:sz w:val="24"/>
          <w:szCs w:val="24"/>
        </w:rPr>
        <w:t>342</w:t>
      </w:r>
      <w:r>
        <w:rPr>
          <w:rFonts w:ascii="Times New Roman" w:hAnsi="Times New Roman" w:cs="Times New Roman"/>
          <w:noProof/>
          <w:sz w:val="24"/>
          <w:szCs w:val="24"/>
        </w:rPr>
        <w:t>, d228.</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Maynard, O. M., Munafò, M. R., &amp; Leonards, U. (2013). Visual attention to health warnings on plain tobacco packaging in adolescent smokers and non-smokers. </w:t>
      </w:r>
      <w:r>
        <w:rPr>
          <w:rFonts w:ascii="Times New Roman" w:hAnsi="Times New Roman" w:cs="Times New Roman"/>
          <w:i/>
          <w:iCs/>
          <w:noProof/>
          <w:sz w:val="24"/>
          <w:szCs w:val="24"/>
        </w:rPr>
        <w:t>Addiction</w:t>
      </w:r>
      <w:r>
        <w:rPr>
          <w:rFonts w:ascii="Times New Roman" w:hAnsi="Times New Roman" w:cs="Times New Roman"/>
          <w:noProof/>
          <w:sz w:val="24"/>
          <w:szCs w:val="24"/>
        </w:rPr>
        <w:t xml:space="preserve">, </w:t>
      </w:r>
      <w:r>
        <w:rPr>
          <w:rFonts w:ascii="Times New Roman" w:hAnsi="Times New Roman" w:cs="Times New Roman"/>
          <w:i/>
          <w:iCs/>
          <w:noProof/>
          <w:sz w:val="24"/>
          <w:szCs w:val="24"/>
        </w:rPr>
        <w:t>108</w:t>
      </w:r>
      <w:r>
        <w:rPr>
          <w:rFonts w:ascii="Times New Roman" w:hAnsi="Times New Roman" w:cs="Times New Roman"/>
          <w:noProof/>
          <w:sz w:val="24"/>
          <w:szCs w:val="24"/>
        </w:rPr>
        <w:t>(2), 413–419. http://doi.org/10.1111/j.1360-0443.2012.04028.x</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lastRenderedPageBreak/>
        <w:t xml:space="preserve">Mazzocchi, M., Cagnone, S., Bech-Larsen, T., Niedźwiedzka, B., Saba, A., Shankar, B., … Traill, W. B. (2015). What is the public appetite for healthy eating policies? Evidence from a cross-European survey. </w:t>
      </w:r>
      <w:r>
        <w:rPr>
          <w:rFonts w:ascii="Times New Roman" w:hAnsi="Times New Roman" w:cs="Times New Roman"/>
          <w:i/>
          <w:iCs/>
          <w:noProof/>
          <w:sz w:val="24"/>
          <w:szCs w:val="24"/>
        </w:rPr>
        <w:t>Health Economics, Policy and Law</w:t>
      </w:r>
      <w:r>
        <w:rPr>
          <w:rFonts w:ascii="Times New Roman" w:hAnsi="Times New Roman" w:cs="Times New Roman"/>
          <w:noProof/>
          <w:sz w:val="24"/>
          <w:szCs w:val="24"/>
        </w:rPr>
        <w:t xml:space="preserve">, </w:t>
      </w:r>
      <w:r>
        <w:rPr>
          <w:rFonts w:ascii="Times New Roman" w:hAnsi="Times New Roman" w:cs="Times New Roman"/>
          <w:i/>
          <w:iCs/>
          <w:noProof/>
          <w:sz w:val="24"/>
          <w:szCs w:val="24"/>
        </w:rPr>
        <w:t>10</w:t>
      </w:r>
      <w:r>
        <w:rPr>
          <w:rFonts w:ascii="Times New Roman" w:hAnsi="Times New Roman" w:cs="Times New Roman"/>
          <w:noProof/>
          <w:sz w:val="24"/>
          <w:szCs w:val="24"/>
        </w:rPr>
        <w:t>(3), 267–292. http://doi.org/10.1017/S1744133114000346</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Mills, C. (2013). Why nudges matter: a reply to Goodwin. </w:t>
      </w:r>
      <w:r>
        <w:rPr>
          <w:rFonts w:ascii="Times New Roman" w:hAnsi="Times New Roman" w:cs="Times New Roman"/>
          <w:i/>
          <w:iCs/>
          <w:noProof/>
          <w:sz w:val="24"/>
          <w:szCs w:val="24"/>
        </w:rPr>
        <w:t>Politics</w:t>
      </w:r>
      <w:r>
        <w:rPr>
          <w:rFonts w:ascii="Times New Roman" w:hAnsi="Times New Roman" w:cs="Times New Roman"/>
          <w:noProof/>
          <w:sz w:val="24"/>
          <w:szCs w:val="24"/>
        </w:rPr>
        <w:t xml:space="preserve">, </w:t>
      </w:r>
      <w:r>
        <w:rPr>
          <w:rFonts w:ascii="Times New Roman" w:hAnsi="Times New Roman" w:cs="Times New Roman"/>
          <w:i/>
          <w:iCs/>
          <w:noProof/>
          <w:sz w:val="24"/>
          <w:szCs w:val="24"/>
        </w:rPr>
        <w:t>33</w:t>
      </w:r>
      <w:r>
        <w:rPr>
          <w:rFonts w:ascii="Times New Roman" w:hAnsi="Times New Roman" w:cs="Times New Roman"/>
          <w:noProof/>
          <w:sz w:val="24"/>
          <w:szCs w:val="24"/>
        </w:rPr>
        <w:t>(1), 28–36. http://doi.org/10.1111/j.1467-9256.2012.01450.x</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Mols, F., Haslam, S. A., Jetten, J., &amp; Steffens, N. K. (2015). Why a nudge is not enough: A social identity critique of governance by stealth. </w:t>
      </w:r>
      <w:r>
        <w:rPr>
          <w:rFonts w:ascii="Times New Roman" w:hAnsi="Times New Roman" w:cs="Times New Roman"/>
          <w:i/>
          <w:iCs/>
          <w:noProof/>
          <w:sz w:val="24"/>
          <w:szCs w:val="24"/>
        </w:rPr>
        <w:t>European Journal of Political Research</w:t>
      </w:r>
      <w:r>
        <w:rPr>
          <w:rFonts w:ascii="Times New Roman" w:hAnsi="Times New Roman" w:cs="Times New Roman"/>
          <w:noProof/>
          <w:sz w:val="24"/>
          <w:szCs w:val="24"/>
        </w:rPr>
        <w:t xml:space="preserve">, </w:t>
      </w:r>
      <w:r>
        <w:rPr>
          <w:rFonts w:ascii="Times New Roman" w:hAnsi="Times New Roman" w:cs="Times New Roman"/>
          <w:i/>
          <w:iCs/>
          <w:noProof/>
          <w:sz w:val="24"/>
          <w:szCs w:val="24"/>
        </w:rPr>
        <w:t>54</w:t>
      </w:r>
      <w:r>
        <w:rPr>
          <w:rFonts w:ascii="Times New Roman" w:hAnsi="Times New Roman" w:cs="Times New Roman"/>
          <w:noProof/>
          <w:sz w:val="24"/>
          <w:szCs w:val="24"/>
        </w:rPr>
        <w:t>(1), 195. http://doi.org/10.1111/1475-6765.12073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Moodie, C., &amp; Mackintosh, A. M. (2013). Young adult women smokers’ response to using plain cigarette packaging: a naturalistic approach. </w:t>
      </w:r>
      <w:r>
        <w:rPr>
          <w:rFonts w:ascii="Times New Roman" w:hAnsi="Times New Roman" w:cs="Times New Roman"/>
          <w:i/>
          <w:iCs/>
          <w:noProof/>
          <w:sz w:val="24"/>
          <w:szCs w:val="24"/>
        </w:rPr>
        <w:t>BMJ Open</w:t>
      </w:r>
      <w:r>
        <w:rPr>
          <w:rFonts w:ascii="Times New Roman" w:hAnsi="Times New Roman" w:cs="Times New Roman"/>
          <w:noProof/>
          <w:sz w:val="24"/>
          <w:szCs w:val="24"/>
        </w:rPr>
        <w:t xml:space="preserve">, </w:t>
      </w:r>
      <w:r>
        <w:rPr>
          <w:rFonts w:ascii="Times New Roman" w:hAnsi="Times New Roman" w:cs="Times New Roman"/>
          <w:i/>
          <w:iCs/>
          <w:noProof/>
          <w:sz w:val="24"/>
          <w:szCs w:val="24"/>
        </w:rPr>
        <w:t>3</w:t>
      </w:r>
      <w:r>
        <w:rPr>
          <w:rFonts w:ascii="Times New Roman" w:hAnsi="Times New Roman" w:cs="Times New Roman"/>
          <w:noProof/>
          <w:sz w:val="24"/>
          <w:szCs w:val="24"/>
        </w:rPr>
        <w:t>(3), e002402. http://doi.org/10.1136/bmjopen-2012-002402</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Moodie, C., Mackintosh, A. M., Hastings, G., &amp; Ford, A. (2011). Young adult smokers’ perceptions of plain packaging: a pilot naturalistic study. </w:t>
      </w:r>
      <w:r>
        <w:rPr>
          <w:rFonts w:ascii="Times New Roman" w:hAnsi="Times New Roman" w:cs="Times New Roman"/>
          <w:i/>
          <w:iCs/>
          <w:noProof/>
          <w:sz w:val="24"/>
          <w:szCs w:val="24"/>
        </w:rPr>
        <w:t>Tobacco Control</w:t>
      </w:r>
      <w:r>
        <w:rPr>
          <w:rFonts w:ascii="Times New Roman" w:hAnsi="Times New Roman" w:cs="Times New Roman"/>
          <w:noProof/>
          <w:sz w:val="24"/>
          <w:szCs w:val="24"/>
        </w:rPr>
        <w:t xml:space="preserve">, </w:t>
      </w:r>
      <w:r>
        <w:rPr>
          <w:rFonts w:ascii="Times New Roman" w:hAnsi="Times New Roman" w:cs="Times New Roman"/>
          <w:i/>
          <w:iCs/>
          <w:noProof/>
          <w:sz w:val="24"/>
          <w:szCs w:val="24"/>
        </w:rPr>
        <w:t>20</w:t>
      </w:r>
      <w:r>
        <w:rPr>
          <w:rFonts w:ascii="Times New Roman" w:hAnsi="Times New Roman" w:cs="Times New Roman"/>
          <w:noProof/>
          <w:sz w:val="24"/>
          <w:szCs w:val="24"/>
        </w:rPr>
        <w:t>(5), 367–373. http://doi.org/10.1136/tc.2011.042911</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Moodie, C., Stead, M., Bauld, L., McNeill, A., Angus, K., Hinds, K., … O’Mara-Eves, A. (2012). </w:t>
      </w:r>
      <w:r>
        <w:rPr>
          <w:rFonts w:ascii="Times New Roman" w:hAnsi="Times New Roman" w:cs="Times New Roman"/>
          <w:i/>
          <w:iCs/>
          <w:noProof/>
          <w:sz w:val="24"/>
          <w:szCs w:val="24"/>
        </w:rPr>
        <w:t>Plain Tobacco Packaging: A Systematic Review</w:t>
      </w:r>
      <w:r>
        <w:rPr>
          <w:rFonts w:ascii="Times New Roman" w:hAnsi="Times New Roman" w:cs="Times New Roman"/>
          <w:noProof/>
          <w:sz w:val="24"/>
          <w:szCs w:val="24"/>
        </w:rPr>
        <w:t>. London. Retrieved from http://dspace.stir.ac.uk/bitstream/1893/24420/1/Moodie_et_al_2012_PHRC_PlainPacks.pdf</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Munafò, M. R., Roberts, N., Bauld, L., &amp; Leonards, U. (2011). Plain packaging increases visual attention to health warnings on cigarette packs in non-smokers and weekly smokers but not daily smokers. </w:t>
      </w:r>
      <w:r>
        <w:rPr>
          <w:rFonts w:ascii="Times New Roman" w:hAnsi="Times New Roman" w:cs="Times New Roman"/>
          <w:i/>
          <w:iCs/>
          <w:noProof/>
          <w:sz w:val="24"/>
          <w:szCs w:val="24"/>
        </w:rPr>
        <w:t>Addiction</w:t>
      </w:r>
      <w:r>
        <w:rPr>
          <w:rFonts w:ascii="Times New Roman" w:hAnsi="Times New Roman" w:cs="Times New Roman"/>
          <w:noProof/>
          <w:sz w:val="24"/>
          <w:szCs w:val="24"/>
        </w:rPr>
        <w:t xml:space="preserve">, </w:t>
      </w:r>
      <w:r>
        <w:rPr>
          <w:rFonts w:ascii="Times New Roman" w:hAnsi="Times New Roman" w:cs="Times New Roman"/>
          <w:i/>
          <w:iCs/>
          <w:noProof/>
          <w:sz w:val="24"/>
          <w:szCs w:val="24"/>
        </w:rPr>
        <w:t>106</w:t>
      </w:r>
      <w:r>
        <w:rPr>
          <w:rFonts w:ascii="Times New Roman" w:hAnsi="Times New Roman" w:cs="Times New Roman"/>
          <w:noProof/>
          <w:sz w:val="24"/>
          <w:szCs w:val="24"/>
        </w:rPr>
        <w:t>(8), 1505–1510. http://doi.org/10.1111/j.1360-0443.2011.03430.x</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lastRenderedPageBreak/>
        <w:t xml:space="preserve">Nishida, Y., Akaoka, I., &amp; Nishizawa, T. (1975). Effect of sex hormones on uric acid metabolism in rats. </w:t>
      </w:r>
      <w:r>
        <w:rPr>
          <w:rFonts w:ascii="Times New Roman" w:hAnsi="Times New Roman" w:cs="Times New Roman"/>
          <w:i/>
          <w:iCs/>
          <w:noProof/>
          <w:sz w:val="24"/>
          <w:szCs w:val="24"/>
        </w:rPr>
        <w:t>Experientia</w:t>
      </w:r>
      <w:r>
        <w:rPr>
          <w:rFonts w:ascii="Times New Roman" w:hAnsi="Times New Roman" w:cs="Times New Roman"/>
          <w:noProof/>
          <w:sz w:val="24"/>
          <w:szCs w:val="24"/>
        </w:rPr>
        <w:t xml:space="preserve">, </w:t>
      </w:r>
      <w:r>
        <w:rPr>
          <w:rFonts w:ascii="Times New Roman" w:hAnsi="Times New Roman" w:cs="Times New Roman"/>
          <w:i/>
          <w:iCs/>
          <w:noProof/>
          <w:sz w:val="24"/>
          <w:szCs w:val="24"/>
        </w:rPr>
        <w:t>31</w:t>
      </w:r>
      <w:r>
        <w:rPr>
          <w:rFonts w:ascii="Times New Roman" w:hAnsi="Times New Roman" w:cs="Times New Roman"/>
          <w:noProof/>
          <w:sz w:val="24"/>
          <w:szCs w:val="24"/>
        </w:rPr>
        <w:t>(10), 1134–5. Retrieved from http://www.ncbi.nlm.nih.gov/pubmed/1204720</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Nocon, M., Müller-Riemenschneider, F., Nitzschke, K., &amp; Willich, S. N. (2010). Review Article: Increasing physical activity with point-of-choice prompts--a systematic review. </w:t>
      </w:r>
      <w:r>
        <w:rPr>
          <w:rFonts w:ascii="Times New Roman" w:hAnsi="Times New Roman" w:cs="Times New Roman"/>
          <w:i/>
          <w:iCs/>
          <w:noProof/>
          <w:sz w:val="24"/>
          <w:szCs w:val="24"/>
        </w:rPr>
        <w:t>Scandinavian Journal of Public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38</w:t>
      </w:r>
      <w:r>
        <w:rPr>
          <w:rFonts w:ascii="Times New Roman" w:hAnsi="Times New Roman" w:cs="Times New Roman"/>
          <w:noProof/>
          <w:sz w:val="24"/>
          <w:szCs w:val="24"/>
        </w:rPr>
        <w:t>(6), 633–8. http://doi.org/10.1177/1403494810375865</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Nomura, T., Yoshimoto, Y., Akezaki, Y., &amp; Sato, A. (2009). Changing behavioral patterns to promote physical activity with motivational signs. </w:t>
      </w:r>
      <w:r>
        <w:rPr>
          <w:rFonts w:ascii="Times New Roman" w:hAnsi="Times New Roman" w:cs="Times New Roman"/>
          <w:i/>
          <w:iCs/>
          <w:noProof/>
          <w:sz w:val="24"/>
          <w:szCs w:val="24"/>
        </w:rPr>
        <w:t>Environmental Health and Preventive Medicine</w:t>
      </w:r>
      <w:r>
        <w:rPr>
          <w:rFonts w:ascii="Times New Roman" w:hAnsi="Times New Roman" w:cs="Times New Roman"/>
          <w:noProof/>
          <w:sz w:val="24"/>
          <w:szCs w:val="24"/>
        </w:rPr>
        <w:t xml:space="preserve">, </w:t>
      </w:r>
      <w:r>
        <w:rPr>
          <w:rFonts w:ascii="Times New Roman" w:hAnsi="Times New Roman" w:cs="Times New Roman"/>
          <w:i/>
          <w:iCs/>
          <w:noProof/>
          <w:sz w:val="24"/>
          <w:szCs w:val="24"/>
        </w:rPr>
        <w:t>14</w:t>
      </w:r>
      <w:r>
        <w:rPr>
          <w:rFonts w:ascii="Times New Roman" w:hAnsi="Times New Roman" w:cs="Times New Roman"/>
          <w:noProof/>
          <w:sz w:val="24"/>
          <w:szCs w:val="24"/>
        </w:rPr>
        <w:t>(1), 20–25. http://doi.org/10.1007/s12199-008-0053-x</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Oppenheimer, D. M. (2008). The secret life of fluency. </w:t>
      </w:r>
      <w:r>
        <w:rPr>
          <w:rFonts w:ascii="Times New Roman" w:hAnsi="Times New Roman" w:cs="Times New Roman"/>
          <w:i/>
          <w:iCs/>
          <w:noProof/>
          <w:sz w:val="24"/>
          <w:szCs w:val="24"/>
        </w:rPr>
        <w:t>Trends in Cognitive Sciences</w:t>
      </w:r>
      <w:r>
        <w:rPr>
          <w:rFonts w:ascii="Times New Roman" w:hAnsi="Times New Roman" w:cs="Times New Roman"/>
          <w:noProof/>
          <w:sz w:val="24"/>
          <w:szCs w:val="24"/>
        </w:rPr>
        <w:t xml:space="preserve">, </w:t>
      </w:r>
      <w:r>
        <w:rPr>
          <w:rFonts w:ascii="Times New Roman" w:hAnsi="Times New Roman" w:cs="Times New Roman"/>
          <w:i/>
          <w:iCs/>
          <w:noProof/>
          <w:sz w:val="24"/>
          <w:szCs w:val="24"/>
        </w:rPr>
        <w:t>12</w:t>
      </w:r>
      <w:r>
        <w:rPr>
          <w:rFonts w:ascii="Times New Roman" w:hAnsi="Times New Roman" w:cs="Times New Roman"/>
          <w:noProof/>
          <w:sz w:val="24"/>
          <w:szCs w:val="24"/>
        </w:rPr>
        <w:t>(6), 237–241. http://doi.org/10.1016/j.tics.2008.02.014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Osman, M. (2004). An evaluation of dual-process theories of reasoning. </w:t>
      </w:r>
      <w:r>
        <w:rPr>
          <w:rFonts w:ascii="Times New Roman" w:hAnsi="Times New Roman" w:cs="Times New Roman"/>
          <w:i/>
          <w:iCs/>
          <w:noProof/>
          <w:sz w:val="24"/>
          <w:szCs w:val="24"/>
        </w:rPr>
        <w:t>Psychonomic Bulletin &amp; Review</w:t>
      </w:r>
      <w:r>
        <w:rPr>
          <w:rFonts w:ascii="Times New Roman" w:hAnsi="Times New Roman" w:cs="Times New Roman"/>
          <w:noProof/>
          <w:sz w:val="24"/>
          <w:szCs w:val="24"/>
        </w:rPr>
        <w:t xml:space="preserve">, </w:t>
      </w:r>
      <w:r>
        <w:rPr>
          <w:rFonts w:ascii="Times New Roman" w:hAnsi="Times New Roman" w:cs="Times New Roman"/>
          <w:i/>
          <w:iCs/>
          <w:noProof/>
          <w:sz w:val="24"/>
          <w:szCs w:val="24"/>
        </w:rPr>
        <w:t>11</w:t>
      </w:r>
      <w:r>
        <w:rPr>
          <w:rFonts w:ascii="Times New Roman" w:hAnsi="Times New Roman" w:cs="Times New Roman"/>
          <w:noProof/>
          <w:sz w:val="24"/>
          <w:szCs w:val="24"/>
        </w:rPr>
        <w:t>(6), 988–1010. http://doi.org/10.3758/BF03196730</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Osman, M. (2007). Can tutoring improve performance on a reasoning task under deadline conditions? </w:t>
      </w:r>
      <w:r>
        <w:rPr>
          <w:rFonts w:ascii="Times New Roman" w:hAnsi="Times New Roman" w:cs="Times New Roman"/>
          <w:i/>
          <w:iCs/>
          <w:noProof/>
          <w:sz w:val="24"/>
          <w:szCs w:val="24"/>
        </w:rPr>
        <w:t>Memory &amp; Cognition</w:t>
      </w:r>
      <w:r>
        <w:rPr>
          <w:rFonts w:ascii="Times New Roman" w:hAnsi="Times New Roman" w:cs="Times New Roman"/>
          <w:noProof/>
          <w:sz w:val="24"/>
          <w:szCs w:val="24"/>
        </w:rPr>
        <w:t xml:space="preserve">, </w:t>
      </w:r>
      <w:r>
        <w:rPr>
          <w:rFonts w:ascii="Times New Roman" w:hAnsi="Times New Roman" w:cs="Times New Roman"/>
          <w:i/>
          <w:iCs/>
          <w:noProof/>
          <w:sz w:val="24"/>
          <w:szCs w:val="24"/>
        </w:rPr>
        <w:t>35</w:t>
      </w:r>
      <w:r>
        <w:rPr>
          <w:rFonts w:ascii="Times New Roman" w:hAnsi="Times New Roman" w:cs="Times New Roman"/>
          <w:noProof/>
          <w:sz w:val="24"/>
          <w:szCs w:val="24"/>
        </w:rPr>
        <w:t>(2), 342–351.</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Osman, M. (2013). A Case Study: Dual-Process Theories of Higher Cognition-Commentary on Evans &amp; Stanovich (2013). </w:t>
      </w:r>
      <w:r>
        <w:rPr>
          <w:rFonts w:ascii="Times New Roman" w:hAnsi="Times New Roman" w:cs="Times New Roman"/>
          <w:i/>
          <w:iCs/>
          <w:noProof/>
          <w:sz w:val="24"/>
          <w:szCs w:val="24"/>
        </w:rPr>
        <w:t>Prospect Psychological Science</w:t>
      </w:r>
      <w:r>
        <w:rPr>
          <w:rFonts w:ascii="Times New Roman" w:hAnsi="Times New Roman" w:cs="Times New Roman"/>
          <w:noProof/>
          <w:sz w:val="24"/>
          <w:szCs w:val="24"/>
        </w:rPr>
        <w:t xml:space="preserve">, </w:t>
      </w:r>
      <w:r>
        <w:rPr>
          <w:rFonts w:ascii="Times New Roman" w:hAnsi="Times New Roman" w:cs="Times New Roman"/>
          <w:i/>
          <w:iCs/>
          <w:noProof/>
          <w:sz w:val="24"/>
          <w:szCs w:val="24"/>
        </w:rPr>
        <w:t>8</w:t>
      </w:r>
      <w:r>
        <w:rPr>
          <w:rFonts w:ascii="Times New Roman" w:hAnsi="Times New Roman" w:cs="Times New Roman"/>
          <w:noProof/>
          <w:sz w:val="24"/>
          <w:szCs w:val="24"/>
        </w:rPr>
        <w:t>(3), 248–52. http://doi.org/10.1177/1745691613483475</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Osman, M. (2014). </w:t>
      </w:r>
      <w:r>
        <w:rPr>
          <w:rFonts w:ascii="Times New Roman" w:hAnsi="Times New Roman" w:cs="Times New Roman"/>
          <w:i/>
          <w:iCs/>
          <w:noProof/>
          <w:sz w:val="24"/>
          <w:szCs w:val="24"/>
        </w:rPr>
        <w:t>Future-minded: The Psychology of Agency and Control</w:t>
      </w:r>
      <w:r>
        <w:rPr>
          <w:rFonts w:ascii="Times New Roman" w:hAnsi="Times New Roman" w:cs="Times New Roman"/>
          <w:noProof/>
          <w:sz w:val="24"/>
          <w:szCs w:val="24"/>
        </w:rPr>
        <w:t>. New York: Palgrave Macmillan.</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Osman, M. (2016). Nudge: How Far Have We Come? </w:t>
      </w:r>
      <w:r>
        <w:rPr>
          <w:rFonts w:ascii="Times New Roman" w:hAnsi="Times New Roman" w:cs="Times New Roman"/>
          <w:i/>
          <w:iCs/>
          <w:noProof/>
          <w:sz w:val="24"/>
          <w:szCs w:val="24"/>
        </w:rPr>
        <w:t>Œconomia. History, Methodology, Philosophy</w:t>
      </w:r>
      <w:r>
        <w:rPr>
          <w:rFonts w:ascii="Times New Roman" w:hAnsi="Times New Roman" w:cs="Times New Roman"/>
          <w:noProof/>
          <w:sz w:val="24"/>
          <w:szCs w:val="24"/>
        </w:rPr>
        <w:t>, (6–4), 557–570. Retrieved from https://oeconomia.revues.org/2490</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lastRenderedPageBreak/>
        <w:t xml:space="preserve">Osman, M., &amp; Stavy, R. (2006). Intuitive rules: From formative to developed reasoning. </w:t>
      </w:r>
      <w:r>
        <w:rPr>
          <w:rFonts w:ascii="Times New Roman" w:hAnsi="Times New Roman" w:cs="Times New Roman"/>
          <w:i/>
          <w:iCs/>
          <w:noProof/>
          <w:sz w:val="24"/>
          <w:szCs w:val="24"/>
        </w:rPr>
        <w:t>Psychonomic Bulletin &amp; Review</w:t>
      </w:r>
      <w:r>
        <w:rPr>
          <w:rFonts w:ascii="Times New Roman" w:hAnsi="Times New Roman" w:cs="Times New Roman"/>
          <w:noProof/>
          <w:sz w:val="24"/>
          <w:szCs w:val="24"/>
        </w:rPr>
        <w:t xml:space="preserve">, </w:t>
      </w:r>
      <w:r>
        <w:rPr>
          <w:rFonts w:ascii="Times New Roman" w:hAnsi="Times New Roman" w:cs="Times New Roman"/>
          <w:i/>
          <w:iCs/>
          <w:noProof/>
          <w:sz w:val="24"/>
          <w:szCs w:val="24"/>
        </w:rPr>
        <w:t>13</w:t>
      </w:r>
      <w:r>
        <w:rPr>
          <w:rFonts w:ascii="Times New Roman" w:hAnsi="Times New Roman" w:cs="Times New Roman"/>
          <w:noProof/>
          <w:sz w:val="24"/>
          <w:szCs w:val="24"/>
        </w:rPr>
        <w:t>(935–53).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Pearson, M., &amp; West, P. (2003). Drifting smoke rings: Social network analysis and Markov processes in a longitudinal study of friendship groups and risk-taking. </w:t>
      </w:r>
      <w:r>
        <w:rPr>
          <w:rFonts w:ascii="Times New Roman" w:hAnsi="Times New Roman" w:cs="Times New Roman"/>
          <w:i/>
          <w:iCs/>
          <w:noProof/>
          <w:sz w:val="24"/>
          <w:szCs w:val="24"/>
        </w:rPr>
        <w:t>Connections</w:t>
      </w:r>
      <w:r>
        <w:rPr>
          <w:rFonts w:ascii="Times New Roman" w:hAnsi="Times New Roman" w:cs="Times New Roman"/>
          <w:noProof/>
          <w:sz w:val="24"/>
          <w:szCs w:val="24"/>
        </w:rPr>
        <w:t xml:space="preserve">, </w:t>
      </w:r>
      <w:r>
        <w:rPr>
          <w:rFonts w:ascii="Times New Roman" w:hAnsi="Times New Roman" w:cs="Times New Roman"/>
          <w:i/>
          <w:iCs/>
          <w:noProof/>
          <w:sz w:val="24"/>
          <w:szCs w:val="24"/>
        </w:rPr>
        <w:t>25</w:t>
      </w:r>
      <w:r>
        <w:rPr>
          <w:rFonts w:ascii="Times New Roman" w:hAnsi="Times New Roman" w:cs="Times New Roman"/>
          <w:noProof/>
          <w:sz w:val="24"/>
          <w:szCs w:val="24"/>
        </w:rPr>
        <w:t>(2), 59–76.</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Perkins, H. W., Meilman, P. W., Leichliter, J. S., Cashin, J. R., &amp; Presley, C. A. (1999). Misperceptions of the Norms for the Frequency of Alcohol and Other Drug Use on College Campuses. </w:t>
      </w:r>
      <w:r>
        <w:rPr>
          <w:rFonts w:ascii="Times New Roman" w:hAnsi="Times New Roman" w:cs="Times New Roman"/>
          <w:i/>
          <w:iCs/>
          <w:noProof/>
          <w:sz w:val="24"/>
          <w:szCs w:val="24"/>
        </w:rPr>
        <w:t>Journal of American College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47</w:t>
      </w:r>
      <w:r>
        <w:rPr>
          <w:rFonts w:ascii="Times New Roman" w:hAnsi="Times New Roman" w:cs="Times New Roman"/>
          <w:noProof/>
          <w:sz w:val="24"/>
          <w:szCs w:val="24"/>
        </w:rPr>
        <w:t>(6), 253–258. http://doi.org/10.1080/07448489909595656</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Puig-Ribera, A., &amp; Eves, F. F. (2010). Promoting stair climbing in Barcelona: similarities and differences with interventions in English-speaking populations. </w:t>
      </w:r>
      <w:r>
        <w:rPr>
          <w:rFonts w:ascii="Times New Roman" w:hAnsi="Times New Roman" w:cs="Times New Roman"/>
          <w:i/>
          <w:iCs/>
          <w:noProof/>
          <w:sz w:val="24"/>
          <w:szCs w:val="24"/>
        </w:rPr>
        <w:t>European Journal of Public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20</w:t>
      </w:r>
      <w:r>
        <w:rPr>
          <w:rFonts w:ascii="Times New Roman" w:hAnsi="Times New Roman" w:cs="Times New Roman"/>
          <w:noProof/>
          <w:sz w:val="24"/>
          <w:szCs w:val="24"/>
        </w:rPr>
        <w:t>(1), 100–2. http://doi.org/10.1093/eurpub/ckp059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Rayner, G., &amp; Lang, T. (2011). Is nudge an effective public health strategy to tackle obesity? No. </w:t>
      </w:r>
      <w:r>
        <w:rPr>
          <w:rFonts w:ascii="Times New Roman" w:hAnsi="Times New Roman" w:cs="Times New Roman"/>
          <w:i/>
          <w:iCs/>
          <w:noProof/>
          <w:sz w:val="24"/>
          <w:szCs w:val="24"/>
        </w:rPr>
        <w:t>BMJ</w:t>
      </w:r>
      <w:r>
        <w:rPr>
          <w:rFonts w:ascii="Times New Roman" w:hAnsi="Times New Roman" w:cs="Times New Roman"/>
          <w:noProof/>
          <w:sz w:val="24"/>
          <w:szCs w:val="24"/>
        </w:rPr>
        <w:t xml:space="preserve">, </w:t>
      </w:r>
      <w:r>
        <w:rPr>
          <w:rFonts w:ascii="Times New Roman" w:hAnsi="Times New Roman" w:cs="Times New Roman"/>
          <w:i/>
          <w:iCs/>
          <w:noProof/>
          <w:sz w:val="24"/>
          <w:szCs w:val="24"/>
        </w:rPr>
        <w:t>342</w:t>
      </w:r>
      <w:r>
        <w:rPr>
          <w:rFonts w:ascii="Times New Roman" w:hAnsi="Times New Roman" w:cs="Times New Roman"/>
          <w:noProof/>
          <w:sz w:val="24"/>
          <w:szCs w:val="24"/>
        </w:rPr>
        <w:t>, d2177–d2177. http://doi.org/10.1136/bmj.d2177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Read, S. J., Vanman, E. J., &amp; Miller, L. C. (1997). Connectionism, parallel constraint satisfaction processes, and gestalt principles: (Re)introducing cognitive dynamics to social psychology. </w:t>
      </w:r>
      <w:r>
        <w:rPr>
          <w:rFonts w:ascii="Times New Roman" w:hAnsi="Times New Roman" w:cs="Times New Roman"/>
          <w:i/>
          <w:iCs/>
          <w:noProof/>
          <w:sz w:val="24"/>
          <w:szCs w:val="24"/>
        </w:rPr>
        <w:t>Personality and Social Psychology Review</w:t>
      </w:r>
      <w:r>
        <w:rPr>
          <w:rFonts w:ascii="Times New Roman" w:hAnsi="Times New Roman" w:cs="Times New Roman"/>
          <w:noProof/>
          <w:sz w:val="24"/>
          <w:szCs w:val="24"/>
        </w:rPr>
        <w:t xml:space="preserve">, </w:t>
      </w:r>
      <w:r>
        <w:rPr>
          <w:rFonts w:ascii="Times New Roman" w:hAnsi="Times New Roman" w:cs="Times New Roman"/>
          <w:i/>
          <w:iCs/>
          <w:noProof/>
          <w:sz w:val="24"/>
          <w:szCs w:val="24"/>
        </w:rPr>
        <w:t>1</w:t>
      </w:r>
      <w:r>
        <w:rPr>
          <w:rFonts w:ascii="Times New Roman" w:hAnsi="Times New Roman" w:cs="Times New Roman"/>
          <w:noProof/>
          <w:sz w:val="24"/>
          <w:szCs w:val="24"/>
        </w:rPr>
        <w:t>, 26–53.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Reisch, L. A., &amp; Sunstein, C. R. (2016). Do Europeans like nudges? </w:t>
      </w:r>
      <w:r>
        <w:rPr>
          <w:rFonts w:ascii="Times New Roman" w:hAnsi="Times New Roman" w:cs="Times New Roman"/>
          <w:i/>
          <w:iCs/>
          <w:noProof/>
          <w:sz w:val="24"/>
          <w:szCs w:val="24"/>
        </w:rPr>
        <w:t>Judgement and Decision Making</w:t>
      </w:r>
      <w:r>
        <w:rPr>
          <w:rFonts w:ascii="Times New Roman" w:hAnsi="Times New Roman" w:cs="Times New Roman"/>
          <w:noProof/>
          <w:sz w:val="24"/>
          <w:szCs w:val="24"/>
        </w:rPr>
        <w:t xml:space="preserve">, </w:t>
      </w:r>
      <w:r>
        <w:rPr>
          <w:rFonts w:ascii="Times New Roman" w:hAnsi="Times New Roman" w:cs="Times New Roman"/>
          <w:i/>
          <w:iCs/>
          <w:noProof/>
          <w:sz w:val="24"/>
          <w:szCs w:val="24"/>
        </w:rPr>
        <w:t>11</w:t>
      </w:r>
      <w:r>
        <w:rPr>
          <w:rFonts w:ascii="Times New Roman" w:hAnsi="Times New Roman" w:cs="Times New Roman"/>
          <w:noProof/>
          <w:sz w:val="24"/>
          <w:szCs w:val="24"/>
        </w:rPr>
        <w:t>(4), 310–325.</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Reisch, L. A., Sunstein, C. R., &amp; Gwozdz, W. (2016). Better Than A Whip? European Attitudes Toward Health Nudges. </w:t>
      </w:r>
      <w:r>
        <w:rPr>
          <w:rFonts w:ascii="Times New Roman" w:hAnsi="Times New Roman" w:cs="Times New Roman"/>
          <w:i/>
          <w:iCs/>
          <w:noProof/>
          <w:sz w:val="24"/>
          <w:szCs w:val="24"/>
        </w:rPr>
        <w:t>Food Policy</w:t>
      </w:r>
      <w:r>
        <w:rPr>
          <w:rFonts w:ascii="Times New Roman" w:hAnsi="Times New Roman" w:cs="Times New Roman"/>
          <w:noProof/>
          <w:sz w:val="24"/>
          <w:szCs w:val="24"/>
        </w:rPr>
        <w:t xml:space="preserve">, </w:t>
      </w:r>
      <w:r>
        <w:rPr>
          <w:rFonts w:ascii="Times New Roman" w:hAnsi="Times New Roman" w:cs="Times New Roman"/>
          <w:i/>
          <w:iCs/>
          <w:noProof/>
          <w:sz w:val="24"/>
          <w:szCs w:val="24"/>
        </w:rPr>
        <w:t>69</w:t>
      </w:r>
      <w:r>
        <w:rPr>
          <w:rFonts w:ascii="Times New Roman" w:hAnsi="Times New Roman" w:cs="Times New Roman"/>
          <w:noProof/>
          <w:sz w:val="24"/>
          <w:szCs w:val="24"/>
        </w:rPr>
        <w:t>, 1–10. http://doi.org/doi.org/10.1016/j.foodpol.2017.01.007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Russell, W. D., Dzewaltowski, D. A., &amp; Ryan, G. J. (1999). The Effectiveness of a Point-of-</w:t>
      </w:r>
      <w:r>
        <w:rPr>
          <w:rFonts w:ascii="Times New Roman" w:hAnsi="Times New Roman" w:cs="Times New Roman"/>
          <w:noProof/>
          <w:sz w:val="24"/>
          <w:szCs w:val="24"/>
        </w:rPr>
        <w:lastRenderedPageBreak/>
        <w:t xml:space="preserve">Decision Prompt in Deterring Sedentary Behavior. </w:t>
      </w:r>
      <w:r>
        <w:rPr>
          <w:rFonts w:ascii="Times New Roman" w:hAnsi="Times New Roman" w:cs="Times New Roman"/>
          <w:i/>
          <w:iCs/>
          <w:noProof/>
          <w:sz w:val="24"/>
          <w:szCs w:val="24"/>
        </w:rPr>
        <w:t>American Journal of Health Promotion</w:t>
      </w:r>
      <w:r>
        <w:rPr>
          <w:rFonts w:ascii="Times New Roman" w:hAnsi="Times New Roman" w:cs="Times New Roman"/>
          <w:noProof/>
          <w:sz w:val="24"/>
          <w:szCs w:val="24"/>
        </w:rPr>
        <w:t xml:space="preserve">, </w:t>
      </w:r>
      <w:r>
        <w:rPr>
          <w:rFonts w:ascii="Times New Roman" w:hAnsi="Times New Roman" w:cs="Times New Roman"/>
          <w:i/>
          <w:iCs/>
          <w:noProof/>
          <w:sz w:val="24"/>
          <w:szCs w:val="24"/>
        </w:rPr>
        <w:t>13</w:t>
      </w:r>
      <w:r>
        <w:rPr>
          <w:rFonts w:ascii="Times New Roman" w:hAnsi="Times New Roman" w:cs="Times New Roman"/>
          <w:noProof/>
          <w:sz w:val="24"/>
          <w:szCs w:val="24"/>
        </w:rPr>
        <w:t>(5), 257–259. http://doi.org/10.4278/0890-1171-13.5.257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Sacks, G., Rayner, M., &amp; Swinburn, B. (2009). Impact of front-of-pack “traffic-light” nutrition labelling on consumer food purchases in the UK. </w:t>
      </w:r>
      <w:r>
        <w:rPr>
          <w:rFonts w:ascii="Times New Roman" w:hAnsi="Times New Roman" w:cs="Times New Roman"/>
          <w:i/>
          <w:iCs/>
          <w:noProof/>
          <w:sz w:val="24"/>
          <w:szCs w:val="24"/>
        </w:rPr>
        <w:t>Health Promotion International</w:t>
      </w:r>
      <w:r>
        <w:rPr>
          <w:rFonts w:ascii="Times New Roman" w:hAnsi="Times New Roman" w:cs="Times New Roman"/>
          <w:noProof/>
          <w:sz w:val="24"/>
          <w:szCs w:val="24"/>
        </w:rPr>
        <w:t xml:space="preserve">, </w:t>
      </w:r>
      <w:r>
        <w:rPr>
          <w:rFonts w:ascii="Times New Roman" w:hAnsi="Times New Roman" w:cs="Times New Roman"/>
          <w:i/>
          <w:iCs/>
          <w:noProof/>
          <w:sz w:val="24"/>
          <w:szCs w:val="24"/>
        </w:rPr>
        <w:t>24</w:t>
      </w:r>
      <w:r>
        <w:rPr>
          <w:rFonts w:ascii="Times New Roman" w:hAnsi="Times New Roman" w:cs="Times New Roman"/>
          <w:noProof/>
          <w:sz w:val="24"/>
          <w:szCs w:val="24"/>
        </w:rPr>
        <w:t>(4), 344–52. http://doi.org/10.1093/heapro/dap032</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Saghai, Y. (2013). Salvaging the concept of nudge. </w:t>
      </w:r>
      <w:r>
        <w:rPr>
          <w:rFonts w:ascii="Times New Roman" w:hAnsi="Times New Roman" w:cs="Times New Roman"/>
          <w:i/>
          <w:iCs/>
          <w:noProof/>
          <w:sz w:val="24"/>
          <w:szCs w:val="24"/>
        </w:rPr>
        <w:t>Journal of Medical Ethics</w:t>
      </w:r>
      <w:r>
        <w:rPr>
          <w:rFonts w:ascii="Times New Roman" w:hAnsi="Times New Roman" w:cs="Times New Roman"/>
          <w:noProof/>
          <w:sz w:val="24"/>
          <w:szCs w:val="24"/>
        </w:rPr>
        <w:t xml:space="preserve">, </w:t>
      </w:r>
      <w:r>
        <w:rPr>
          <w:rFonts w:ascii="Times New Roman" w:hAnsi="Times New Roman" w:cs="Times New Roman"/>
          <w:i/>
          <w:iCs/>
          <w:noProof/>
          <w:sz w:val="24"/>
          <w:szCs w:val="24"/>
        </w:rPr>
        <w:t>39</w:t>
      </w:r>
      <w:r>
        <w:rPr>
          <w:rFonts w:ascii="Times New Roman" w:hAnsi="Times New Roman" w:cs="Times New Roman"/>
          <w:noProof/>
          <w:sz w:val="24"/>
          <w:szCs w:val="24"/>
        </w:rPr>
        <w:t>(8), 487–493. http://doi.org/10.1136/medethics-2012-100727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Schmiedek, F., Oberauer, K., Wilhelm, O., Süß, H. M., &amp; Wittmann, W. W. (2007). Individual differences in components of reaction time distributions and their relations to working memory and intelligence. </w:t>
      </w:r>
      <w:r>
        <w:rPr>
          <w:rFonts w:ascii="Times New Roman" w:hAnsi="Times New Roman" w:cs="Times New Roman"/>
          <w:i/>
          <w:iCs/>
          <w:noProof/>
          <w:sz w:val="24"/>
          <w:szCs w:val="24"/>
        </w:rPr>
        <w:t>Journal of Experimental Psychology: General</w:t>
      </w:r>
      <w:r>
        <w:rPr>
          <w:rFonts w:ascii="Times New Roman" w:hAnsi="Times New Roman" w:cs="Times New Roman"/>
          <w:noProof/>
          <w:sz w:val="24"/>
          <w:szCs w:val="24"/>
        </w:rPr>
        <w:t xml:space="preserve">, </w:t>
      </w:r>
      <w:r>
        <w:rPr>
          <w:rFonts w:ascii="Times New Roman" w:hAnsi="Times New Roman" w:cs="Times New Roman"/>
          <w:i/>
          <w:iCs/>
          <w:noProof/>
          <w:sz w:val="24"/>
          <w:szCs w:val="24"/>
        </w:rPr>
        <w:t>136</w:t>
      </w:r>
      <w:r>
        <w:rPr>
          <w:rFonts w:ascii="Times New Roman" w:hAnsi="Times New Roman" w:cs="Times New Roman"/>
          <w:noProof/>
          <w:sz w:val="24"/>
          <w:szCs w:val="24"/>
        </w:rPr>
        <w:t>(3), 414.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Schwarz, N. (1998). Warmer and More Social: Recent Developments in Cognitive Social Psychology. </w:t>
      </w:r>
      <w:r>
        <w:rPr>
          <w:rFonts w:ascii="Times New Roman" w:hAnsi="Times New Roman" w:cs="Times New Roman"/>
          <w:i/>
          <w:iCs/>
          <w:noProof/>
          <w:sz w:val="24"/>
          <w:szCs w:val="24"/>
        </w:rPr>
        <w:t>Annual Review of Sociology</w:t>
      </w:r>
      <w:r>
        <w:rPr>
          <w:rFonts w:ascii="Times New Roman" w:hAnsi="Times New Roman" w:cs="Times New Roman"/>
          <w:noProof/>
          <w:sz w:val="24"/>
          <w:szCs w:val="24"/>
        </w:rPr>
        <w:t xml:space="preserve">, </w:t>
      </w:r>
      <w:r>
        <w:rPr>
          <w:rFonts w:ascii="Times New Roman" w:hAnsi="Times New Roman" w:cs="Times New Roman"/>
          <w:i/>
          <w:iCs/>
          <w:noProof/>
          <w:sz w:val="24"/>
          <w:szCs w:val="24"/>
        </w:rPr>
        <w:t>24</w:t>
      </w:r>
      <w:r>
        <w:rPr>
          <w:rFonts w:ascii="Times New Roman" w:hAnsi="Times New Roman" w:cs="Times New Roman"/>
          <w:noProof/>
          <w:sz w:val="24"/>
          <w:szCs w:val="24"/>
        </w:rPr>
        <w:t>(1), 239–264. http://doi.org/10.1146/annurev.soc.24.1.239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Selinger, E., &amp; Whyte, K. P. (2012). Nudging cannot solve complex policy problems. </w:t>
      </w:r>
      <w:r>
        <w:rPr>
          <w:rFonts w:ascii="Times New Roman" w:hAnsi="Times New Roman" w:cs="Times New Roman"/>
          <w:i/>
          <w:iCs/>
          <w:noProof/>
          <w:sz w:val="24"/>
          <w:szCs w:val="24"/>
        </w:rPr>
        <w:t>Europrean Journal of Risk Regulation</w:t>
      </w:r>
      <w:r>
        <w:rPr>
          <w:rFonts w:ascii="Times New Roman" w:hAnsi="Times New Roman" w:cs="Times New Roman"/>
          <w:noProof/>
          <w:sz w:val="24"/>
          <w:szCs w:val="24"/>
        </w:rPr>
        <w:t xml:space="preserve">, </w:t>
      </w:r>
      <w:r>
        <w:rPr>
          <w:rFonts w:ascii="Times New Roman" w:hAnsi="Times New Roman" w:cs="Times New Roman"/>
          <w:i/>
          <w:iCs/>
          <w:noProof/>
          <w:sz w:val="24"/>
          <w:szCs w:val="24"/>
        </w:rPr>
        <w:t>3</w:t>
      </w:r>
      <w:r>
        <w:rPr>
          <w:rFonts w:ascii="Times New Roman" w:hAnsi="Times New Roman" w:cs="Times New Roman"/>
          <w:noProof/>
          <w:sz w:val="24"/>
          <w:szCs w:val="24"/>
        </w:rPr>
        <w:t>(1), 26–31.</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Simon, D., &amp; Holyoak, K. J. (2002). Structural dynamics of cognition: From consistency theories to constraint satisfaction. </w:t>
      </w:r>
      <w:r>
        <w:rPr>
          <w:rFonts w:ascii="Times New Roman" w:hAnsi="Times New Roman" w:cs="Times New Roman"/>
          <w:i/>
          <w:iCs/>
          <w:noProof/>
          <w:sz w:val="24"/>
          <w:szCs w:val="24"/>
        </w:rPr>
        <w:t>Personality and Social Psychology Review</w:t>
      </w:r>
      <w:r>
        <w:rPr>
          <w:rFonts w:ascii="Times New Roman" w:hAnsi="Times New Roman" w:cs="Times New Roman"/>
          <w:noProof/>
          <w:sz w:val="24"/>
          <w:szCs w:val="24"/>
        </w:rPr>
        <w:t xml:space="preserve">, </w:t>
      </w:r>
      <w:r>
        <w:rPr>
          <w:rFonts w:ascii="Times New Roman" w:hAnsi="Times New Roman" w:cs="Times New Roman"/>
          <w:i/>
          <w:iCs/>
          <w:noProof/>
          <w:sz w:val="24"/>
          <w:szCs w:val="24"/>
        </w:rPr>
        <w:t>6</w:t>
      </w:r>
      <w:r>
        <w:rPr>
          <w:rFonts w:ascii="Times New Roman" w:hAnsi="Times New Roman" w:cs="Times New Roman"/>
          <w:noProof/>
          <w:sz w:val="24"/>
          <w:szCs w:val="24"/>
        </w:rPr>
        <w:t>, 283–294.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Simon, D., Snow, C. J., &amp; Read, S. J. (2004). The redux of cognitive consistency theories: evidence judgments by constraint satisfaction. </w:t>
      </w:r>
      <w:r>
        <w:rPr>
          <w:rFonts w:ascii="Times New Roman" w:hAnsi="Times New Roman" w:cs="Times New Roman"/>
          <w:i/>
          <w:iCs/>
          <w:noProof/>
          <w:sz w:val="24"/>
          <w:szCs w:val="24"/>
        </w:rPr>
        <w:t>Journal of Personality and Social Psychology</w:t>
      </w:r>
      <w:r>
        <w:rPr>
          <w:rFonts w:ascii="Times New Roman" w:hAnsi="Times New Roman" w:cs="Times New Roman"/>
          <w:noProof/>
          <w:sz w:val="24"/>
          <w:szCs w:val="24"/>
        </w:rPr>
        <w:t xml:space="preserve">, </w:t>
      </w:r>
      <w:r>
        <w:rPr>
          <w:rFonts w:ascii="Times New Roman" w:hAnsi="Times New Roman" w:cs="Times New Roman"/>
          <w:i/>
          <w:iCs/>
          <w:noProof/>
          <w:sz w:val="24"/>
          <w:szCs w:val="24"/>
        </w:rPr>
        <w:t>86</w:t>
      </w:r>
      <w:r>
        <w:rPr>
          <w:rFonts w:ascii="Times New Roman" w:hAnsi="Times New Roman" w:cs="Times New Roman"/>
          <w:noProof/>
          <w:sz w:val="24"/>
          <w:szCs w:val="24"/>
        </w:rPr>
        <w:t>(6), 814–837.</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Sinclair, S. E., Cooper, M., &amp; Mansfield, E. D. (2014). The Influence of Menu Labeling on </w:t>
      </w:r>
      <w:r>
        <w:rPr>
          <w:rFonts w:ascii="Times New Roman" w:hAnsi="Times New Roman" w:cs="Times New Roman"/>
          <w:noProof/>
          <w:sz w:val="24"/>
          <w:szCs w:val="24"/>
        </w:rPr>
        <w:lastRenderedPageBreak/>
        <w:t xml:space="preserve">Calories Selected or Consumed: A Systematic Review and Meta-Analysis. </w:t>
      </w:r>
      <w:r>
        <w:rPr>
          <w:rFonts w:ascii="Times New Roman" w:hAnsi="Times New Roman" w:cs="Times New Roman"/>
          <w:i/>
          <w:iCs/>
          <w:noProof/>
          <w:sz w:val="24"/>
          <w:szCs w:val="24"/>
        </w:rPr>
        <w:t>Journal of the Academy of Nutrition and Dietetics</w:t>
      </w:r>
      <w:r>
        <w:rPr>
          <w:rFonts w:ascii="Times New Roman" w:hAnsi="Times New Roman" w:cs="Times New Roman"/>
          <w:noProof/>
          <w:sz w:val="24"/>
          <w:szCs w:val="24"/>
        </w:rPr>
        <w:t xml:space="preserve">, </w:t>
      </w:r>
      <w:r>
        <w:rPr>
          <w:rFonts w:ascii="Times New Roman" w:hAnsi="Times New Roman" w:cs="Times New Roman"/>
          <w:i/>
          <w:iCs/>
          <w:noProof/>
          <w:sz w:val="24"/>
          <w:szCs w:val="24"/>
        </w:rPr>
        <w:t>114</w:t>
      </w:r>
      <w:r>
        <w:rPr>
          <w:rFonts w:ascii="Times New Roman" w:hAnsi="Times New Roman" w:cs="Times New Roman"/>
          <w:noProof/>
          <w:sz w:val="24"/>
          <w:szCs w:val="24"/>
        </w:rPr>
        <w:t>(9), 1375–1388. http://doi.org/10.1016/j.jand.2014.05.014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Sloman, S. A. (1996). The empirical case for two systems of reasoning. </w:t>
      </w:r>
      <w:r>
        <w:rPr>
          <w:rFonts w:ascii="Times New Roman" w:hAnsi="Times New Roman" w:cs="Times New Roman"/>
          <w:i/>
          <w:iCs/>
          <w:noProof/>
          <w:sz w:val="24"/>
          <w:szCs w:val="24"/>
        </w:rPr>
        <w:t>Psychological Bulletin</w:t>
      </w:r>
      <w:r>
        <w:rPr>
          <w:rFonts w:ascii="Times New Roman" w:hAnsi="Times New Roman" w:cs="Times New Roman"/>
          <w:noProof/>
          <w:sz w:val="24"/>
          <w:szCs w:val="24"/>
        </w:rPr>
        <w:t xml:space="preserve">, </w:t>
      </w:r>
      <w:r>
        <w:rPr>
          <w:rFonts w:ascii="Times New Roman" w:hAnsi="Times New Roman" w:cs="Times New Roman"/>
          <w:i/>
          <w:iCs/>
          <w:noProof/>
          <w:sz w:val="24"/>
          <w:szCs w:val="24"/>
        </w:rPr>
        <w:t>119</w:t>
      </w:r>
      <w:r>
        <w:rPr>
          <w:rFonts w:ascii="Times New Roman" w:hAnsi="Times New Roman" w:cs="Times New Roman"/>
          <w:noProof/>
          <w:sz w:val="24"/>
          <w:szCs w:val="24"/>
        </w:rPr>
        <w:t>, 3–22. http://doi.org/10.1037/0033-2909.119.1.3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Soler, R. E., Leeks, K. D., Buchanan, L. R., Brownson, R. C., Heath, G. W., Hopkins, D. H., &amp; the Task Force on Community Preventive Services. (2010). Point-of-Decision Prompts to Increase Stair Use A Systematic Review Update. </w:t>
      </w:r>
      <w:r>
        <w:rPr>
          <w:rFonts w:ascii="Times New Roman" w:hAnsi="Times New Roman" w:cs="Times New Roman"/>
          <w:i/>
          <w:iCs/>
          <w:noProof/>
          <w:sz w:val="24"/>
          <w:szCs w:val="24"/>
        </w:rPr>
        <w:t>American Journal of Preventive Medicine</w:t>
      </w:r>
      <w:r>
        <w:rPr>
          <w:rFonts w:ascii="Times New Roman" w:hAnsi="Times New Roman" w:cs="Times New Roman"/>
          <w:noProof/>
          <w:sz w:val="24"/>
          <w:szCs w:val="24"/>
        </w:rPr>
        <w:t xml:space="preserve">, </w:t>
      </w:r>
      <w:r>
        <w:rPr>
          <w:rFonts w:ascii="Times New Roman" w:hAnsi="Times New Roman" w:cs="Times New Roman"/>
          <w:i/>
          <w:iCs/>
          <w:noProof/>
          <w:sz w:val="24"/>
          <w:szCs w:val="24"/>
        </w:rPr>
        <w:t>38</w:t>
      </w:r>
      <w:r>
        <w:rPr>
          <w:rFonts w:ascii="Times New Roman" w:hAnsi="Times New Roman" w:cs="Times New Roman"/>
          <w:noProof/>
          <w:sz w:val="24"/>
          <w:szCs w:val="24"/>
        </w:rPr>
        <w:t>(2 Suppl), S292–S300. http://doi.org/10.1016/j.amepre.2009.10.028</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Sonnenberg, L., Gelsomin, E., Levy, D. E., Riis, J., Barraclough, S., &amp; Thorndike, A. N. (2013). A traffic light food labeling intervention increases consumer awareness of health and healthy choices at the point-of-purchase. </w:t>
      </w:r>
      <w:r>
        <w:rPr>
          <w:rFonts w:ascii="Times New Roman" w:hAnsi="Times New Roman" w:cs="Times New Roman"/>
          <w:i/>
          <w:iCs/>
          <w:noProof/>
          <w:sz w:val="24"/>
          <w:szCs w:val="24"/>
        </w:rPr>
        <w:t>Preventive Medicine</w:t>
      </w:r>
      <w:r>
        <w:rPr>
          <w:rFonts w:ascii="Times New Roman" w:hAnsi="Times New Roman" w:cs="Times New Roman"/>
          <w:noProof/>
          <w:sz w:val="24"/>
          <w:szCs w:val="24"/>
        </w:rPr>
        <w:t xml:space="preserve">, </w:t>
      </w:r>
      <w:r>
        <w:rPr>
          <w:rFonts w:ascii="Times New Roman" w:hAnsi="Times New Roman" w:cs="Times New Roman"/>
          <w:i/>
          <w:iCs/>
          <w:noProof/>
          <w:sz w:val="24"/>
          <w:szCs w:val="24"/>
        </w:rPr>
        <w:t>57</w:t>
      </w:r>
      <w:r>
        <w:rPr>
          <w:rFonts w:ascii="Times New Roman" w:hAnsi="Times New Roman" w:cs="Times New Roman"/>
          <w:noProof/>
          <w:sz w:val="24"/>
          <w:szCs w:val="24"/>
        </w:rPr>
        <w:t>(4), 253–57. http://doi.org/10.1016/j.ypmed.2013.07.001</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Stanovich, K. E. (1999). </w:t>
      </w:r>
      <w:r>
        <w:rPr>
          <w:rFonts w:ascii="Times New Roman" w:hAnsi="Times New Roman" w:cs="Times New Roman"/>
          <w:i/>
          <w:iCs/>
          <w:noProof/>
          <w:sz w:val="24"/>
          <w:szCs w:val="24"/>
        </w:rPr>
        <w:t>Who is rational?: Studies of individual differences in reasoning</w:t>
      </w:r>
      <w:r>
        <w:rPr>
          <w:rFonts w:ascii="Times New Roman" w:hAnsi="Times New Roman" w:cs="Times New Roman"/>
          <w:noProof/>
          <w:sz w:val="24"/>
          <w:szCs w:val="24"/>
        </w:rPr>
        <w:t>. Mahwah, NJ: Lawrence Erlbaum Associates.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Stanovich, K. E., &amp; West, R. F. (2000). Advancing the rationality debate. </w:t>
      </w:r>
      <w:r>
        <w:rPr>
          <w:rFonts w:ascii="Times New Roman" w:hAnsi="Times New Roman" w:cs="Times New Roman"/>
          <w:i/>
          <w:iCs/>
          <w:noProof/>
          <w:sz w:val="24"/>
          <w:szCs w:val="24"/>
        </w:rPr>
        <w:t>Behavioral and Brain Sciences</w:t>
      </w:r>
      <w:r>
        <w:rPr>
          <w:rFonts w:ascii="Times New Roman" w:hAnsi="Times New Roman" w:cs="Times New Roman"/>
          <w:noProof/>
          <w:sz w:val="24"/>
          <w:szCs w:val="24"/>
        </w:rPr>
        <w:t xml:space="preserve">, </w:t>
      </w:r>
      <w:r>
        <w:rPr>
          <w:rFonts w:ascii="Times New Roman" w:hAnsi="Times New Roman" w:cs="Times New Roman"/>
          <w:i/>
          <w:iCs/>
          <w:noProof/>
          <w:sz w:val="24"/>
          <w:szCs w:val="24"/>
        </w:rPr>
        <w:t>23</w:t>
      </w:r>
      <w:r>
        <w:rPr>
          <w:rFonts w:ascii="Times New Roman" w:hAnsi="Times New Roman" w:cs="Times New Roman"/>
          <w:noProof/>
          <w:sz w:val="24"/>
          <w:szCs w:val="24"/>
        </w:rPr>
        <w:t>(5), 701–717. http://doi.org/10.1017/S0140525X00623439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Sun, R., Slusarz, P., &amp; Terry, C. (2005). The interaction of the explicit and the implicit in skill learning: a dual-process approach. </w:t>
      </w:r>
      <w:r>
        <w:rPr>
          <w:rFonts w:ascii="Times New Roman" w:hAnsi="Times New Roman" w:cs="Times New Roman"/>
          <w:i/>
          <w:iCs/>
          <w:noProof/>
          <w:sz w:val="24"/>
          <w:szCs w:val="24"/>
        </w:rPr>
        <w:t>Psychological Review</w:t>
      </w:r>
      <w:r>
        <w:rPr>
          <w:rFonts w:ascii="Times New Roman" w:hAnsi="Times New Roman" w:cs="Times New Roman"/>
          <w:noProof/>
          <w:sz w:val="24"/>
          <w:szCs w:val="24"/>
        </w:rPr>
        <w:t xml:space="preserve">, </w:t>
      </w:r>
      <w:r>
        <w:rPr>
          <w:rFonts w:ascii="Times New Roman" w:hAnsi="Times New Roman" w:cs="Times New Roman"/>
          <w:i/>
          <w:iCs/>
          <w:noProof/>
          <w:sz w:val="24"/>
          <w:szCs w:val="24"/>
        </w:rPr>
        <w:t>112</w:t>
      </w:r>
      <w:r>
        <w:rPr>
          <w:rFonts w:ascii="Times New Roman" w:hAnsi="Times New Roman" w:cs="Times New Roman"/>
          <w:noProof/>
          <w:sz w:val="24"/>
          <w:szCs w:val="24"/>
        </w:rPr>
        <w:t>(1), 159.</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Sunstein, C. R. (2014). </w:t>
      </w:r>
      <w:r>
        <w:rPr>
          <w:rFonts w:ascii="Times New Roman" w:hAnsi="Times New Roman" w:cs="Times New Roman"/>
          <w:i/>
          <w:iCs/>
          <w:noProof/>
          <w:sz w:val="24"/>
          <w:szCs w:val="24"/>
        </w:rPr>
        <w:t>Why Nudge? The Politics of Libertarian Paternalism</w:t>
      </w:r>
      <w:r>
        <w:rPr>
          <w:rFonts w:ascii="Times New Roman" w:hAnsi="Times New Roman" w:cs="Times New Roman"/>
          <w:noProof/>
          <w:sz w:val="24"/>
          <w:szCs w:val="24"/>
        </w:rPr>
        <w:t>. New Haven: Yale University Press.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Sunstein, C. R. (2015). Nudges, Agency, and Abstraction: A Reply to Critics. </w:t>
      </w:r>
      <w:r>
        <w:rPr>
          <w:rFonts w:ascii="Times New Roman" w:hAnsi="Times New Roman" w:cs="Times New Roman"/>
          <w:i/>
          <w:iCs/>
          <w:noProof/>
          <w:sz w:val="24"/>
          <w:szCs w:val="24"/>
        </w:rPr>
        <w:t xml:space="preserve">Review of </w:t>
      </w:r>
      <w:r>
        <w:rPr>
          <w:rFonts w:ascii="Times New Roman" w:hAnsi="Times New Roman" w:cs="Times New Roman"/>
          <w:i/>
          <w:iCs/>
          <w:noProof/>
          <w:sz w:val="24"/>
          <w:szCs w:val="24"/>
        </w:rPr>
        <w:lastRenderedPageBreak/>
        <w:t>Philosophy and Psychology</w:t>
      </w:r>
      <w:r>
        <w:rPr>
          <w:rFonts w:ascii="Times New Roman" w:hAnsi="Times New Roman" w:cs="Times New Roman"/>
          <w:noProof/>
          <w:sz w:val="24"/>
          <w:szCs w:val="24"/>
        </w:rPr>
        <w:t xml:space="preserve">, </w:t>
      </w:r>
      <w:r>
        <w:rPr>
          <w:rFonts w:ascii="Times New Roman" w:hAnsi="Times New Roman" w:cs="Times New Roman"/>
          <w:i/>
          <w:iCs/>
          <w:noProof/>
          <w:sz w:val="24"/>
          <w:szCs w:val="24"/>
        </w:rPr>
        <w:t>6</w:t>
      </w:r>
      <w:r>
        <w:rPr>
          <w:rFonts w:ascii="Times New Roman" w:hAnsi="Times New Roman" w:cs="Times New Roman"/>
          <w:noProof/>
          <w:sz w:val="24"/>
          <w:szCs w:val="24"/>
        </w:rPr>
        <w:t>(3), 511–529. http://doi.org/10.1007/s13164-015-0266-z</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Sunstein, C. R. (2016a). Do People Like Nudges? </w:t>
      </w:r>
      <w:r>
        <w:rPr>
          <w:rFonts w:ascii="Times New Roman" w:hAnsi="Times New Roman" w:cs="Times New Roman"/>
          <w:i/>
          <w:iCs/>
          <w:noProof/>
          <w:sz w:val="24"/>
          <w:szCs w:val="24"/>
        </w:rPr>
        <w:t>Administrative Law Review, Forthcoming</w:t>
      </w:r>
      <w:r>
        <w:rPr>
          <w:rFonts w:ascii="Times New Roman" w:hAnsi="Times New Roman" w:cs="Times New Roman"/>
          <w:noProof/>
          <w:sz w:val="24"/>
          <w:szCs w:val="24"/>
        </w:rPr>
        <w:t>. http://doi.org/10.2139/ssrn.2604084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Sunstein, C. R. (2016b). People prefer system 2 nudges (kind of). </w:t>
      </w:r>
      <w:r>
        <w:rPr>
          <w:rFonts w:ascii="Times New Roman" w:hAnsi="Times New Roman" w:cs="Times New Roman"/>
          <w:i/>
          <w:iCs/>
          <w:noProof/>
          <w:sz w:val="24"/>
          <w:szCs w:val="24"/>
        </w:rPr>
        <w:t>Duke Law Journal</w:t>
      </w:r>
      <w:r>
        <w:rPr>
          <w:rFonts w:ascii="Times New Roman" w:hAnsi="Times New Roman" w:cs="Times New Roman"/>
          <w:noProof/>
          <w:sz w:val="24"/>
          <w:szCs w:val="24"/>
        </w:rPr>
        <w:t xml:space="preserve">, </w:t>
      </w:r>
      <w:r>
        <w:rPr>
          <w:rFonts w:ascii="Times New Roman" w:hAnsi="Times New Roman" w:cs="Times New Roman"/>
          <w:i/>
          <w:iCs/>
          <w:noProof/>
          <w:sz w:val="24"/>
          <w:szCs w:val="24"/>
        </w:rPr>
        <w:t>66</w:t>
      </w:r>
      <w:r>
        <w:rPr>
          <w:rFonts w:ascii="Times New Roman" w:hAnsi="Times New Roman" w:cs="Times New Roman"/>
          <w:noProof/>
          <w:sz w:val="24"/>
          <w:szCs w:val="24"/>
        </w:rPr>
        <w:t>, 121–168.</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Sunstein, C. R. (2016c). </w:t>
      </w:r>
      <w:r>
        <w:rPr>
          <w:rFonts w:ascii="Times New Roman" w:hAnsi="Times New Roman" w:cs="Times New Roman"/>
          <w:i/>
          <w:iCs/>
          <w:noProof/>
          <w:sz w:val="24"/>
          <w:szCs w:val="24"/>
        </w:rPr>
        <w:t>The Ethics of Influence: Government in the Age of Behavioral Science</w:t>
      </w:r>
      <w:r>
        <w:rPr>
          <w:rFonts w:ascii="Times New Roman" w:hAnsi="Times New Roman" w:cs="Times New Roman"/>
          <w:noProof/>
          <w:sz w:val="24"/>
          <w:szCs w:val="24"/>
        </w:rPr>
        <w:t xml:space="preserve"> (ed.). Cambridge University Press.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Sunstein, C. R., Reisch, L. A., &amp; Rauber, J. (2017). </w:t>
      </w:r>
      <w:r>
        <w:rPr>
          <w:rFonts w:ascii="Times New Roman" w:hAnsi="Times New Roman" w:cs="Times New Roman"/>
          <w:i/>
          <w:iCs/>
          <w:noProof/>
          <w:sz w:val="24"/>
          <w:szCs w:val="24"/>
        </w:rPr>
        <w:t>A World-Wide Consensus on Nudging? Not Quite, But Almost</w:t>
      </w:r>
      <w:r>
        <w:rPr>
          <w:rFonts w:ascii="Times New Roman" w:hAnsi="Times New Roman" w:cs="Times New Roman"/>
          <w:noProof/>
          <w:sz w:val="24"/>
          <w:szCs w:val="24"/>
        </w:rPr>
        <w:t xml:space="preserve">. </w:t>
      </w:r>
      <w:r>
        <w:rPr>
          <w:rFonts w:ascii="Times New Roman" w:hAnsi="Times New Roman" w:cs="Times New Roman"/>
          <w:i/>
          <w:iCs/>
          <w:noProof/>
          <w:sz w:val="24"/>
          <w:szCs w:val="24"/>
        </w:rPr>
        <w:t>Regulation and Governance</w:t>
      </w:r>
      <w:r>
        <w:rPr>
          <w:rFonts w:ascii="Times New Roman" w:hAnsi="Times New Roman" w:cs="Times New Roman"/>
          <w:noProof/>
          <w:sz w:val="24"/>
          <w:szCs w:val="24"/>
        </w:rPr>
        <w:t>. http://doi.org/10.2139/ssrn.2955693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Thaler, R. H., &amp; Sunstein, C. R. (2008). </w:t>
      </w:r>
      <w:r>
        <w:rPr>
          <w:rFonts w:ascii="Times New Roman" w:hAnsi="Times New Roman" w:cs="Times New Roman"/>
          <w:i/>
          <w:iCs/>
          <w:noProof/>
          <w:sz w:val="24"/>
          <w:szCs w:val="24"/>
        </w:rPr>
        <w:t>Nudge: Improving Decisions about Health, Wealth, and Happiness</w:t>
      </w:r>
      <w:r>
        <w:rPr>
          <w:rFonts w:ascii="Times New Roman" w:hAnsi="Times New Roman" w:cs="Times New Roman"/>
          <w:noProof/>
          <w:sz w:val="24"/>
          <w:szCs w:val="24"/>
        </w:rPr>
        <w:t>. New Haven: Yale University Press.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Thombs, D. L., Dotterer, S., Olds, R. S., Sharp, K. E., &amp; Raub, C. G. (2004). A close look at why one social norms campaign did not reduce student drinking. </w:t>
      </w:r>
      <w:r>
        <w:rPr>
          <w:rFonts w:ascii="Times New Roman" w:hAnsi="Times New Roman" w:cs="Times New Roman"/>
          <w:i/>
          <w:iCs/>
          <w:noProof/>
          <w:sz w:val="24"/>
          <w:szCs w:val="24"/>
        </w:rPr>
        <w:t>Journal of American College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53</w:t>
      </w:r>
      <w:r>
        <w:rPr>
          <w:rFonts w:ascii="Times New Roman" w:hAnsi="Times New Roman" w:cs="Times New Roman"/>
          <w:noProof/>
          <w:sz w:val="24"/>
          <w:szCs w:val="24"/>
        </w:rPr>
        <w:t>(2), 61–68. http://doi.org/10.3200/JACH.53.2.61-70</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Thompson, V. A. (2009). Dual process theories: A metacognitive perspective. In J. S. B. T. Evans &amp; K. Frankish (Eds.), </w:t>
      </w:r>
      <w:r>
        <w:rPr>
          <w:rFonts w:ascii="Times New Roman" w:hAnsi="Times New Roman" w:cs="Times New Roman"/>
          <w:i/>
          <w:iCs/>
          <w:noProof/>
          <w:sz w:val="24"/>
          <w:szCs w:val="24"/>
        </w:rPr>
        <w:t>In two minds: Dual processes and beyond</w:t>
      </w:r>
      <w:r>
        <w:rPr>
          <w:rFonts w:ascii="Times New Roman" w:hAnsi="Times New Roman" w:cs="Times New Roman"/>
          <w:noProof/>
          <w:sz w:val="24"/>
          <w:szCs w:val="24"/>
        </w:rPr>
        <w:t xml:space="preserve"> (pp. 171–196). Oxford, England: Oxford University Press.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Wakefield, M., Coomber, K., Zacher, M., Durkin, S., Brennan, E., &amp; Scollo, M. (2015). Australian adult smokers’ responses to plain packaging with larger graphic health warnings 1 year after implementation: results from a national cross-sectional tracking survey. </w:t>
      </w:r>
      <w:r>
        <w:rPr>
          <w:rFonts w:ascii="Times New Roman" w:hAnsi="Times New Roman" w:cs="Times New Roman"/>
          <w:i/>
          <w:iCs/>
          <w:noProof/>
          <w:sz w:val="24"/>
          <w:szCs w:val="24"/>
        </w:rPr>
        <w:t>Tobacco Control</w:t>
      </w:r>
      <w:r>
        <w:rPr>
          <w:rFonts w:ascii="Times New Roman" w:hAnsi="Times New Roman" w:cs="Times New Roman"/>
          <w:noProof/>
          <w:sz w:val="24"/>
          <w:szCs w:val="24"/>
        </w:rPr>
        <w:t xml:space="preserve">, </w:t>
      </w:r>
      <w:r>
        <w:rPr>
          <w:rFonts w:ascii="Times New Roman" w:hAnsi="Times New Roman" w:cs="Times New Roman"/>
          <w:i/>
          <w:iCs/>
          <w:noProof/>
          <w:sz w:val="24"/>
          <w:szCs w:val="24"/>
        </w:rPr>
        <w:t>24</w:t>
      </w:r>
      <w:r>
        <w:rPr>
          <w:rFonts w:ascii="Times New Roman" w:hAnsi="Times New Roman" w:cs="Times New Roman"/>
          <w:noProof/>
          <w:sz w:val="24"/>
          <w:szCs w:val="24"/>
        </w:rPr>
        <w:t>(Suppl 2), ii17-ii25. http://doi.org/10.1136/tobaccocontrol-2014-052050</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Wansink, B. (2004). Environmental factors that increase the food intake and consumption </w:t>
      </w:r>
      <w:r>
        <w:rPr>
          <w:rFonts w:ascii="Times New Roman" w:hAnsi="Times New Roman" w:cs="Times New Roman"/>
          <w:noProof/>
          <w:sz w:val="24"/>
          <w:szCs w:val="24"/>
        </w:rPr>
        <w:lastRenderedPageBreak/>
        <w:t xml:space="preserve">volume of unknowing consumers. </w:t>
      </w:r>
      <w:r>
        <w:rPr>
          <w:rFonts w:ascii="Times New Roman" w:hAnsi="Times New Roman" w:cs="Times New Roman"/>
          <w:i/>
          <w:iCs/>
          <w:noProof/>
          <w:sz w:val="24"/>
          <w:szCs w:val="24"/>
        </w:rPr>
        <w:t>Annual Review of Nutrition</w:t>
      </w:r>
      <w:r>
        <w:rPr>
          <w:rFonts w:ascii="Times New Roman" w:hAnsi="Times New Roman" w:cs="Times New Roman"/>
          <w:noProof/>
          <w:sz w:val="24"/>
          <w:szCs w:val="24"/>
        </w:rPr>
        <w:t xml:space="preserve">, </w:t>
      </w:r>
      <w:r>
        <w:rPr>
          <w:rFonts w:ascii="Times New Roman" w:hAnsi="Times New Roman" w:cs="Times New Roman"/>
          <w:i/>
          <w:iCs/>
          <w:noProof/>
          <w:sz w:val="24"/>
          <w:szCs w:val="24"/>
        </w:rPr>
        <w:t>24</w:t>
      </w:r>
      <w:r>
        <w:rPr>
          <w:rFonts w:ascii="Times New Roman" w:hAnsi="Times New Roman" w:cs="Times New Roman"/>
          <w:noProof/>
          <w:sz w:val="24"/>
          <w:szCs w:val="24"/>
        </w:rPr>
        <w:t>, 455–79. http://doi.org/10.1146/annurev.nutr.24.012003.132140</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Wansink, B., &amp; van Ittersum, K. (2005). Shape of glass and amount of alcohol poured: comparative study of effect of practice and concentration. </w:t>
      </w:r>
      <w:r>
        <w:rPr>
          <w:rFonts w:ascii="Times New Roman" w:hAnsi="Times New Roman" w:cs="Times New Roman"/>
          <w:i/>
          <w:iCs/>
          <w:noProof/>
          <w:sz w:val="24"/>
          <w:szCs w:val="24"/>
        </w:rPr>
        <w:t>BMJ</w:t>
      </w:r>
      <w:r>
        <w:rPr>
          <w:rFonts w:ascii="Times New Roman" w:hAnsi="Times New Roman" w:cs="Times New Roman"/>
          <w:noProof/>
          <w:sz w:val="24"/>
          <w:szCs w:val="24"/>
        </w:rPr>
        <w:t xml:space="preserve">, </w:t>
      </w:r>
      <w:r>
        <w:rPr>
          <w:rFonts w:ascii="Times New Roman" w:hAnsi="Times New Roman" w:cs="Times New Roman"/>
          <w:i/>
          <w:iCs/>
          <w:noProof/>
          <w:sz w:val="24"/>
          <w:szCs w:val="24"/>
        </w:rPr>
        <w:t>331</w:t>
      </w:r>
      <w:r>
        <w:rPr>
          <w:rFonts w:ascii="Times New Roman" w:hAnsi="Times New Roman" w:cs="Times New Roman"/>
          <w:noProof/>
          <w:sz w:val="24"/>
          <w:szCs w:val="24"/>
        </w:rPr>
        <w:t>. http://doi.org/10.1136/bmj.331.7531.1512</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Wansink, B., &amp; van Ittersum, K. (2013). Portion size me: Plate-size induced consumption norms and win-win solutions for reducing food intake and waste. </w:t>
      </w:r>
      <w:r>
        <w:rPr>
          <w:rFonts w:ascii="Times New Roman" w:hAnsi="Times New Roman" w:cs="Times New Roman"/>
          <w:i/>
          <w:iCs/>
          <w:noProof/>
          <w:sz w:val="24"/>
          <w:szCs w:val="24"/>
        </w:rPr>
        <w:t>Journal of Experimental Psychology: Applied</w:t>
      </w:r>
      <w:r>
        <w:rPr>
          <w:rFonts w:ascii="Times New Roman" w:hAnsi="Times New Roman" w:cs="Times New Roman"/>
          <w:noProof/>
          <w:sz w:val="24"/>
          <w:szCs w:val="24"/>
        </w:rPr>
        <w:t xml:space="preserve">, </w:t>
      </w:r>
      <w:r>
        <w:rPr>
          <w:rFonts w:ascii="Times New Roman" w:hAnsi="Times New Roman" w:cs="Times New Roman"/>
          <w:i/>
          <w:iCs/>
          <w:noProof/>
          <w:sz w:val="24"/>
          <w:szCs w:val="24"/>
        </w:rPr>
        <w:t>19</w:t>
      </w:r>
      <w:r>
        <w:rPr>
          <w:rFonts w:ascii="Times New Roman" w:hAnsi="Times New Roman" w:cs="Times New Roman"/>
          <w:noProof/>
          <w:sz w:val="24"/>
          <w:szCs w:val="24"/>
        </w:rPr>
        <w:t>(4), 320–332. http://doi.org/10.1037/a0035053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Webb, K. L., Solomon, L. S., Sanders, J., Akiyama, C., &amp; Crawford, P. B. (2011). Menu labeling responsive to consumer concerns and shows promise for changing patron purchases. </w:t>
      </w:r>
      <w:r>
        <w:rPr>
          <w:rFonts w:ascii="Times New Roman" w:hAnsi="Times New Roman" w:cs="Times New Roman"/>
          <w:i/>
          <w:iCs/>
          <w:noProof/>
          <w:sz w:val="24"/>
          <w:szCs w:val="24"/>
        </w:rPr>
        <w:t>Journal of Hunger &amp; Environmental Nutrition</w:t>
      </w:r>
      <w:r>
        <w:rPr>
          <w:rFonts w:ascii="Times New Roman" w:hAnsi="Times New Roman" w:cs="Times New Roman"/>
          <w:noProof/>
          <w:sz w:val="24"/>
          <w:szCs w:val="24"/>
        </w:rPr>
        <w:t xml:space="preserve">, </w:t>
      </w:r>
      <w:r>
        <w:rPr>
          <w:rFonts w:ascii="Times New Roman" w:hAnsi="Times New Roman" w:cs="Times New Roman"/>
          <w:i/>
          <w:iCs/>
          <w:noProof/>
          <w:sz w:val="24"/>
          <w:szCs w:val="24"/>
        </w:rPr>
        <w:t>6</w:t>
      </w:r>
      <w:r>
        <w:rPr>
          <w:rFonts w:ascii="Times New Roman" w:hAnsi="Times New Roman" w:cs="Times New Roman"/>
          <w:noProof/>
          <w:sz w:val="24"/>
          <w:szCs w:val="24"/>
        </w:rPr>
        <w:t>(2), 166–178. http://doi.org/10.1080/19320248.2011.576210</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Webb, O. J., &amp; Eves, F. F. (2007). Promoting Stair Climbing: Intervention Effects Generalize to a Subsequent Stair Ascent. </w:t>
      </w:r>
      <w:r>
        <w:rPr>
          <w:rFonts w:ascii="Times New Roman" w:hAnsi="Times New Roman" w:cs="Times New Roman"/>
          <w:i/>
          <w:iCs/>
          <w:noProof/>
          <w:sz w:val="24"/>
          <w:szCs w:val="24"/>
        </w:rPr>
        <w:t>American Journal of Health Promotion</w:t>
      </w:r>
      <w:r>
        <w:rPr>
          <w:rFonts w:ascii="Times New Roman" w:hAnsi="Times New Roman" w:cs="Times New Roman"/>
          <w:noProof/>
          <w:sz w:val="24"/>
          <w:szCs w:val="24"/>
        </w:rPr>
        <w:t xml:space="preserve">, </w:t>
      </w:r>
      <w:r>
        <w:rPr>
          <w:rFonts w:ascii="Times New Roman" w:hAnsi="Times New Roman" w:cs="Times New Roman"/>
          <w:i/>
          <w:iCs/>
          <w:noProof/>
          <w:sz w:val="24"/>
          <w:szCs w:val="24"/>
        </w:rPr>
        <w:t>22</w:t>
      </w:r>
      <w:r>
        <w:rPr>
          <w:rFonts w:ascii="Times New Roman" w:hAnsi="Times New Roman" w:cs="Times New Roman"/>
          <w:noProof/>
          <w:sz w:val="24"/>
          <w:szCs w:val="24"/>
        </w:rPr>
        <w:t>(2), 114–119. http://doi.org/10.4278/0890-1171-22.2.114</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Weber, E. U. (2017). Breaking cognitive barriers to a sustainable future. </w:t>
      </w:r>
      <w:r>
        <w:rPr>
          <w:rFonts w:ascii="Times New Roman" w:hAnsi="Times New Roman" w:cs="Times New Roman"/>
          <w:i/>
          <w:iCs/>
          <w:noProof/>
          <w:sz w:val="24"/>
          <w:szCs w:val="24"/>
        </w:rPr>
        <w:t>Nature Human Behaviour</w:t>
      </w:r>
      <w:r>
        <w:rPr>
          <w:rFonts w:ascii="Times New Roman" w:hAnsi="Times New Roman" w:cs="Times New Roman"/>
          <w:noProof/>
          <w:sz w:val="24"/>
          <w:szCs w:val="24"/>
        </w:rPr>
        <w:t xml:space="preserve">, </w:t>
      </w:r>
      <w:r>
        <w:rPr>
          <w:rFonts w:ascii="Times New Roman" w:hAnsi="Times New Roman" w:cs="Times New Roman"/>
          <w:i/>
          <w:iCs/>
          <w:noProof/>
          <w:sz w:val="24"/>
          <w:szCs w:val="24"/>
        </w:rPr>
        <w:t>1</w:t>
      </w:r>
      <w:r>
        <w:rPr>
          <w:rFonts w:ascii="Times New Roman" w:hAnsi="Times New Roman" w:cs="Times New Roman"/>
          <w:noProof/>
          <w:sz w:val="24"/>
          <w:szCs w:val="24"/>
        </w:rPr>
        <w:t>, 13. http://doi.org/10.1038/s41562-016-0013</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WHO. (2015). Health Warnings. Retrieved March 3, 2017, from http://www.euro.who.int/en/health-topics/disease-prevention/tobacco/policy/who-framework-convention-on-tobacco-control-who-fctc/key-areas-of-tobacco-control-policy/health-warnings</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WHO. (2016). WHO | Tobacco. Retrieved March 15, 2017, from http://www.who.int/mediacentre/factsheets/fs339/en/</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lastRenderedPageBreak/>
        <w:t>WHO. (2017a). NCDs | Noncommunicable diseases and their risk factors. Retrieved March 2, 2017, from http://www.who.int/ncds/introduction/en/</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WHO. (2017b). </w:t>
      </w:r>
      <w:r>
        <w:rPr>
          <w:rFonts w:ascii="Times New Roman" w:hAnsi="Times New Roman" w:cs="Times New Roman"/>
          <w:i/>
          <w:iCs/>
          <w:noProof/>
          <w:sz w:val="24"/>
          <w:szCs w:val="24"/>
        </w:rPr>
        <w:t>Plain packaging of tobacco products: evidence, design and implementation</w:t>
      </w:r>
      <w:r>
        <w:rPr>
          <w:rFonts w:ascii="Times New Roman" w:hAnsi="Times New Roman" w:cs="Times New Roman"/>
          <w:noProof/>
          <w:sz w:val="24"/>
          <w:szCs w:val="24"/>
        </w:rPr>
        <w:t>. Retrieved from http://apps.who.int/iris/bitstream/10665/207478/1/9789241565226_eng.pdf?ua=1</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Wood, W., Quinn, J. M., &amp; Kashy, D. A. (2002). Habits in Everyday Life: Thought, Emotion, and Action. </w:t>
      </w:r>
      <w:r>
        <w:rPr>
          <w:rFonts w:ascii="Times New Roman" w:hAnsi="Times New Roman" w:cs="Times New Roman"/>
          <w:i/>
          <w:iCs/>
          <w:noProof/>
          <w:sz w:val="24"/>
          <w:szCs w:val="24"/>
        </w:rPr>
        <w:t>Journal of Personality and Social Psychology</w:t>
      </w:r>
      <w:r>
        <w:rPr>
          <w:rFonts w:ascii="Times New Roman" w:hAnsi="Times New Roman" w:cs="Times New Roman"/>
          <w:noProof/>
          <w:sz w:val="24"/>
          <w:szCs w:val="24"/>
        </w:rPr>
        <w:t xml:space="preserve">, </w:t>
      </w:r>
      <w:r>
        <w:rPr>
          <w:rFonts w:ascii="Times New Roman" w:hAnsi="Times New Roman" w:cs="Times New Roman"/>
          <w:i/>
          <w:iCs/>
          <w:noProof/>
          <w:sz w:val="24"/>
          <w:szCs w:val="24"/>
        </w:rPr>
        <w:t>83</w:t>
      </w:r>
      <w:r>
        <w:rPr>
          <w:rFonts w:ascii="Times New Roman" w:hAnsi="Times New Roman" w:cs="Times New Roman"/>
          <w:noProof/>
          <w:sz w:val="24"/>
          <w:szCs w:val="24"/>
        </w:rPr>
        <w:t>(6), 1281–97. http://doi.org/10.1037//0022-3514.83.6.1281</w:t>
      </w:r>
    </w:p>
    <w:p>
      <w:pPr>
        <w:widowControl w:val="0"/>
        <w:autoSpaceDE w:val="0"/>
        <w:autoSpaceDN w:val="0"/>
        <w:adjustRightInd w:val="0"/>
        <w:spacing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Wood, J. V. (1989). Theory and research concerning social comparisons of personal attributes. </w:t>
      </w:r>
      <w:r>
        <w:rPr>
          <w:rFonts w:ascii="Times New Roman" w:hAnsi="Times New Roman" w:cs="Times New Roman"/>
          <w:i/>
          <w:iCs/>
          <w:noProof/>
          <w:sz w:val="24"/>
          <w:szCs w:val="24"/>
        </w:rPr>
        <w:t>Psychological Bulletin</w:t>
      </w:r>
      <w:r>
        <w:rPr>
          <w:rFonts w:ascii="Times New Roman" w:hAnsi="Times New Roman" w:cs="Times New Roman"/>
          <w:noProof/>
          <w:sz w:val="24"/>
          <w:szCs w:val="24"/>
        </w:rPr>
        <w:t xml:space="preserve">, </w:t>
      </w:r>
      <w:r>
        <w:rPr>
          <w:rFonts w:ascii="Times New Roman" w:hAnsi="Times New Roman" w:cs="Times New Roman"/>
          <w:i/>
          <w:iCs/>
          <w:noProof/>
          <w:sz w:val="24"/>
          <w:szCs w:val="24"/>
        </w:rPr>
        <w:t>106</w:t>
      </w:r>
      <w:r>
        <w:rPr>
          <w:rFonts w:ascii="Times New Roman" w:hAnsi="Times New Roman" w:cs="Times New Roman"/>
          <w:noProof/>
          <w:sz w:val="24"/>
          <w:szCs w:val="24"/>
        </w:rPr>
        <w:t>(2), 231.</w:t>
      </w:r>
    </w:p>
    <w:p>
      <w:pPr>
        <w:widowControl w:val="0"/>
        <w:autoSpaceDE w:val="0"/>
        <w:autoSpaceDN w:val="0"/>
        <w:adjustRightInd w:val="0"/>
        <w:spacing w:line="480" w:lineRule="auto"/>
        <w:ind w:left="480" w:hanging="480"/>
        <w:rPr>
          <w:rFonts w:ascii="Times New Roman" w:hAnsi="Times New Roman" w:cs="Times New Roman"/>
          <w:noProof/>
          <w:sz w:val="24"/>
        </w:rPr>
      </w:pPr>
      <w:r>
        <w:rPr>
          <w:rFonts w:ascii="Times New Roman" w:hAnsi="Times New Roman" w:cs="Times New Roman"/>
          <w:noProof/>
          <w:sz w:val="24"/>
          <w:szCs w:val="24"/>
        </w:rPr>
        <w:t xml:space="preserve">Young, L. R., &amp; Nestle, M. (2002). The Contribution of Expanding Portion Sizes to the US Obesity Epidemic. </w:t>
      </w:r>
      <w:r>
        <w:rPr>
          <w:rFonts w:ascii="Times New Roman" w:hAnsi="Times New Roman" w:cs="Times New Roman"/>
          <w:i/>
          <w:iCs/>
          <w:noProof/>
          <w:sz w:val="24"/>
          <w:szCs w:val="24"/>
        </w:rPr>
        <w:t>American Journal of Public Health</w:t>
      </w:r>
      <w:r>
        <w:rPr>
          <w:rFonts w:ascii="Times New Roman" w:hAnsi="Times New Roman" w:cs="Times New Roman"/>
          <w:noProof/>
          <w:sz w:val="24"/>
          <w:szCs w:val="24"/>
        </w:rPr>
        <w:t xml:space="preserve">, </w:t>
      </w:r>
      <w:r>
        <w:rPr>
          <w:rFonts w:ascii="Times New Roman" w:hAnsi="Times New Roman" w:cs="Times New Roman"/>
          <w:i/>
          <w:iCs/>
          <w:noProof/>
          <w:sz w:val="24"/>
          <w:szCs w:val="24"/>
        </w:rPr>
        <w:t>92</w:t>
      </w:r>
      <w:r>
        <w:rPr>
          <w:rFonts w:ascii="Times New Roman" w:hAnsi="Times New Roman" w:cs="Times New Roman"/>
          <w:noProof/>
          <w:sz w:val="24"/>
          <w:szCs w:val="24"/>
        </w:rPr>
        <w:t>(2), 246–49.</w:t>
      </w:r>
    </w:p>
    <w:p>
      <w:pPr>
        <w:widowControl w:val="0"/>
        <w:autoSpaceDE w:val="0"/>
        <w:autoSpaceDN w:val="0"/>
        <w:adjustRightInd w:val="0"/>
        <w:spacing w:line="480" w:lineRule="auto"/>
        <w:ind w:left="480" w:hanging="480"/>
        <w:rPr>
          <w:rFonts w:ascii="Times New Roman" w:hAnsi="Times New Roman" w:cs="Times New Roman"/>
          <w:sz w:val="24"/>
          <w:szCs w:val="24"/>
        </w:rPr>
      </w:pPr>
      <w:r>
        <w:rPr>
          <w:rFonts w:ascii="Times New Roman" w:hAnsi="Times New Roman" w:cs="Times New Roman"/>
          <w:sz w:val="24"/>
          <w:szCs w:val="24"/>
        </w:rPr>
        <w:fldChar w:fldCharType="end"/>
      </w:r>
    </w:p>
    <w:sectPr>
      <w:headerReference w:type="default" r:id="rId9"/>
      <w:footerReference w:type="even" r:id="rId10"/>
      <w:footerReference w:type="default" r:id="rId11"/>
      <w:headerReference w:type="first" r:id="rId12"/>
      <w:pgSz w:w="11906" w:h="16838"/>
      <w:pgMar w:top="1440" w:right="1440" w:bottom="1440" w:left="1440" w:header="708" w:footer="708"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8BCF66" w16cid:durableId="1CFBEF21"/>
  <w16cid:commentId w16cid:paraId="0CCEC34B" w16cid:durableId="1CFBEF25"/>
  <w16cid:commentId w16cid:paraId="43E4824C" w16cid:durableId="1CFBEF26"/>
  <w16cid:commentId w16cid:paraId="61EBA949" w16cid:durableId="1CFBEF27"/>
  <w16cid:commentId w16cid:paraId="157AF534" w16cid:durableId="1CFBEF28"/>
  <w16cid:commentId w16cid:paraId="08B7E89B" w16cid:durableId="1CFBEF29"/>
  <w16cid:commentId w16cid:paraId="5C2EFEFA" w16cid:durableId="1CFBEF2A"/>
  <w16cid:commentId w16cid:paraId="0768F3FA" w16cid:durableId="1CFBEF2B"/>
  <w16cid:commentId w16cid:paraId="2FEF513B" w16cid:durableId="1CFBEF2C"/>
  <w16cid:commentId w16cid:paraId="3955BD41" w16cid:durableId="1CFBEF2D"/>
  <w16cid:commentId w16cid:paraId="5EB05AF1" w16cid:durableId="1CFBEF2E"/>
  <w16cid:commentId w16cid:paraId="70EDEE39" w16cid:durableId="1CFBEF2F"/>
  <w16cid:commentId w16cid:paraId="21E9BC43" w16cid:durableId="1CFBEF30"/>
  <w16cid:commentId w16cid:paraId="7CC54233" w16cid:durableId="1CFBEF31"/>
  <w16cid:commentId w16cid:paraId="05B4DB63" w16cid:durableId="1CFBEF3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ource Sans Pro">
    <w:altName w:val="Times New Roman"/>
    <w:charset w:val="00"/>
    <w:family w:val="auto"/>
    <w:pitch w:val="default"/>
  </w:font>
  <w:font w:name="ArialMT">
    <w:altName w:val="Arial"/>
    <w:charset w:val="00"/>
    <w:family w:val="auto"/>
    <w:pitch w:val="variable"/>
    <w:sig w:usb0="E0002A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framePr w:wrap="none" w:vAnchor="text" w:hAnchor="margin" w:xAlign="right" w:y="1"/>
      <w:rPr>
        <w:rStyle w:val="PageNumber"/>
        <w:rFonts w:ascii="Times New Roman" w:hAnsi="Times New Roman" w:cs="Times New Roman"/>
        <w:sz w:val="24"/>
        <w:szCs w:val="24"/>
      </w:rPr>
    </w:pPr>
    <w:r>
      <w:rPr>
        <w:rStyle w:val="PageNumber"/>
        <w:rFonts w:ascii="Times New Roman" w:hAnsi="Times New Roman" w:cs="Times New Roman"/>
        <w:sz w:val="24"/>
        <w:szCs w:val="24"/>
      </w:rPr>
      <w:fldChar w:fldCharType="begin"/>
    </w:r>
    <w:r>
      <w:rPr>
        <w:rStyle w:val="PageNumber"/>
        <w:rFonts w:ascii="Times New Roman" w:hAnsi="Times New Roman" w:cs="Times New Roman"/>
        <w:sz w:val="24"/>
        <w:szCs w:val="24"/>
      </w:rPr>
      <w:instrText xml:space="preserve">PAGE  </w:instrText>
    </w:r>
    <w:r>
      <w:rPr>
        <w:rStyle w:val="PageNumber"/>
        <w:rFonts w:ascii="Times New Roman" w:hAnsi="Times New Roman" w:cs="Times New Roman"/>
        <w:sz w:val="24"/>
        <w:szCs w:val="24"/>
      </w:rPr>
      <w:fldChar w:fldCharType="separate"/>
    </w:r>
    <w:r>
      <w:rPr>
        <w:rStyle w:val="PageNumber"/>
        <w:rFonts w:ascii="Times New Roman" w:hAnsi="Times New Roman" w:cs="Times New Roman"/>
        <w:noProof/>
        <w:sz w:val="24"/>
        <w:szCs w:val="24"/>
      </w:rPr>
      <w:t>2</w:t>
    </w:r>
    <w:r>
      <w:rPr>
        <w:rStyle w:val="PageNumber"/>
        <w:rFonts w:ascii="Times New Roman" w:hAnsi="Times New Roman" w:cs="Times New Roman"/>
        <w:sz w:val="24"/>
        <w:szCs w:val="24"/>
      </w:rPr>
      <w:fldChar w:fldCharType="end"/>
    </w:r>
  </w:p>
  <w:p>
    <w:pPr>
      <w:pStyle w:val="Footer"/>
      <w:ind w:right="360"/>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rPr>
        <w:rFonts w:ascii="Times New Roman" w:hAnsi="Times New Roman" w:cs="Times New Roman"/>
        <w:sz w:val="24"/>
        <w:szCs w:val="24"/>
      </w:rPr>
    </w:pPr>
    <w:r>
      <w:rPr>
        <w:rFonts w:ascii="Times New Roman" w:hAnsi="Times New Roman" w:cs="Times New Roman"/>
        <w:sz w:val="24"/>
        <w:szCs w:val="24"/>
      </w:rPr>
      <w:t>NUDGE: CONCEPT, EFFECTIVENESS, AND ETHICS</w:t>
    </w:r>
  </w:p>
  <w:p>
    <w:pPr>
      <w:pStyle w:val="Header"/>
      <w:rPr>
        <w:sz w:val="24"/>
        <w:szCs w:val="2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rPr>
        <w:rFonts w:ascii="Times New Roman" w:hAnsi="Times New Roman" w:cs="Times New Roman"/>
        <w:sz w:val="24"/>
        <w:szCs w:val="24"/>
      </w:rPr>
    </w:pPr>
    <w:r>
      <w:rPr>
        <w:rFonts w:ascii="Times New Roman" w:hAnsi="Times New Roman" w:cs="Times New Roman"/>
        <w:sz w:val="24"/>
        <w:szCs w:val="24"/>
      </w:rPr>
      <w:t>Running head: NUDGE: CONCEPT, EFFECTIVENESS, AND ETHICS</w:t>
    </w:r>
  </w:p>
  <w:p>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970101"/>
    <w:multiLevelType w:val="hybridMultilevel"/>
    <w:tmpl w:val="7F50BBAE"/>
    <w:lvl w:ilvl="0" w:tplc="70A00B02">
      <w:start w:val="1"/>
      <w:numFmt w:val="bullet"/>
      <w:lvlText w:val="•"/>
      <w:lvlJc w:val="left"/>
      <w:pPr>
        <w:tabs>
          <w:tab w:val="num" w:pos="720"/>
        </w:tabs>
        <w:ind w:left="720" w:hanging="360"/>
      </w:pPr>
      <w:rPr>
        <w:rFonts w:ascii="Arial" w:hAnsi="Arial" w:hint="default"/>
      </w:rPr>
    </w:lvl>
    <w:lvl w:ilvl="1" w:tplc="C8E0D636" w:tentative="1">
      <w:start w:val="1"/>
      <w:numFmt w:val="bullet"/>
      <w:lvlText w:val="•"/>
      <w:lvlJc w:val="left"/>
      <w:pPr>
        <w:tabs>
          <w:tab w:val="num" w:pos="1440"/>
        </w:tabs>
        <w:ind w:left="1440" w:hanging="360"/>
      </w:pPr>
      <w:rPr>
        <w:rFonts w:ascii="Arial" w:hAnsi="Arial" w:hint="default"/>
      </w:rPr>
    </w:lvl>
    <w:lvl w:ilvl="2" w:tplc="602254D8" w:tentative="1">
      <w:start w:val="1"/>
      <w:numFmt w:val="bullet"/>
      <w:lvlText w:val="•"/>
      <w:lvlJc w:val="left"/>
      <w:pPr>
        <w:tabs>
          <w:tab w:val="num" w:pos="2160"/>
        </w:tabs>
        <w:ind w:left="2160" w:hanging="360"/>
      </w:pPr>
      <w:rPr>
        <w:rFonts w:ascii="Arial" w:hAnsi="Arial" w:hint="default"/>
      </w:rPr>
    </w:lvl>
    <w:lvl w:ilvl="3" w:tplc="6E7E786E" w:tentative="1">
      <w:start w:val="1"/>
      <w:numFmt w:val="bullet"/>
      <w:lvlText w:val="•"/>
      <w:lvlJc w:val="left"/>
      <w:pPr>
        <w:tabs>
          <w:tab w:val="num" w:pos="2880"/>
        </w:tabs>
        <w:ind w:left="2880" w:hanging="360"/>
      </w:pPr>
      <w:rPr>
        <w:rFonts w:ascii="Arial" w:hAnsi="Arial" w:hint="default"/>
      </w:rPr>
    </w:lvl>
    <w:lvl w:ilvl="4" w:tplc="77A8D6AC" w:tentative="1">
      <w:start w:val="1"/>
      <w:numFmt w:val="bullet"/>
      <w:lvlText w:val="•"/>
      <w:lvlJc w:val="left"/>
      <w:pPr>
        <w:tabs>
          <w:tab w:val="num" w:pos="3600"/>
        </w:tabs>
        <w:ind w:left="3600" w:hanging="360"/>
      </w:pPr>
      <w:rPr>
        <w:rFonts w:ascii="Arial" w:hAnsi="Arial" w:hint="default"/>
      </w:rPr>
    </w:lvl>
    <w:lvl w:ilvl="5" w:tplc="0BB208E6" w:tentative="1">
      <w:start w:val="1"/>
      <w:numFmt w:val="bullet"/>
      <w:lvlText w:val="•"/>
      <w:lvlJc w:val="left"/>
      <w:pPr>
        <w:tabs>
          <w:tab w:val="num" w:pos="4320"/>
        </w:tabs>
        <w:ind w:left="4320" w:hanging="360"/>
      </w:pPr>
      <w:rPr>
        <w:rFonts w:ascii="Arial" w:hAnsi="Arial" w:hint="default"/>
      </w:rPr>
    </w:lvl>
    <w:lvl w:ilvl="6" w:tplc="D4E02602" w:tentative="1">
      <w:start w:val="1"/>
      <w:numFmt w:val="bullet"/>
      <w:lvlText w:val="•"/>
      <w:lvlJc w:val="left"/>
      <w:pPr>
        <w:tabs>
          <w:tab w:val="num" w:pos="5040"/>
        </w:tabs>
        <w:ind w:left="5040" w:hanging="360"/>
      </w:pPr>
      <w:rPr>
        <w:rFonts w:ascii="Arial" w:hAnsi="Arial" w:hint="default"/>
      </w:rPr>
    </w:lvl>
    <w:lvl w:ilvl="7" w:tplc="997CCB22" w:tentative="1">
      <w:start w:val="1"/>
      <w:numFmt w:val="bullet"/>
      <w:lvlText w:val="•"/>
      <w:lvlJc w:val="left"/>
      <w:pPr>
        <w:tabs>
          <w:tab w:val="num" w:pos="5760"/>
        </w:tabs>
        <w:ind w:left="5760" w:hanging="360"/>
      </w:pPr>
      <w:rPr>
        <w:rFonts w:ascii="Arial" w:hAnsi="Arial" w:hint="default"/>
      </w:rPr>
    </w:lvl>
    <w:lvl w:ilvl="8" w:tplc="73142652"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802593-02E7-4EFE-87E1-E49216EE7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Heading1">
    <w:name w:val="heading 1"/>
    <w:basedOn w:val="Normal"/>
    <w:next w:val="Normal"/>
    <w:link w:val="Heading1Char"/>
    <w:qFormat/>
    <w:pPr>
      <w:keepNext/>
      <w:spacing w:before="360" w:after="60" w:line="360" w:lineRule="auto"/>
      <w:ind w:right="567"/>
      <w:contextualSpacing/>
      <w:outlineLvl w:val="0"/>
    </w:pPr>
    <w:rPr>
      <w:rFonts w:ascii="Times New Roman" w:eastAsia="Times New Roman" w:hAnsi="Times New Roman" w:cs="Arial"/>
      <w:b/>
      <w:bCs/>
      <w:kern w:val="32"/>
      <w:sz w:val="24"/>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rPr>
  </w:style>
  <w:style w:type="character" w:customStyle="1" w:styleId="apple-converted-space">
    <w:name w:val="apple-converted-space"/>
    <w:basedOn w:val="DefaultParagraphFont"/>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Newparagraph">
    <w:name w:val="New paragraph"/>
    <w:basedOn w:val="Normal"/>
    <w:link w:val="NewparagraphChar"/>
    <w:qFormat/>
    <w:pPr>
      <w:spacing w:after="0" w:line="480" w:lineRule="auto"/>
      <w:ind w:firstLine="720"/>
    </w:pPr>
    <w:rPr>
      <w:rFonts w:ascii="Times New Roman" w:eastAsia="Times New Roman" w:hAnsi="Times New Roman" w:cs="Times New Roman"/>
      <w:sz w:val="24"/>
      <w:szCs w:val="24"/>
      <w:lang w:eastAsia="en-GB"/>
    </w:rPr>
  </w:style>
  <w:style w:type="character" w:customStyle="1" w:styleId="NewparagraphChar">
    <w:name w:val="New paragraph Char"/>
    <w:basedOn w:val="DefaultParagraphFont"/>
    <w:link w:val="Newparagraph"/>
    <w:rPr>
      <w:rFonts w:ascii="Times New Roman" w:eastAsia="Times New Roman" w:hAnsi="Times New Roman" w:cs="Times New Roman"/>
      <w:sz w:val="24"/>
      <w:szCs w:val="24"/>
      <w:lang w:val="en-US" w:eastAsia="en-GB"/>
    </w:rPr>
  </w:style>
  <w:style w:type="table" w:styleId="TableGrid">
    <w:name w:val="Table Grid"/>
    <w:basedOn w:val="TableNormal"/>
    <w:uiPriority w:val="39"/>
    <w:pPr>
      <w:spacing w:after="0" w:line="240" w:lineRule="auto"/>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title">
    <w:name w:val="Article title"/>
    <w:basedOn w:val="Normal"/>
    <w:next w:val="Normal"/>
    <w:qFormat/>
    <w:pPr>
      <w:spacing w:after="120" w:line="360" w:lineRule="auto"/>
    </w:pPr>
    <w:rPr>
      <w:rFonts w:ascii="Times New Roman" w:eastAsia="Times New Roman" w:hAnsi="Times New Roman" w:cs="Times New Roman"/>
      <w:b/>
      <w:sz w:val="28"/>
      <w:szCs w:val="24"/>
      <w:lang w:val="en-GB" w:eastAsia="en-GB"/>
    </w:rPr>
  </w:style>
  <w:style w:type="paragraph" w:customStyle="1" w:styleId="Authornames">
    <w:name w:val="Author names"/>
    <w:basedOn w:val="Normal"/>
    <w:next w:val="Normal"/>
    <w:qFormat/>
    <w:pPr>
      <w:spacing w:before="240" w:after="0" w:line="360" w:lineRule="auto"/>
    </w:pPr>
    <w:rPr>
      <w:rFonts w:ascii="Times New Roman" w:eastAsia="Times New Roman" w:hAnsi="Times New Roman" w:cs="Times New Roman"/>
      <w:sz w:val="28"/>
      <w:szCs w:val="24"/>
      <w:lang w:val="en-GB" w:eastAsia="en-GB"/>
    </w:rPr>
  </w:style>
  <w:style w:type="paragraph" w:customStyle="1" w:styleId="Affiliation">
    <w:name w:val="Affiliation"/>
    <w:basedOn w:val="Normal"/>
    <w:qFormat/>
    <w:pPr>
      <w:spacing w:before="240" w:after="0" w:line="360" w:lineRule="auto"/>
    </w:pPr>
    <w:rPr>
      <w:rFonts w:ascii="Times New Roman" w:eastAsia="Times New Roman" w:hAnsi="Times New Roman" w:cs="Times New Roman"/>
      <w:i/>
      <w:sz w:val="24"/>
      <w:szCs w:val="24"/>
      <w:lang w:val="en-GB" w:eastAsia="en-GB"/>
    </w:r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lang w:val="en-US"/>
    </w:rPr>
  </w:style>
  <w:style w:type="character" w:styleId="PageNumber">
    <w:name w:val="page number"/>
    <w:basedOn w:val="DefaultParagraphFont"/>
    <w:uiPriority w:val="99"/>
    <w:semiHidden/>
    <w:unhideWhenUsed/>
  </w:style>
  <w:style w:type="character" w:customStyle="1" w:styleId="Heading1Char">
    <w:name w:val="Heading 1 Char"/>
    <w:basedOn w:val="DefaultParagraphFont"/>
    <w:link w:val="Heading1"/>
    <w:rPr>
      <w:rFonts w:ascii="Times New Roman" w:eastAsia="Times New Roman" w:hAnsi="Times New Roman" w:cs="Arial"/>
      <w:b/>
      <w:bCs/>
      <w:kern w:val="32"/>
      <w:sz w:val="24"/>
      <w:szCs w:val="32"/>
      <w:lang w:val="en-US" w:eastAsia="en-GB"/>
    </w:rPr>
  </w:style>
  <w:style w:type="paragraph" w:customStyle="1" w:styleId="Abstract">
    <w:name w:val="Abstract"/>
    <w:basedOn w:val="Normal"/>
    <w:next w:val="Keywords"/>
    <w:qFormat/>
    <w:pPr>
      <w:spacing w:before="360" w:after="300" w:line="360" w:lineRule="auto"/>
      <w:ind w:left="720" w:right="567"/>
    </w:pPr>
    <w:rPr>
      <w:rFonts w:ascii="Times New Roman" w:eastAsia="Times New Roman" w:hAnsi="Times New Roman" w:cs="Times New Roman"/>
      <w:szCs w:val="24"/>
      <w:lang w:eastAsia="en-GB"/>
    </w:rPr>
  </w:style>
  <w:style w:type="paragraph" w:customStyle="1" w:styleId="Keywords">
    <w:name w:val="Keywords"/>
    <w:basedOn w:val="Normal"/>
    <w:next w:val="Normal"/>
    <w:qFormat/>
    <w:pPr>
      <w:spacing w:before="240" w:after="240" w:line="360" w:lineRule="auto"/>
      <w:ind w:left="720" w:right="567"/>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734771">
      <w:bodyDiv w:val="1"/>
      <w:marLeft w:val="0"/>
      <w:marRight w:val="0"/>
      <w:marTop w:val="0"/>
      <w:marBottom w:val="0"/>
      <w:divBdr>
        <w:top w:val="none" w:sz="0" w:space="0" w:color="auto"/>
        <w:left w:val="none" w:sz="0" w:space="0" w:color="auto"/>
        <w:bottom w:val="none" w:sz="0" w:space="0" w:color="auto"/>
        <w:right w:val="none" w:sz="0" w:space="0" w:color="auto"/>
      </w:divBdr>
    </w:div>
    <w:div w:id="442501455">
      <w:bodyDiv w:val="1"/>
      <w:marLeft w:val="0"/>
      <w:marRight w:val="0"/>
      <w:marTop w:val="0"/>
      <w:marBottom w:val="0"/>
      <w:divBdr>
        <w:top w:val="none" w:sz="0" w:space="0" w:color="auto"/>
        <w:left w:val="none" w:sz="0" w:space="0" w:color="auto"/>
        <w:bottom w:val="none" w:sz="0" w:space="0" w:color="auto"/>
        <w:right w:val="none" w:sz="0" w:space="0" w:color="auto"/>
      </w:divBdr>
    </w:div>
    <w:div w:id="619648739">
      <w:bodyDiv w:val="1"/>
      <w:marLeft w:val="0"/>
      <w:marRight w:val="0"/>
      <w:marTop w:val="0"/>
      <w:marBottom w:val="0"/>
      <w:divBdr>
        <w:top w:val="none" w:sz="0" w:space="0" w:color="auto"/>
        <w:left w:val="none" w:sz="0" w:space="0" w:color="auto"/>
        <w:bottom w:val="none" w:sz="0" w:space="0" w:color="auto"/>
        <w:right w:val="none" w:sz="0" w:space="0" w:color="auto"/>
      </w:divBdr>
    </w:div>
    <w:div w:id="840118056">
      <w:bodyDiv w:val="1"/>
      <w:marLeft w:val="0"/>
      <w:marRight w:val="0"/>
      <w:marTop w:val="0"/>
      <w:marBottom w:val="0"/>
      <w:divBdr>
        <w:top w:val="none" w:sz="0" w:space="0" w:color="auto"/>
        <w:left w:val="none" w:sz="0" w:space="0" w:color="auto"/>
        <w:bottom w:val="none" w:sz="0" w:space="0" w:color="auto"/>
        <w:right w:val="none" w:sz="0" w:space="0" w:color="auto"/>
      </w:divBdr>
    </w:div>
    <w:div w:id="894199439">
      <w:bodyDiv w:val="1"/>
      <w:marLeft w:val="0"/>
      <w:marRight w:val="0"/>
      <w:marTop w:val="0"/>
      <w:marBottom w:val="0"/>
      <w:divBdr>
        <w:top w:val="none" w:sz="0" w:space="0" w:color="auto"/>
        <w:left w:val="none" w:sz="0" w:space="0" w:color="auto"/>
        <w:bottom w:val="none" w:sz="0" w:space="0" w:color="auto"/>
        <w:right w:val="none" w:sz="0" w:space="0" w:color="auto"/>
      </w:divBdr>
      <w:divsChild>
        <w:div w:id="1179348888">
          <w:marLeft w:val="547"/>
          <w:marRight w:val="0"/>
          <w:marTop w:val="154"/>
          <w:marBottom w:val="0"/>
          <w:divBdr>
            <w:top w:val="none" w:sz="0" w:space="0" w:color="auto"/>
            <w:left w:val="none" w:sz="0" w:space="0" w:color="auto"/>
            <w:bottom w:val="none" w:sz="0" w:space="0" w:color="auto"/>
            <w:right w:val="none" w:sz="0" w:space="0" w:color="auto"/>
          </w:divBdr>
        </w:div>
      </w:divsChild>
    </w:div>
    <w:div w:id="1757172251">
      <w:bodyDiv w:val="1"/>
      <w:marLeft w:val="0"/>
      <w:marRight w:val="0"/>
      <w:marTop w:val="0"/>
      <w:marBottom w:val="0"/>
      <w:divBdr>
        <w:top w:val="none" w:sz="0" w:space="0" w:color="auto"/>
        <w:left w:val="none" w:sz="0" w:space="0" w:color="auto"/>
        <w:bottom w:val="none" w:sz="0" w:space="0" w:color="auto"/>
        <w:right w:val="none" w:sz="0" w:space="0" w:color="auto"/>
      </w:divBdr>
    </w:div>
    <w:div w:id="1947929039">
      <w:bodyDiv w:val="1"/>
      <w:marLeft w:val="0"/>
      <w:marRight w:val="0"/>
      <w:marTop w:val="0"/>
      <w:marBottom w:val="0"/>
      <w:divBdr>
        <w:top w:val="none" w:sz="0" w:space="0" w:color="auto"/>
        <w:left w:val="none" w:sz="0" w:space="0" w:color="auto"/>
        <w:bottom w:val="none" w:sz="0" w:space="0" w:color="auto"/>
        <w:right w:val="none" w:sz="0" w:space="0" w:color="auto"/>
      </w:divBdr>
      <w:divsChild>
        <w:div w:id="1767185600">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sman@qmul.ac.u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41B23-6AEA-421E-A78E-35D756403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62643</Words>
  <Characters>357067</Characters>
  <Application>Microsoft Office Word</Application>
  <DocSecurity>0</DocSecurity>
  <Lines>2975</Lines>
  <Paragraphs>837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dc:creator>
  <cp:keywords/>
  <dc:description/>
  <cp:lastModifiedBy>Magda Osman</cp:lastModifiedBy>
  <cp:revision>2</cp:revision>
  <dcterms:created xsi:type="dcterms:W3CDTF">2017-08-17T12:26:00Z</dcterms:created>
  <dcterms:modified xsi:type="dcterms:W3CDTF">2017-08-17T12:26:00Z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6a224993-7bf8-3c65-b50a-4f59c0b5b6ec</vt:lpwstr>
  </property>
  <property fmtid="{D5CDD505-2E9C-101B-9397-08002B2CF9AE}" pid="24" name="Mendeley Citation Style_1">
    <vt:lpwstr>http://www.zotero.org/styles/apa</vt:lpwstr>
  </property>
</Properties>
</file>