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>
          <w:rtl w:val="0"/>
        </w:rPr>
        <w:t xml:space="preserve">### Is Thorwin’s failure to post the Form 8 on the tenant‑portal a legal defect?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061.5"/>
        <w:gridCol w:w="4099.875"/>
        <w:gridCol w:w="2198.625"/>
        <w:tblGridChange w:id="0">
          <w:tblGrid>
            <w:gridCol w:w="3061.5"/>
            <w:gridCol w:w="4099.875"/>
            <w:gridCol w:w="2198.62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Short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Litigation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Does Manitoba law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require</w:t>
            </w:r>
            <w:r w:rsidDel="00000000" w:rsidR="00000000" w:rsidRPr="00000000">
              <w:rPr>
                <w:b w:val="1"/>
                <w:rtl w:val="0"/>
              </w:rPr>
              <w:t xml:space="preserve"> the Form 8 to appear in the RentCafé “My Documents” portal?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i w:val="1"/>
                <w:rtl w:val="0"/>
              </w:rPr>
              <w:t xml:space="preserve">Residential Tenancies Regulation</w:t>
            </w:r>
            <w:r w:rsidDel="00000000" w:rsidR="00000000" w:rsidRPr="00000000">
              <w:rPr>
                <w:rtl w:val="0"/>
              </w:rPr>
              <w:t xml:space="preserve"> only requires </w:t>
            </w:r>
            <w:r w:rsidDel="00000000" w:rsidR="00000000" w:rsidRPr="00000000">
              <w:rPr>
                <w:b w:val="1"/>
                <w:rtl w:val="0"/>
              </w:rPr>
              <w:t xml:space="preserve">service “on the tenant”</w:t>
            </w:r>
            <w:r w:rsidDel="00000000" w:rsidR="00000000" w:rsidRPr="00000000">
              <w:rPr>
                <w:rtl w:val="0"/>
              </w:rPr>
              <w:t xml:space="preserve"> by one of the methods in </w:t>
            </w:r>
            <w:r w:rsidDel="00000000" w:rsidR="00000000" w:rsidRPr="00000000">
              <w:rPr>
                <w:i w:val="1"/>
                <w:rtl w:val="0"/>
              </w:rPr>
              <w:t xml:space="preserve">RTA s. 11</w:t>
            </w:r>
            <w:r w:rsidDel="00000000" w:rsidR="00000000" w:rsidRPr="00000000">
              <w:rPr>
                <w:rtl w:val="0"/>
              </w:rPr>
              <w:t xml:space="preserve"> (personal delivery, mail, e‑mail </w:t>
            </w:r>
            <w:r w:rsidDel="00000000" w:rsidR="00000000" w:rsidRPr="00000000">
              <w:rPr>
                <w:i w:val="1"/>
                <w:rtl w:val="0"/>
              </w:rPr>
              <w:t xml:space="preserve">if consented</w:t>
            </w:r>
            <w:r w:rsidDel="00000000" w:rsidR="00000000" w:rsidRPr="00000000">
              <w:rPr>
                <w:rtl w:val="0"/>
              </w:rPr>
              <w:t xml:space="preserve">, or posting on the door). The Act is silent on optional landlord portals.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The absence alone will not nullify the notice if Thorwin can prove you received the paper copy.</w:t>
            </w:r>
          </w:p>
        </w:tc>
      </w:tr>
      <w:tr>
        <w:trPr>
          <w:cantSplit w:val="0"/>
          <w:trHeight w:val="5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 the omission still help our case?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It is powerful circumstantial evidence that Thorwin withholds statutory documents when they are inconvenient, while uploading rent‑increase packages and every other RTB filing. This supports the “bad‑faith / selective disclosure” narrative and undercuts their credibility on service and timing.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 it to: (1) impeach Thorwin’s witnesses; (2) argue for higher </w:t>
            </w:r>
            <w:r w:rsidDel="00000000" w:rsidR="00000000" w:rsidRPr="00000000">
              <w:rPr>
                <w:i w:val="1"/>
                <w:rtl w:val="0"/>
              </w:rPr>
              <w:t xml:space="preserve">s. 154</w:t>
            </w:r>
            <w:r w:rsidDel="00000000" w:rsidR="00000000" w:rsidRPr="00000000">
              <w:rPr>
                <w:rtl w:val="0"/>
              </w:rPr>
              <w:t xml:space="preserve"> penalties for wilful misconduct.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#### 1 ▪ Legal framework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rule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RTA (MB), s. 11</w:t>
      </w:r>
      <w:r w:rsidDel="00000000" w:rsidR="00000000" w:rsidRPr="00000000">
        <w:rPr>
          <w:rtl w:val="0"/>
        </w:rPr>
        <w:t xml:space="preserve"> exhaustively lists permitted methods. A landlord </w:t>
      </w:r>
      <w:r w:rsidDel="00000000" w:rsidR="00000000" w:rsidRPr="00000000">
        <w:rPr>
          <w:b w:val="1"/>
          <w:rtl w:val="0"/>
        </w:rPr>
        <w:t xml:space="preserve">may</w:t>
      </w:r>
      <w:r w:rsidDel="00000000" w:rsidR="00000000" w:rsidRPr="00000000">
        <w:rPr>
          <w:rtl w:val="0"/>
        </w:rPr>
        <w:t xml:space="preserve"> use e‑delivery </w:t>
      </w:r>
      <w:r w:rsidDel="00000000" w:rsidR="00000000" w:rsidRPr="00000000">
        <w:rPr>
          <w:i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the tenant has provided prior written consent.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Portal ≠ consent</w:t>
      </w:r>
      <w:r w:rsidDel="00000000" w:rsidR="00000000" w:rsidRPr="00000000">
        <w:rPr>
          <w:rtl w:val="0"/>
        </w:rPr>
        <w:t xml:space="preserve"> – A RentCafé or Yardi portal is merely a private convenience tool. Unless Thorwin can produce your signed consent to treat portal postings as “electronic service,” anything uploaded there is </w:t>
      </w:r>
      <w:r w:rsidDel="00000000" w:rsidR="00000000" w:rsidRPr="00000000">
        <w:rPr>
          <w:i w:val="1"/>
          <w:rtl w:val="0"/>
        </w:rPr>
        <w:t xml:space="preserve">bonus distribution</w:t>
      </w:r>
      <w:r w:rsidDel="00000000" w:rsidR="00000000" w:rsidRPr="00000000">
        <w:rPr>
          <w:rtl w:val="0"/>
        </w:rPr>
        <w:t xml:space="preserve">, not statutory service.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 8 content rule</w:t>
      </w:r>
      <w:r w:rsidDel="00000000" w:rsidR="00000000" w:rsidRPr="00000000">
        <w:rPr>
          <w:rtl w:val="0"/>
        </w:rPr>
        <w:t xml:space="preserve"> – The notice must “be in the approved form and </w:t>
      </w:r>
      <w:r w:rsidDel="00000000" w:rsidR="00000000" w:rsidRPr="00000000">
        <w:rPr>
          <w:b w:val="1"/>
          <w:rtl w:val="0"/>
        </w:rPr>
        <w:t xml:space="preserve">be given to each affected tenant</w:t>
      </w:r>
      <w:r w:rsidDel="00000000" w:rsidR="00000000" w:rsidRPr="00000000">
        <w:rPr>
          <w:rtl w:val="0"/>
        </w:rPr>
        <w:t xml:space="preserve">” (</w:t>
      </w:r>
      <w:r w:rsidDel="00000000" w:rsidR="00000000" w:rsidRPr="00000000">
        <w:rPr>
          <w:i w:val="1"/>
          <w:rtl w:val="0"/>
        </w:rPr>
        <w:t xml:space="preserve">RTA Reg., Form 8 Instruction 8</w:t>
      </w:r>
      <w:r w:rsidDel="00000000" w:rsidR="00000000" w:rsidRPr="00000000">
        <w:rPr>
          <w:rtl w:val="0"/>
        </w:rPr>
        <w:t xml:space="preserve">). It says nothing about third‑party portals.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#### 2 ▪ What the screenshot proves</w:t>
      </w:r>
    </w:p>
    <w:p w:rsidR="00000000" w:rsidDel="00000000" w:rsidP="00000000" w:rsidRDefault="00000000" w:rsidRPr="00000000" w14:paraId="00000012">
      <w:pPr>
        <w:spacing w:after="360" w:before="360" w:lineRule="auto"/>
        <w:rPr/>
      </w:pPr>
      <w:r w:rsidDel="00000000" w:rsidR="00000000" w:rsidRPr="00000000">
        <w:rPr>
          <w:i w:val="1"/>
          <w:rtl w:val="0"/>
        </w:rPr>
        <w:t xml:space="preserve">The image you provided (“FullPortalListing.png”, captured 28 Jun 2025) shows 80 documents dating back to 2020, including every NORI, AGRI order, RTB decision, and even trivial “Noise Notice” e‑blasts—but </w:t>
      </w:r>
      <w:r w:rsidDel="00000000" w:rsidR="00000000" w:rsidRPr="00000000">
        <w:rPr>
          <w:b w:val="1"/>
          <w:i w:val="1"/>
          <w:rtl w:val="0"/>
        </w:rPr>
        <w:t xml:space="preserve">no Form 8 dated 23 Jan 2024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That is remarkable for three reasons: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evidence</w:t>
      </w:r>
      <w:r w:rsidDel="00000000" w:rsidR="00000000" w:rsidRPr="00000000">
        <w:rPr>
          <w:rtl w:val="0"/>
        </w:rPr>
        <w:t xml:space="preserve"> – Thorwin habitually uploads statutory notices. Their choice to omit the Form 8 is </w:t>
      </w:r>
      <w:r w:rsidDel="00000000" w:rsidR="00000000" w:rsidRPr="00000000">
        <w:rPr>
          <w:b w:val="1"/>
          <w:rtl w:val="0"/>
        </w:rPr>
        <w:t xml:space="preserve">not an oversight</w:t>
      </w:r>
      <w:r w:rsidDel="00000000" w:rsidR="00000000" w:rsidRPr="00000000">
        <w:rPr>
          <w:rtl w:val="0"/>
        </w:rPr>
        <w:t xml:space="preserve"> but a conscious deviation.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Impeachment tool</w:t>
      </w:r>
      <w:r w:rsidDel="00000000" w:rsidR="00000000" w:rsidRPr="00000000">
        <w:rPr>
          <w:rtl w:val="0"/>
        </w:rPr>
        <w:t xml:space="preserve"> – At cross‑examination ask: “If your practice is to post every legal notice in the portal, why was the Form 8 withheld?” Any hedging bolsters our argument of wilful concealment.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Timeline corroboration</w:t>
      </w:r>
      <w:r w:rsidDel="00000000" w:rsidR="00000000" w:rsidRPr="00000000">
        <w:rPr>
          <w:rtl w:val="0"/>
        </w:rPr>
        <w:t xml:space="preserve"> – It supports our chronology that you first saw the Form 8 as a </w:t>
      </w:r>
      <w:r w:rsidDel="00000000" w:rsidR="00000000" w:rsidRPr="00000000">
        <w:rPr>
          <w:i w:val="1"/>
          <w:rtl w:val="0"/>
        </w:rPr>
        <w:t xml:space="preserve">loose‑leaf hardcopy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8 Jan 2024 e‑blast demanding locker evacuation, strengthening the “premature withdrawal” violation.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#### 3 ▪ IRAC mapping for penalty motion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011.7310746426683"/>
        <w:gridCol w:w="7348.268925357333"/>
        <w:tblGridChange w:id="0">
          <w:tblGrid>
            <w:gridCol w:w="2011.7310746426683"/>
            <w:gridCol w:w="7348.268925357333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Whether Thorwin’s selective non‑posting of the Form 8 evidences bad faith sufficient to aggravate </w:t>
            </w:r>
            <w:r w:rsidDel="00000000" w:rsidR="00000000" w:rsidRPr="00000000">
              <w:rPr>
                <w:i w:val="1"/>
                <w:rtl w:val="0"/>
              </w:rPr>
              <w:t xml:space="preserve">s. 154</w:t>
            </w:r>
            <w:r w:rsidDel="00000000" w:rsidR="00000000" w:rsidRPr="00000000">
              <w:rPr>
                <w:rtl w:val="0"/>
              </w:rPr>
              <w:t xml:space="preserve"> penalties.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RTA s. 154(5)(b):</w:t>
            </w:r>
            <w:r w:rsidDel="00000000" w:rsidR="00000000" w:rsidRPr="00000000">
              <w:rPr>
                <w:rtl w:val="0"/>
              </w:rPr>
              <w:t xml:space="preserve"> director may consider “the extent to which the contravention was deliberate or avoidable.”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Portal shows every other statutory document; Form 8 inexplicably absent → deliberate withholding; forces tenant to track two delivery channels; increases likelihood of tenant missing the deadline to appeal or object.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Seek daily penalty at the </w:t>
            </w:r>
            <w:r w:rsidDel="00000000" w:rsidR="00000000" w:rsidRPr="00000000">
              <w:rPr>
                <w:b w:val="1"/>
                <w:rtl w:val="0"/>
              </w:rPr>
              <w:t xml:space="preserve">upper tier</w:t>
            </w:r>
            <w:r w:rsidDel="00000000" w:rsidR="00000000" w:rsidRPr="00000000">
              <w:rPr>
                <w:rtl w:val="0"/>
              </w:rPr>
              <w:t xml:space="preserve"> ($25/day) and argue for an additional lump‑sum administrative penalty for misleading conduct under </w:t>
            </w:r>
            <w:r w:rsidDel="00000000" w:rsidR="00000000" w:rsidRPr="00000000">
              <w:rPr>
                <w:i w:val="1"/>
                <w:rtl w:val="0"/>
              </w:rPr>
              <w:t xml:space="preserve">s. 194(1)</w:t>
            </w:r>
            <w:r w:rsidDel="00000000" w:rsidR="00000000" w:rsidRPr="00000000">
              <w:rPr>
                <w:rtl w:val="0"/>
              </w:rPr>
              <w:t xml:space="preserve"> (false/misleading info to director).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#### 4 ▪ Immediate strategic uses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Notice to Admit (RTC Rule 11)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Thorwin to admit that (a) the portal is their standard document‑delivery channel, (b) Form 8 was never uploaded, and (c) they cannot produce your written consent to e‑service.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Cross‑examination exhibits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the portal index (page‑long list). Highlight: “NORI 2024‑01 .pdf” … </w:t>
      </w:r>
      <w:r w:rsidDel="00000000" w:rsidR="00000000" w:rsidRPr="00000000">
        <w:rPr>
          <w:i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 … “2024‑02‑26 RTB Order.pdf”.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Penalty brief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paragraph: “The landlord’s own portal shows it routinely posts every statutory notice—except the Form 8 at issue. This supports an inference of intent to limit tenant awareness and should weigh heavily in penalty quantum.”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 leverage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Framing angle: “Thorwin hides key legal notices while trumpeting rent hikes on its slick portal.”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#### 5 ▪ What would </w:t>
      </w:r>
      <w:r w:rsidDel="00000000" w:rsidR="00000000" w:rsidRPr="00000000">
        <w:rPr>
          <w:i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been a fatal flaw?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895.542615140286"/>
        <w:gridCol w:w="4464.457384859714"/>
        <w:tblGridChange w:id="0">
          <w:tblGrid>
            <w:gridCol w:w="4895.542615140286"/>
            <w:gridCol w:w="4464.457384859714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Form 8 </w:t>
            </w:r>
            <w:r w:rsidDel="00000000" w:rsidR="00000000" w:rsidRPr="00000000">
              <w:rPr>
                <w:b w:val="1"/>
                <w:rtl w:val="0"/>
              </w:rPr>
              <w:t xml:space="preserve">never served in any manner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tenant first receives it attached to landlord’s Form 9 filing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Notice void.</w:t>
            </w:r>
            <w:r w:rsidDel="00000000" w:rsidR="00000000" w:rsidRPr="00000000">
              <w:rPr>
                <w:rtl w:val="0"/>
              </w:rPr>
              <w:t xml:space="preserve"> Withdrawal invalid; amenity must stay or rent rollback in full.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Form 8 served </w:t>
            </w:r>
            <w:r w:rsidDel="00000000" w:rsidR="00000000" w:rsidRPr="00000000">
              <w:rPr>
                <w:b w:val="1"/>
                <w:rtl w:val="0"/>
              </w:rPr>
              <w:t xml:space="preserve">by e‑mail/portal</w:t>
            </w:r>
            <w:r w:rsidDel="00000000" w:rsidR="00000000" w:rsidRPr="00000000">
              <w:rPr>
                <w:rtl w:val="0"/>
              </w:rPr>
              <w:t xml:space="preserve"> without written tenant consent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Same as above—service ineffective until proper delivery.</w:t>
            </w:r>
          </w:p>
        </w:tc>
      </w:tr>
    </w:tbl>
    <w:p w:rsidR="00000000" w:rsidDel="00000000" w:rsidP="00000000" w:rsidRDefault="00000000" w:rsidRPr="00000000" w14:paraId="0000003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Keep collecting delivery evidence (envelope post‑mark, e‑mail headers, witness affidavit). If Thorwin cannot prove proper service, we can still press for “void notice” relief.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### Bottom line</w:t>
      </w:r>
    </w:p>
    <w:p w:rsidR="00000000" w:rsidDel="00000000" w:rsidP="00000000" w:rsidRDefault="00000000" w:rsidRPr="00000000" w14:paraId="00000037">
      <w:pPr>
        <w:spacing w:after="360" w:before="360" w:lineRule="auto"/>
        <w:rPr/>
      </w:pPr>
      <w:r w:rsidDel="00000000" w:rsidR="00000000" w:rsidRPr="00000000">
        <w:rPr>
          <w:i w:val="1"/>
          <w:rtl w:val="0"/>
        </w:rPr>
        <w:t xml:space="preserve">The missing Form 8 on the portal is </w:t>
      </w:r>
      <w:r w:rsidDel="00000000" w:rsidR="00000000" w:rsidRPr="00000000">
        <w:rPr>
          <w:b w:val="1"/>
          <w:i w:val="1"/>
          <w:rtl w:val="0"/>
        </w:rPr>
        <w:t xml:space="preserve">not automatically fatal</w:t>
      </w:r>
      <w:r w:rsidDel="00000000" w:rsidR="00000000" w:rsidRPr="00000000">
        <w:rPr>
          <w:i w:val="1"/>
          <w:rtl w:val="0"/>
        </w:rPr>
        <w:t xml:space="preserve"> to Thorwin’s notice, but it is a </w:t>
      </w:r>
      <w:r w:rsidDel="00000000" w:rsidR="00000000" w:rsidRPr="00000000">
        <w:rPr>
          <w:b w:val="1"/>
          <w:i w:val="1"/>
          <w:rtl w:val="0"/>
        </w:rPr>
        <w:t xml:space="preserve">useful piece of circumstantial proof</w:t>
      </w:r>
      <w:r w:rsidDel="00000000" w:rsidR="00000000" w:rsidRPr="00000000">
        <w:rPr>
          <w:i w:val="1"/>
          <w:rtl w:val="0"/>
        </w:rPr>
        <w:t xml:space="preserve"> of deliberate concealment and strengthens our request for heightened administrative penalties and credibility attacks at hearing.</w:t>
      </w:r>
      <w:r w:rsidDel="00000000" w:rsidR="00000000" w:rsidRPr="00000000">
        <w:rPr>
          <w:rtl w:val="0"/>
        </w:rPr>
        <w:t xml:space="preserve"> Use it aggressively in the upcoming </w:t>
      </w:r>
      <w:r w:rsidDel="00000000" w:rsidR="00000000" w:rsidRPr="00000000">
        <w:rPr>
          <w:b w:val="1"/>
          <w:rtl w:val="0"/>
        </w:rPr>
        <w:t xml:space="preserve">Notice‑to‑Admit, penalty motion, and cross‑examination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