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/>
      </w:pPr>
      <w:r w:rsidDel="00000000" w:rsidR="00000000" w:rsidRPr="00000000">
        <w:rPr>
          <w:rtl w:val="0"/>
        </w:rPr>
        <w:t xml:space="preserve">Below is a ready-to-paste package for the </w:t>
      </w:r>
      <w:r w:rsidDel="00000000" w:rsidR="00000000" w:rsidRPr="00000000">
        <w:rPr>
          <w:b w:val="1"/>
          <w:rtl w:val="0"/>
        </w:rPr>
        <w:t xml:space="preserve">Master Case File v2025-07-05i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u5omf3ikxn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§ III Legal Theory →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Compliance Orders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rqx8hd1kyr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Officer Hazell Compliance-Review Rebuttal (v2025-08-10a)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297.4102964118565"/>
        <w:gridCol w:w="4151.8876755070205"/>
        <w:gridCol w:w="2910.7020280811234"/>
        <w:tblGridChange w:id="0">
          <w:tblGrid>
            <w:gridCol w:w="2297.4102964118565"/>
            <w:gridCol w:w="4151.8876755070205"/>
            <w:gridCol w:w="2910.7020280811234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IRAC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Authority /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 1 – Statutory-interest omission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Hazell accepted Thorwin’s $640 lump-sum refund and found “no contraventions.” He ignored </w:t>
            </w:r>
            <w:r w:rsidDel="00000000" w:rsidR="00000000" w:rsidRPr="00000000">
              <w:rPr>
                <w:b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  <w:t xml:space="preserve"> interest on over-rent dating from 1 Feb 2024.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Residential Tenancies Act</w:t>
            </w:r>
            <w:r w:rsidDel="00000000" w:rsidR="00000000" w:rsidRPr="00000000">
              <w:rPr>
                <w:rtl w:val="0"/>
              </w:rPr>
              <w:t xml:space="preserve"> (“RTA”) s 158(2); Hazell decision email, 18 Jun 2025 (¶22-24)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Interest </w:t>
            </w:r>
            <w:r w:rsidDel="00000000" w:rsidR="00000000" w:rsidRPr="00000000">
              <w:rPr>
                <w:b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accrue on any rent ordered to be repaid; parties may not waive 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RTA s 158(2)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Thorwin’s ledger and Richardson memo show only principal refunded; interest line still $0.00.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Richardson “Ledger Breakdown” email, 2 Jun 2025 (excerpt)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 / Remedy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Interest owing Feb 2024 → present (see updated Schedule 1); seek Director-imposed </w:t>
            </w:r>
            <w:r w:rsidDel="00000000" w:rsidR="00000000" w:rsidRPr="00000000">
              <w:rPr>
                <w:b w:val="1"/>
                <w:rtl w:val="0"/>
              </w:rPr>
              <w:t xml:space="preserve">s 155 administrative-penalty</w:t>
            </w:r>
            <w:r w:rsidDel="00000000" w:rsidR="00000000" w:rsidRPr="00000000">
              <w:rPr>
                <w:rtl w:val="0"/>
              </w:rPr>
              <w:t xml:space="preserve"> for continued breach.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Issue 2 – Ledger falsification &amp; director bias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Hazell relied on Thorwin’s ledger despite internal e-mails admitting “math is just showing…instead of $1,309.” This masks a $26/mo over-rent Oct 2024 → Jan 2025. | Hazell memo lines 16-18; Richardson email lines 20-23 |</w:t>
        <w:br w:type="textWrapping"/>
        <w:t xml:space="preserve"> |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 | • RTA s 140(3) – falsifying rent records is an offence. • Decision-maker must base findings on reliable evidence (</w:t>
      </w:r>
      <w:r w:rsidDel="00000000" w:rsidR="00000000" w:rsidRPr="00000000">
        <w:rPr>
          <w:i w:val="1"/>
          <w:rtl w:val="0"/>
        </w:rPr>
        <w:t xml:space="preserve">Vavilov</w:t>
      </w:r>
      <w:r w:rsidDel="00000000" w:rsidR="00000000" w:rsidRPr="00000000">
        <w:rPr>
          <w:rtl w:val="0"/>
        </w:rPr>
        <w:t xml:space="preserve"> principle of justification &amp; intelligibility). | |</w:t>
        <w:br w:type="textWrapping"/>
        <w:t xml:space="preserve"> | </w:t>
      </w: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| Hazell adopted the landlord’s figures wholesale and dismissed the tenant’s forensic review, revealing institutional bias and failure to scrutinise manipulated entries. | Hazell decision ¶1-6 |</w:t>
        <w:br w:type="textWrapping"/>
        <w:t xml:space="preserve"> | </w:t>
      </w:r>
      <w:r w:rsidDel="00000000" w:rsidR="00000000" w:rsidRPr="00000000">
        <w:rPr>
          <w:b w:val="1"/>
          <w:rtl w:val="0"/>
        </w:rPr>
        <w:t xml:space="preserve">Conclusion / Remedy</w:t>
      </w:r>
      <w:r w:rsidDel="00000000" w:rsidR="00000000" w:rsidRPr="00000000">
        <w:rPr>
          <w:rtl w:val="0"/>
        </w:rPr>
        <w:t xml:space="preserve"> | • File </w:t>
      </w:r>
      <w:r w:rsidDel="00000000" w:rsidR="00000000" w:rsidRPr="00000000">
        <w:rPr>
          <w:b w:val="1"/>
          <w:rtl w:val="0"/>
        </w:rPr>
        <w:t xml:space="preserve">RTC Form 2</w:t>
      </w:r>
      <w:r w:rsidDel="00000000" w:rsidR="00000000" w:rsidRPr="00000000">
        <w:rPr>
          <w:rtl w:val="0"/>
        </w:rPr>
        <w:t xml:space="preserve"> appeal (deadline 16 Jul 2025). • Request forensic Yardi audit and </w:t>
      </w:r>
      <w:r w:rsidDel="00000000" w:rsidR="00000000" w:rsidRPr="00000000">
        <w:rPr>
          <w:b w:val="1"/>
          <w:rtl w:val="0"/>
        </w:rPr>
        <w:t xml:space="preserve">RCMP fraud addendum</w:t>
      </w:r>
      <w:r w:rsidDel="00000000" w:rsidR="00000000" w:rsidRPr="00000000">
        <w:rPr>
          <w:rtl w:val="0"/>
        </w:rPr>
        <w:t xml:space="preserve">. • Add Hazell episode to Ombudsman systemic-bias complaint. | Rebuttal memo action list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ingg4lc6n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A – Violation Matrix (add as V-026)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55.8788974243109"/>
        <w:gridCol w:w="1958.2828739267961"/>
        <w:gridCol w:w="1983.6601897876187"/>
        <w:gridCol w:w="1666.4437415273387"/>
        <w:gridCol w:w="2795.734297333936"/>
        <w:tblGridChange w:id="0">
          <w:tblGrid>
            <w:gridCol w:w="955.8788974243109"/>
            <w:gridCol w:w="1958.2828739267961"/>
            <w:gridCol w:w="1983.6601897876187"/>
            <w:gridCol w:w="1666.4437415273387"/>
            <w:gridCol w:w="2795.734297333936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Statute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Remedy Sought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Director bias &amp; ledger falsification</w:t>
            </w:r>
            <w:r w:rsidDel="00000000" w:rsidR="00000000" w:rsidRPr="00000000">
              <w:rPr>
                <w:rtl w:val="0"/>
              </w:rPr>
              <w:t xml:space="preserve"> – Officer Hazell adopted landlord’s self-styled ledger despite acknowledged errors, resulting in interest-free “compliance” finding.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RTA s 155 &amp; s 140(3); </w:t>
            </w:r>
            <w:r w:rsidDel="00000000" w:rsidR="00000000" w:rsidRPr="00000000">
              <w:rPr>
                <w:i w:val="1"/>
                <w:rtl w:val="0"/>
              </w:rPr>
              <w:t xml:space="preserve">Administrative Law</w:t>
            </w:r>
            <w:r w:rsidDel="00000000" w:rsidR="00000000" w:rsidRPr="00000000">
              <w:rPr>
                <w:rtl w:val="0"/>
              </w:rPr>
              <w:t xml:space="preserve"> principles (</w:t>
            </w:r>
            <w:r w:rsidDel="00000000" w:rsidR="00000000" w:rsidRPr="00000000">
              <w:rPr>
                <w:i w:val="1"/>
                <w:rtl w:val="0"/>
              </w:rPr>
              <w:t xml:space="preserve">Vavilov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Hazell Compliance Review email (18 Jun 2025) • Richardson Ledger Memo (2 Jun 2025)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RTC appeal to rescind Order W2025WRR-000040 • s 155 penalty vs. landlord (interest) • Forensic ledger audit • Ombudsman referral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lnp6ykn1b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Schedule 1 – Interest &amp; Over-Rent Update (extract)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3600.734693877551"/>
        <w:gridCol w:w="1867.2244897959183"/>
        <w:gridCol w:w="2239.714285714286"/>
        <w:gridCol w:w="1652.3265306122448"/>
        <w:tblGridChange w:id="0">
          <w:tblGrid>
            <w:gridCol w:w="3600.734693877551"/>
            <w:gridCol w:w="1867.2244897959183"/>
            <w:gridCol w:w="2239.714285714286"/>
            <w:gridCol w:w="1652.3265306122448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Principal O/S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Statutory Interest†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Feb 2024 → 30 Apr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$384.00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$12.47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$396.47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May 2024 → 30 Jun 2024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$256.00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$263.86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Oct 2024 → Jan 2025 (over-rent $26 × 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$104.00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$106.72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$744.00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$767.05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† Interest calculated at RTB-posted rate 1.5 % p.a., compounding annually; update automatically each quarter.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zqi5ltw7d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 Log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36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v2025-08-10a</w:t>
      </w:r>
      <w:r w:rsidDel="00000000" w:rsidR="00000000" w:rsidRPr="00000000">
        <w:rPr>
          <w:rtl w:val="0"/>
        </w:rPr>
        <w:t xml:space="preserve"> – Integrated Hazell Rebuttal memo into § III (Compliance Orders); created </w:t>
      </w:r>
      <w:r w:rsidDel="00000000" w:rsidR="00000000" w:rsidRPr="00000000">
        <w:rPr>
          <w:b w:val="1"/>
          <w:rtl w:val="0"/>
        </w:rPr>
        <w:t xml:space="preserve">V-026</w:t>
      </w:r>
      <w:r w:rsidDel="00000000" w:rsidR="00000000" w:rsidRPr="00000000">
        <w:rPr>
          <w:rtl w:val="0"/>
        </w:rPr>
        <w:t xml:space="preserve"> (Director bias &amp; ledger falsification); refreshed Schedule 1 to include accrued interest &amp; over-rent.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60" w:befor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Paste the above blocks into the Master Case File: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Legal Theory § III → Compliance Orders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Appendix 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Schedule 1 excerpt or embed as a new table (Excel link maintained).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Master Case File version to </w:t>
      </w:r>
      <w:r w:rsidDel="00000000" w:rsidR="00000000" w:rsidRPr="00000000">
        <w:rPr>
          <w:b w:val="1"/>
          <w:rtl w:val="0"/>
        </w:rPr>
        <w:t xml:space="preserve">v2025-08-10a</w:t>
      </w:r>
      <w:r w:rsidDel="00000000" w:rsidR="00000000" w:rsidRPr="00000000">
        <w:rPr>
          <w:rtl w:val="0"/>
        </w:rPr>
        <w:t xml:space="preserve"> and circulate PDF.</w:t>
        <w:br w:type="textWrapping"/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text is styled to match existing headings and tables in the Master File; no further re-formatting should be required.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