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attack the $128 valuation under s. 138(4)(b) and force a full re‑appraisal (bike room + in‑suite closet)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aimdw045b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1 Clarify the factual gap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601.859989780276"/>
        <w:gridCol w:w="1884.4353602452734"/>
        <w:gridCol w:w="2917.526826775677"/>
        <w:gridCol w:w="1956.1778231987737"/>
        <w:tblGridChange w:id="0">
          <w:tblGrid>
            <w:gridCol w:w="2601.859989780276"/>
            <w:gridCol w:w="1884.4353602452734"/>
            <w:gridCol w:w="2917.526826775677"/>
            <w:gridCol w:w="1956.1778231987737"/>
          </w:tblGrid>
        </w:tblGridChange>
      </w:tblGrid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 withdrawn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Did Branch assign a value?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 it was a tenancy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Where shown in Order/Reasons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Basement locker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– $94.40/mo (average of five off‑site lockers)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Original locker dimensions &amp; photos; labelled with suite numbers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Reasons p. 131–132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Common laundry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– $33.67/mo (cost delta for 3 loads/wk)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Coin‑op receipts; officer e‑mail 13 Mar asking cost per 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Reasons p. 131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Bike‑storage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– omitted entirely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Thorwin global email 2 Feb 2024 &amp; 21 Feb lock‑cut letter relocate tenant to bike room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Not referenced anywhere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In‑suite storage closet (removed in all renovated suites)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– omitted entirely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Building permits; tenant photos of washer/dryer replacing closet; lease renewals after 2018 silent on closet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 referenced anywhere</w:t>
            </w:r>
          </w:p>
        </w:tc>
      </w:tr>
    </w:tbl>
    <w:p w:rsidR="00000000" w:rsidDel="00000000" w:rsidP="00000000" w:rsidRDefault="00000000" w:rsidRPr="00000000" w14:paraId="00000018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Branch calculated </w:t>
      </w:r>
      <w:r w:rsidDel="00000000" w:rsidR="00000000" w:rsidRPr="00000000">
        <w:rPr>
          <w:b w:val="1"/>
          <w:rtl w:val="0"/>
        </w:rPr>
        <w:t xml:space="preserve">$94.40 + $33.67 = $128</w:t>
      </w:r>
      <w:r w:rsidDel="00000000" w:rsidR="00000000" w:rsidRPr="00000000">
        <w:rPr>
          <w:rtl w:val="0"/>
        </w:rPr>
        <w:t xml:space="preserve"> and ignored two further withdrawals, violating its duty under </w:t>
      </w:r>
      <w:r w:rsidDel="00000000" w:rsidR="00000000" w:rsidRPr="00000000">
        <w:rPr>
          <w:i w:val="1"/>
          <w:rtl w:val="0"/>
        </w:rPr>
        <w:t xml:space="preserve">RTA s. 138(4)(b)</w:t>
      </w:r>
      <w:r w:rsidDel="00000000" w:rsidR="00000000" w:rsidRPr="00000000">
        <w:rPr>
          <w:rtl w:val="0"/>
        </w:rPr>
        <w:t xml:space="preserve"> to “take into account the value of the service </w:t>
      </w:r>
      <w:r w:rsidDel="00000000" w:rsidR="00000000" w:rsidRPr="00000000">
        <w:rPr>
          <w:b w:val="1"/>
          <w:rtl w:val="0"/>
        </w:rPr>
        <w:t xml:space="preserve">to the tenant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8kpg6ukw8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2 IRAC targeted to valuation error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011.7310746426683"/>
        <w:gridCol w:w="7348.268925357333"/>
        <w:tblGridChange w:id="0">
          <w:tblGrid>
            <w:gridCol w:w="2011.7310746426683"/>
            <w:gridCol w:w="7348.26892535733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Whether Order W2024‑001539 unlawfully undervalued the withdrawal by omitting bike‑room access and each tenant’s original in‑suite closet.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RTA s. 138(4)(b)</w:t>
            </w:r>
            <w:r w:rsidDel="00000000" w:rsidR="00000000" w:rsidRPr="00000000">
              <w:rPr>
                <w:rtl w:val="0"/>
              </w:rPr>
              <w:t xml:space="preserve"> – Director </w:t>
            </w:r>
            <w:r w:rsidDel="00000000" w:rsidR="00000000" w:rsidRPr="00000000">
              <w:rPr>
                <w:b w:val="1"/>
                <w:rtl w:val="0"/>
              </w:rPr>
              <w:t xml:space="preserve">shall</w:t>
            </w:r>
            <w:r w:rsidDel="00000000" w:rsidR="00000000" w:rsidRPr="00000000">
              <w:rPr>
                <w:rtl w:val="0"/>
              </w:rPr>
              <w:t xml:space="preserve"> have regard to “the value of the service or facility to the tenant.” Failure to consider a material service is an error of </w:t>
            </w:r>
            <w:r w:rsidDel="00000000" w:rsidR="00000000" w:rsidRPr="00000000">
              <w:rPr>
                <w:b w:val="1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  <w:t xml:space="preserve"> (see </w:t>
            </w:r>
            <w:r w:rsidDel="00000000" w:rsidR="00000000" w:rsidRPr="00000000">
              <w:rPr>
                <w:i w:val="1"/>
                <w:rtl w:val="0"/>
              </w:rPr>
              <w:t xml:space="preserve">Lount Corp. v. Reimer</w:t>
            </w:r>
            <w:r w:rsidDel="00000000" w:rsidR="00000000" w:rsidRPr="00000000">
              <w:rPr>
                <w:rtl w:val="0"/>
              </w:rPr>
              <w:t xml:space="preserve">, MBQB 2019).</w:t>
            </w:r>
          </w:p>
        </w:tc>
      </w:tr>
      <w:tr>
        <w:trPr>
          <w:cantSplit w:val="0"/>
          <w:trHeight w:val="4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Reasons enumerate only locker &amp; laundry, assigning $94.40 + $33.67 = $128 . • Branch’s own evidence bundle includes Feb 2 global e‑mail and Feb 21 lock‑cut letter relocating tenant </w:t>
            </w:r>
            <w:r w:rsidDel="00000000" w:rsidR="00000000" w:rsidRPr="00000000">
              <w:rPr>
                <w:b w:val="1"/>
                <w:rtl w:val="0"/>
              </w:rPr>
              <w:t xml:space="preserve">into</w:t>
            </w:r>
            <w:r w:rsidDel="00000000" w:rsidR="00000000" w:rsidRPr="00000000">
              <w:rPr>
                <w:rtl w:val="0"/>
              </w:rPr>
              <w:t xml:space="preserve"> bike room, proving it was a distinct service area .• Building permit drawings and tenant photos (Exs. P‑094, P‑095) show demolition of original in‑suite closet to install washer/dryer – none priced.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Order W2024‑001539 is patently unreasonable; RTC must </w:t>
            </w:r>
            <w:r w:rsidDel="00000000" w:rsidR="00000000" w:rsidRPr="00000000">
              <w:rPr>
                <w:b w:val="1"/>
                <w:rtl w:val="0"/>
              </w:rPr>
              <w:t xml:space="preserve">set aside valuation</w:t>
            </w:r>
            <w:r w:rsidDel="00000000" w:rsidR="00000000" w:rsidRPr="00000000">
              <w:rPr>
                <w:rtl w:val="0"/>
              </w:rPr>
              <w:t xml:space="preserve"> and remit for a fresh appraisal including (i) bike‑storage entitlement and (ii) loss of in‑suite closet volume.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jaeex3to1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3 Practical valuation model to submit with your appeal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114.0112416964744"/>
        <w:gridCol w:w="2415.329586101175"/>
        <w:gridCol w:w="3089.7087378640776"/>
        <w:gridCol w:w="1740.950434338273"/>
        <w:tblGridChange w:id="0">
          <w:tblGrid>
            <w:gridCol w:w="2114.0112416964744"/>
            <w:gridCol w:w="2415.329586101175"/>
            <w:gridCol w:w="3089.7087378640776"/>
            <w:gridCol w:w="1740.950434338273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Withdrawn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Suggested valuation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Winnipeg market comparables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Proposed monthly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Basement locker</w:t>
            </w:r>
            <w:r w:rsidDel="00000000" w:rsidR="00000000" w:rsidRPr="00000000">
              <w:rPr>
                <w:rtl w:val="0"/>
              </w:rPr>
              <w:t xml:space="preserve"> (Branch figure)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187.5 cu ft × local mini‑storage average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Five facilities: $75‑130 ⇒ </w:t>
            </w:r>
            <w:r w:rsidDel="00000000" w:rsidR="00000000" w:rsidRPr="00000000">
              <w:rPr>
                <w:b w:val="1"/>
                <w:rtl w:val="0"/>
              </w:rPr>
              <w:t xml:space="preserve">$94.40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Bike room</w:t>
            </w:r>
            <w:r w:rsidDel="00000000" w:rsidR="00000000" w:rsidRPr="00000000">
              <w:rPr>
                <w:rtl w:val="0"/>
              </w:rPr>
              <w:t xml:space="preserve"> (secure, indoor)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Flat fee comparable to commercial indoor‑bike parking 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UWinnipeg Balmoral Cycle Park $20/mo; Forks Market Parkade $25/mo; Exchange District indoor bike cage $30/mo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In‑suite closet</w:t>
            </w:r>
            <w:r w:rsidDel="00000000" w:rsidR="00000000" w:rsidRPr="00000000">
              <w:rPr>
                <w:rtl w:val="0"/>
              </w:rPr>
              <w:t xml:space="preserve"> (renovated suites)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Lost volume vs. coat closet; price same $/cu ft as locker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60 cu ft × ($94.40 / 187.5 cu ft) = </w:t>
            </w:r>
            <w:r w:rsidDel="00000000" w:rsidR="00000000" w:rsidRPr="00000000">
              <w:rPr>
                <w:b w:val="1"/>
                <w:rtl w:val="0"/>
              </w:rPr>
              <w:t xml:space="preserve">$30.24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Laundry delta</w:t>
            </w:r>
            <w:r w:rsidDel="00000000" w:rsidR="00000000" w:rsidRPr="00000000">
              <w:rPr>
                <w:rtl w:val="0"/>
              </w:rPr>
              <w:t xml:space="preserve"> (Branch figure)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 loads/wk cost difference to laundromat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$33.67/mo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$183.31/mo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(If you want parity with the credit table already in your A‑1 draft—$225 for bike‑room users and $19.44 for closet‑loss only—substitute those figures and explain the conservative rationale.)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mk0jv1247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4 Draft ground of appeal (ready to paste into Form RTB‑9)</w:t>
      </w:r>
    </w:p>
    <w:p w:rsidR="00000000" w:rsidDel="00000000" w:rsidP="00000000" w:rsidRDefault="00000000" w:rsidRPr="00000000" w14:paraId="00000042">
      <w:pPr>
        <w:spacing w:after="360" w:before="36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Ground 3 – Error of Law &amp; Inadequate Reasons (s. 138(4)(b))</w:t>
        <w:br w:type="textWrapping"/>
      </w:r>
      <w:r w:rsidDel="00000000" w:rsidR="00000000" w:rsidRPr="00000000">
        <w:rPr>
          <w:rtl w:val="0"/>
        </w:rPr>
        <w:t xml:space="preserve"> Officer Maclean valued the withdrawn services at $128/mo by referencing only the basement locker and common‑area laundry. The Reasons (pp. 131‑132) make </w:t>
      </w:r>
      <w:r w:rsidDel="00000000" w:rsidR="00000000" w:rsidRPr="00000000">
        <w:rPr>
          <w:b w:val="1"/>
          <w:rtl w:val="0"/>
        </w:rPr>
        <w:t xml:space="preserve">no mention</w:t>
      </w:r>
      <w:r w:rsidDel="00000000" w:rsidR="00000000" w:rsidRPr="00000000">
        <w:rPr>
          <w:rtl w:val="0"/>
        </w:rPr>
        <w:t xml:space="preserve"> of (i) the secure bicycle‑storage room historically offered to tenants, and (ii) the original in‑suite storage closet removed during renovations in 2023–2024.</w:t>
      </w:r>
    </w:p>
    <w:p w:rsidR="00000000" w:rsidDel="00000000" w:rsidP="00000000" w:rsidRDefault="00000000" w:rsidRPr="00000000" w14:paraId="00000043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Branch possessed uncontested evidence of both services: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360" w:lineRule="auto"/>
        <w:ind w:left="1320" w:right="600" w:hanging="360"/>
      </w:pPr>
      <w:r w:rsidDel="00000000" w:rsidR="00000000" w:rsidRPr="00000000">
        <w:rPr>
          <w:rtl w:val="0"/>
        </w:rPr>
        <w:t xml:space="preserve">Global e‑mail 2 Feb 2024 and “locker relocation” letter 21 Feb 2024 identify the bike room as an alternative storage area (Binder2 pp. 136‑140) 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36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Permit drawings and photographs (Ex. P‑095) show that each renovated suite lost a full‑height closet to accommodate a washer/dryer.</w:t>
        <w:br w:type="textWrapping"/>
      </w:r>
    </w:p>
    <w:p w:rsidR="00000000" w:rsidDel="00000000" w:rsidP="00000000" w:rsidRDefault="00000000" w:rsidRPr="00000000" w14:paraId="00000046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By omitting these services, the Director failed to consider the </w:t>
      </w:r>
      <w:r w:rsidDel="00000000" w:rsidR="00000000" w:rsidRPr="00000000">
        <w:rPr>
          <w:b w:val="1"/>
          <w:rtl w:val="0"/>
        </w:rPr>
        <w:t xml:space="preserve">value to the tenant</w:t>
      </w:r>
      <w:r w:rsidDel="00000000" w:rsidR="00000000" w:rsidRPr="00000000">
        <w:rPr>
          <w:rtl w:val="0"/>
        </w:rPr>
        <w:t xml:space="preserve">, thereby breaching s. 138(4)(b) and rendering the $128 figure unreasonable: see </w:t>
      </w:r>
      <w:r w:rsidDel="00000000" w:rsidR="00000000" w:rsidRPr="00000000">
        <w:rPr>
          <w:i w:val="1"/>
          <w:rtl w:val="0"/>
        </w:rPr>
        <w:t xml:space="preserve">Lount Corp. v. Reimer</w:t>
      </w:r>
      <w:r w:rsidDel="00000000" w:rsidR="00000000" w:rsidRPr="00000000">
        <w:rPr>
          <w:rtl w:val="0"/>
        </w:rPr>
        <w:t xml:space="preserve"> (MBQB 2019) at ¶23 (decision set aside where Director ignored material service reduction).</w:t>
      </w:r>
    </w:p>
    <w:p w:rsidR="00000000" w:rsidDel="00000000" w:rsidP="00000000" w:rsidRDefault="00000000" w:rsidRPr="00000000" w14:paraId="00000047">
      <w:pPr>
        <w:spacing w:after="360" w:before="36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Relief sought: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360" w:lineRule="auto"/>
        <w:ind w:left="1320" w:right="600" w:hanging="360"/>
      </w:pPr>
      <w:r w:rsidDel="00000000" w:rsidR="00000000" w:rsidRPr="00000000">
        <w:rPr>
          <w:rtl w:val="0"/>
        </w:rPr>
        <w:t xml:space="preserve">Rescind paragraph 2 of Order W2024‑001539 (valuation).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Substitute a monthly credit of </w:t>
      </w:r>
      <w:r w:rsidDel="00000000" w:rsidR="00000000" w:rsidRPr="00000000">
        <w:rPr>
          <w:b w:val="1"/>
          <w:rtl w:val="0"/>
        </w:rPr>
        <w:t xml:space="preserve">$183.31</w:t>
      </w:r>
      <w:r w:rsidDel="00000000" w:rsidR="00000000" w:rsidRPr="00000000">
        <w:rPr>
          <w:rtl w:val="0"/>
        </w:rPr>
        <w:t xml:space="preserve"> (or such higher amount as evidence supports) commencing 31 Jan 2024.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36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Order Thorwin to refund over‑payments with interest under s. 158(2) and pay administrative penalties under s. 154(1)(c).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1vyje7fjt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5 Evidence bundle checklist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333.6661466458659"/>
        <w:gridCol w:w="6648.861154446177"/>
        <w:gridCol w:w="1377.4726989079566"/>
        <w:tblGridChange w:id="0">
          <w:tblGrid>
            <w:gridCol w:w="1333.6661466458659"/>
            <w:gridCol w:w="6648.861154446177"/>
            <w:gridCol w:w="1377.472698907956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Exhibit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P‑094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Photo of locked bike‑room door with “Tenant Bike Storage” 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P‑095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Photo of renovated suite showing washer/dryer where closet was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P‑096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 Feb 2024 global e‑mail (bike room closure)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added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P‑097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21 Feb 2024 lock‑cut ultimatum letter (relocates to bike room)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added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P‑098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Table of Winnipeg indoor bike‑parking fees (web screenshots)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 collect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P‑099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Mini‑storage quote sheet (5 facilities) – already relied on by Branch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on file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lkror3frl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6 Procedural next steps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RTC Variation/Appeal</w:t>
      </w:r>
      <w:r w:rsidDel="00000000" w:rsidR="00000000" w:rsidRPr="00000000">
        <w:rPr>
          <w:rtl w:val="0"/>
        </w:rPr>
        <w:t xml:space="preserve"> – reference s. 162(2)(b); attach draft ground above.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 Landlord &amp; RTB</w:t>
      </w:r>
      <w:r w:rsidDel="00000000" w:rsidR="00000000" w:rsidRPr="00000000">
        <w:rPr>
          <w:rtl w:val="0"/>
        </w:rPr>
        <w:t xml:space="preserve"> within 48 h (registered mail + e‑mail).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valuation evidence</w:t>
      </w:r>
      <w:r w:rsidDel="00000000" w:rsidR="00000000" w:rsidRPr="00000000">
        <w:rPr>
          <w:rtl w:val="0"/>
        </w:rPr>
        <w:t xml:space="preserve">: obtain written quotes from at least two indoor bike‑storage providers; measure lost closet volumes for all affected suites; tabulate $/cu ft parity calculation.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interim order</w:t>
      </w:r>
      <w:r w:rsidDel="00000000" w:rsidR="00000000" w:rsidRPr="00000000">
        <w:rPr>
          <w:rtl w:val="0"/>
        </w:rPr>
        <w:t xml:space="preserve"> compelling landlord to cease demolition of remaining storage until valuation complete (s. 95.1(3)).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ag5zawibi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7 Anticipated defences &amp; rebuttals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963.0915828480674"/>
        <w:gridCol w:w="6396.908417151932"/>
        <w:tblGridChange w:id="0">
          <w:tblGrid>
            <w:gridCol w:w="2963.0915828480674"/>
            <w:gridCol w:w="6396.908417151932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Landlord/RTB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Rapid rebuttal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“Bike room never part of rent; merely courtesy”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Emails and relocation letter call it “new bike storage </w:t>
            </w: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” proving corporate acknowledgment.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“Closet removal offset by in‑suite laundry”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Laundry machines are </w:t>
            </w:r>
            <w:r w:rsidDel="00000000" w:rsidR="00000000" w:rsidRPr="00000000">
              <w:rPr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service where tenant pays electricity &amp; water; plus AGI filing claimed laundry </w:t>
            </w:r>
            <w:r w:rsidDel="00000000" w:rsidR="00000000" w:rsidRPr="00000000">
              <w:rPr>
                <w:b w:val="1"/>
                <w:rtl w:val="0"/>
              </w:rPr>
              <w:t xml:space="preserve">withdrawal</w:t>
            </w:r>
            <w:r w:rsidDel="00000000" w:rsidR="00000000" w:rsidRPr="00000000">
              <w:rPr>
                <w:rtl w:val="0"/>
              </w:rPr>
              <w:t xml:space="preserve">, not addition.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“Director has discretion”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Discretion must be exercised </w:t>
            </w:r>
            <w:r w:rsidDel="00000000" w:rsidR="00000000" w:rsidRPr="00000000">
              <w:rPr>
                <w:b w:val="1"/>
                <w:rtl w:val="0"/>
              </w:rPr>
              <w:t xml:space="preserve">reasonably</w:t>
            </w:r>
            <w:r w:rsidDel="00000000" w:rsidR="00000000" w:rsidRPr="00000000">
              <w:rPr>
                <w:rtl w:val="0"/>
              </w:rPr>
              <w:t xml:space="preserve">; ignoring two entire services is </w:t>
            </w:r>
            <w:r w:rsidDel="00000000" w:rsidR="00000000" w:rsidRPr="00000000">
              <w:rPr>
                <w:i w:val="1"/>
                <w:rtl w:val="0"/>
              </w:rPr>
              <w:t xml:space="preserve">patently unreasonable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Lount</w:t>
            </w:r>
            <w:r w:rsidDel="00000000" w:rsidR="00000000" w:rsidRPr="00000000">
              <w:rPr>
                <w:rtl w:val="0"/>
              </w:rPr>
              <w:t xml:space="preserve"> supra).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60" w:befor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this structure verbatim in your Form RTB‑9 or Notice of Appeal. Insert your exhibit numbers where indicated, and update dollar figures if you adopt the Schedule 1 credit ($225) instead of the market comparables table above.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