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ggrf5vrsski7" w:id="0"/>
      <w:bookmarkEnd w:id="0"/>
      <w:r w:rsidDel="00000000" w:rsidR="00000000" w:rsidRPr="00000000">
        <w:rPr>
          <w:b w:val="1"/>
          <w:color w:val="000000"/>
          <w:sz w:val="26"/>
          <w:szCs w:val="26"/>
          <w:rtl w:val="0"/>
        </w:rPr>
        <w:t xml:space="preserve">Effect of “No Locker Clause” in the Written Leases</w:t>
      </w:r>
    </w:p>
    <w:p w:rsidR="00000000" w:rsidDel="00000000" w:rsidP="00000000" w:rsidRDefault="00000000" w:rsidRPr="00000000" w14:paraId="00000002">
      <w:pPr>
        <w:spacing w:after="360" w:before="360" w:lineRule="auto"/>
        <w:rPr>
          <w:i w:val="1"/>
        </w:rPr>
      </w:pPr>
      <w:r w:rsidDel="00000000" w:rsidR="00000000" w:rsidRPr="00000000">
        <w:rPr>
          <w:i w:val="1"/>
          <w:rtl w:val="0"/>
        </w:rPr>
        <w:t xml:space="preserve">(Application of RTA (Manitoba) s. 7(5), ss. 138‑139, and established RTB/RTC precedent)</w:t>
      </w:r>
    </w:p>
    <w:tbl>
      <w:tblPr>
        <w:tblStyle w:val="Table1"/>
        <w:tblW w:w="9360.0" w:type="dxa"/>
        <w:jc w:val="left"/>
        <w:tblLayout w:type="fixed"/>
        <w:tblLook w:val="0600"/>
      </w:tblPr>
      <w:tblGrid>
        <w:gridCol w:w="2011.7310746426683"/>
        <w:gridCol w:w="7348.268925357333"/>
        <w:tblGridChange w:id="0">
          <w:tblGrid>
            <w:gridCol w:w="2011.7310746426683"/>
            <w:gridCol w:w="7348.268925357333"/>
          </w:tblGrid>
        </w:tblGridChange>
      </w:tblGrid>
      <w:tr>
        <w:trPr>
          <w:cantSplit w:val="0"/>
          <w:trHeight w:val="6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rtl w:val="0"/>
              </w:rPr>
              <w:t xml:space="preserve">Step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rtl w:val="0"/>
              </w:rPr>
              <w:t xml:space="preserve">Analysis</w:t>
            </w:r>
            <w:r w:rsidDel="00000000" w:rsidR="00000000" w:rsidRPr="00000000">
              <w:rPr>
                <w:rtl w:val="0"/>
              </w:rPr>
            </w:r>
          </w:p>
        </w:tc>
      </w:tr>
      <w:tr>
        <w:trPr>
          <w:cantSplit w:val="0"/>
          <w:trHeight w:val="28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rtl w:val="0"/>
              </w:rPr>
              <w:t xml:space="preserve">Issue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Does the fact that Kathryn Ateah, Julie Laube &amp; Kodi Gilchrist, and Daniel Chung had </w:t>
            </w:r>
            <w:r w:rsidDel="00000000" w:rsidR="00000000" w:rsidRPr="00000000">
              <w:rPr>
                <w:b w:val="1"/>
                <w:rtl w:val="0"/>
              </w:rPr>
              <w:t xml:space="preserve">no express locker clause</w:t>
            </w:r>
            <w:r w:rsidDel="00000000" w:rsidR="00000000" w:rsidRPr="00000000">
              <w:rPr>
                <w:rtl w:val="0"/>
              </w:rPr>
              <w:t xml:space="preserve"> in their written tenancy agreements defeat their claim for a rent‑reduction remedy when the lockers were ordered emptied on </w:t>
            </w:r>
            <w:r w:rsidDel="00000000" w:rsidR="00000000" w:rsidRPr="00000000">
              <w:rPr>
                <w:b w:val="1"/>
                <w:rtl w:val="0"/>
              </w:rPr>
              <w:t xml:space="preserve">17 Jan 2024</w:t>
            </w:r>
            <w:r w:rsidDel="00000000" w:rsidR="00000000" w:rsidRPr="00000000">
              <w:rPr>
                <w:rtl w:val="0"/>
              </w:rPr>
              <w:t xml:space="preserve">?</w:t>
            </w:r>
          </w:p>
        </w:tc>
      </w:tr>
      <w:tr>
        <w:trPr>
          <w:cantSplit w:val="0"/>
          <w:trHeight w:val="72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rtl w:val="0"/>
              </w:rPr>
              <w:t xml:space="preserve">Rule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rtl w:val="0"/>
              </w:rPr>
              <w:t xml:space="preserve">1. RTA s. 7(5)</w:t>
            </w:r>
            <w:r w:rsidDel="00000000" w:rsidR="00000000" w:rsidRPr="00000000">
              <w:rPr>
                <w:rtl w:val="0"/>
              </w:rPr>
              <w:t xml:space="preserve"> – </w:t>
            </w:r>
            <w:r w:rsidDel="00000000" w:rsidR="00000000" w:rsidRPr="00000000">
              <w:rPr>
                <w:i w:val="1"/>
                <w:rtl w:val="0"/>
              </w:rPr>
              <w:t xml:space="preserve">“If, at the time a tenancy is entered into, a service, facility or privilege is in place or available for the tenant’s use, it is deemed to be a term of the tenancy agreement unless the parties expressly agree otherwise.”</w:t>
            </w:r>
            <w:r w:rsidDel="00000000" w:rsidR="00000000" w:rsidRPr="00000000">
              <w:rPr>
                <w:rtl w:val="0"/>
              </w:rPr>
              <w:t xml:space="preserve"> </w:t>
            </w:r>
            <w:r w:rsidDel="00000000" w:rsidR="00000000" w:rsidRPr="00000000">
              <w:rPr>
                <w:b w:val="1"/>
                <w:rtl w:val="0"/>
              </w:rPr>
              <w:t xml:space="preserve">2. RTA s. 138(1)</w:t>
            </w:r>
            <w:r w:rsidDel="00000000" w:rsidR="00000000" w:rsidRPr="00000000">
              <w:rPr>
                <w:rtl w:val="0"/>
              </w:rPr>
              <w:t xml:space="preserve"> – A landlord shall </w:t>
            </w:r>
            <w:r w:rsidDel="00000000" w:rsidR="00000000" w:rsidRPr="00000000">
              <w:rPr>
                <w:b w:val="1"/>
                <w:rtl w:val="0"/>
              </w:rPr>
              <w:t xml:space="preserve">not withdraw</w:t>
            </w:r>
            <w:r w:rsidDel="00000000" w:rsidR="00000000" w:rsidRPr="00000000">
              <w:rPr>
                <w:rtl w:val="0"/>
              </w:rPr>
              <w:t xml:space="preserve"> a service “unless the director has approved the withdrawal or reduction.” </w:t>
            </w:r>
            <w:r w:rsidDel="00000000" w:rsidR="00000000" w:rsidRPr="00000000">
              <w:rPr>
                <w:b w:val="1"/>
                <w:rtl w:val="0"/>
              </w:rPr>
              <w:t xml:space="preserve">3. RTA s. 139</w:t>
            </w:r>
            <w:r w:rsidDel="00000000" w:rsidR="00000000" w:rsidRPr="00000000">
              <w:rPr>
                <w:rtl w:val="0"/>
              </w:rPr>
              <w:t xml:space="preserve"> – If a service is withdrawn without approval, </w:t>
            </w:r>
            <w:r w:rsidDel="00000000" w:rsidR="00000000" w:rsidRPr="00000000">
              <w:rPr>
                <w:i w:val="1"/>
                <w:rtl w:val="0"/>
              </w:rPr>
              <w:t xml:space="preserve">“the tenant is entitled to a reduction of rent in an amount determined by the director or the commission.”</w:t>
            </w:r>
            <w:r w:rsidDel="00000000" w:rsidR="00000000" w:rsidRPr="00000000">
              <w:rPr>
                <w:rtl w:val="0"/>
              </w:rPr>
              <w:t xml:space="preserve"> </w:t>
            </w:r>
            <w:r w:rsidDel="00000000" w:rsidR="00000000" w:rsidRPr="00000000">
              <w:rPr>
                <w:b w:val="1"/>
                <w:rtl w:val="0"/>
              </w:rPr>
              <w:t xml:space="preserve">4. Guidebook § 12.2</w:t>
            </w:r>
            <w:r w:rsidDel="00000000" w:rsidR="00000000" w:rsidRPr="00000000">
              <w:rPr>
                <w:rtl w:val="0"/>
              </w:rPr>
              <w:t xml:space="preserve"> (Service Withdrawal) – Identifies storage lockers as a compensable service; Historic RTB schedules value a standard basement locker at </w:t>
            </w:r>
            <w:r w:rsidDel="00000000" w:rsidR="00000000" w:rsidRPr="00000000">
              <w:rPr>
                <w:b w:val="1"/>
                <w:rtl w:val="0"/>
              </w:rPr>
              <w:t xml:space="preserve">$94.40/month</w:t>
            </w:r>
            <w:r w:rsidDel="00000000" w:rsidR="00000000" w:rsidRPr="00000000">
              <w:rPr>
                <w:rtl w:val="0"/>
              </w:rPr>
              <w:t xml:space="preserve">.</w:t>
            </w:r>
          </w:p>
        </w:tc>
      </w:tr>
      <w:tr>
        <w:trPr>
          <w:cantSplit w:val="0"/>
          <w:trHeight w:val="63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rtl w:val="0"/>
              </w:rPr>
              <w:t xml:space="preserve">Application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rtl w:val="0"/>
              </w:rPr>
              <w:t xml:space="preserve">Course of dealing / representations:</w:t>
            </w:r>
            <w:r w:rsidDel="00000000" w:rsidR="00000000" w:rsidRPr="00000000">
              <w:rPr>
                <w:rtl w:val="0"/>
              </w:rPr>
              <w:t xml:space="preserve">   – 2018‑2023 keys issued; lockers numbered per suite (tenant affidavits, photo labels).   – 08 Jan 2024 email (“Storage Lockers”) is a landlord‑originated directive proving Thorwin acknowledged the lockers as then‑existing tenant amenities. • </w:t>
            </w:r>
            <w:r w:rsidDel="00000000" w:rsidR="00000000" w:rsidRPr="00000000">
              <w:rPr>
                <w:b w:val="1"/>
                <w:rtl w:val="0"/>
              </w:rPr>
              <w:t xml:space="preserve">No express disclaimer:</w:t>
            </w:r>
            <w:r w:rsidDel="00000000" w:rsidR="00000000" w:rsidRPr="00000000">
              <w:rPr>
                <w:rtl w:val="0"/>
              </w:rPr>
              <w:t xml:space="preserve"> None of the three leases contains wording that the locker is </w:t>
            </w:r>
            <w:r w:rsidDel="00000000" w:rsidR="00000000" w:rsidRPr="00000000">
              <w:rPr>
                <w:i w:val="1"/>
                <w:rtl w:val="0"/>
              </w:rPr>
              <w:t xml:space="preserve">excluded</w:t>
            </w:r>
            <w:r w:rsidDel="00000000" w:rsidR="00000000" w:rsidRPr="00000000">
              <w:rPr>
                <w:rtl w:val="0"/>
              </w:rPr>
              <w:t xml:space="preserve"> or “revocable at landlord discretion.” Absent such wording, s. 7(5) deems the locker service to be an </w:t>
            </w:r>
            <w:r w:rsidDel="00000000" w:rsidR="00000000" w:rsidRPr="00000000">
              <w:rPr>
                <w:b w:val="1"/>
                <w:rtl w:val="0"/>
              </w:rPr>
              <w:t xml:space="preserve">implied material term</w:t>
            </w:r>
            <w:r w:rsidDel="00000000" w:rsidR="00000000" w:rsidRPr="00000000">
              <w:rPr>
                <w:rtl w:val="0"/>
              </w:rPr>
              <w:t xml:space="preserve">. • </w:t>
            </w:r>
            <w:r w:rsidDel="00000000" w:rsidR="00000000" w:rsidRPr="00000000">
              <w:rPr>
                <w:b w:val="1"/>
                <w:rtl w:val="0"/>
              </w:rPr>
              <w:t xml:space="preserve">Timing:</w:t>
            </w:r>
            <w:r w:rsidDel="00000000" w:rsidR="00000000" w:rsidRPr="00000000">
              <w:rPr>
                <w:rtl w:val="0"/>
              </w:rPr>
              <w:t xml:space="preserve"> Withdrawal occurred </w:t>
            </w:r>
            <w:r w:rsidDel="00000000" w:rsidR="00000000" w:rsidRPr="00000000">
              <w:rPr>
                <w:i w:val="1"/>
                <w:rtl w:val="0"/>
              </w:rPr>
              <w:t xml:space="preserve">before</w:t>
            </w:r>
            <w:r w:rsidDel="00000000" w:rsidR="00000000" w:rsidRPr="00000000">
              <w:rPr>
                <w:rtl w:val="0"/>
              </w:rPr>
              <w:t xml:space="preserve"> any Form 8 filing; therefore the statutory pre‑condition in s. 138 was breached.</w:t>
            </w:r>
          </w:p>
        </w:tc>
      </w:tr>
      <w:tr>
        <w:trPr>
          <w:cantSplit w:val="0"/>
          <w:trHeight w:val="63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rtl w:val="0"/>
              </w:rPr>
              <w:t xml:space="preserve">Conclusion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The absence of a locker clause </w:t>
            </w:r>
            <w:r w:rsidDel="00000000" w:rsidR="00000000" w:rsidRPr="00000000">
              <w:rPr>
                <w:b w:val="1"/>
                <w:rtl w:val="0"/>
              </w:rPr>
              <w:t xml:space="preserve">does not weaken</w:t>
            </w:r>
            <w:r w:rsidDel="00000000" w:rsidR="00000000" w:rsidRPr="00000000">
              <w:rPr>
                <w:rtl w:val="0"/>
              </w:rPr>
              <w:t xml:space="preserve"> the tenants’ claim. Under </w:t>
            </w:r>
            <w:r w:rsidDel="00000000" w:rsidR="00000000" w:rsidRPr="00000000">
              <w:rPr>
                <w:b w:val="1"/>
                <w:rtl w:val="0"/>
              </w:rPr>
              <w:t xml:space="preserve">s. 7(5)</w:t>
            </w:r>
            <w:r w:rsidDel="00000000" w:rsidR="00000000" w:rsidRPr="00000000">
              <w:rPr>
                <w:rtl w:val="0"/>
              </w:rPr>
              <w:t xml:space="preserve"> the lockers were part of the bargain once the landlord provided keys, signage, and continuous use. Thorwin’s 17 Jan 2024 directive triggered an automatic duty to reduce rent from that date forward. The Commission is still obliged to: 1) award a retroactive credit of </w:t>
            </w:r>
            <w:r w:rsidDel="00000000" w:rsidR="00000000" w:rsidRPr="00000000">
              <w:rPr>
                <w:b w:val="1"/>
                <w:rtl w:val="0"/>
              </w:rPr>
              <w:t xml:space="preserve">$94.40/month</w:t>
            </w:r>
            <w:r w:rsidDel="00000000" w:rsidR="00000000" w:rsidRPr="00000000">
              <w:rPr>
                <w:rtl w:val="0"/>
              </w:rPr>
              <w:t xml:space="preserve"> to each affected tenant from 17 Jan 2024 until the lockers are restored or an approved credit is posted; 2) vary WD2024‑001539 accordingly; 3) direct the Director to consider an administrative penalty under </w:t>
            </w:r>
            <w:r w:rsidDel="00000000" w:rsidR="00000000" w:rsidRPr="00000000">
              <w:rPr>
                <w:b w:val="1"/>
                <w:rtl w:val="0"/>
              </w:rPr>
              <w:t xml:space="preserve">s. 154(1)(c)</w:t>
            </w:r>
            <w:r w:rsidDel="00000000" w:rsidR="00000000" w:rsidRPr="00000000">
              <w:rPr>
                <w:rtl w:val="0"/>
              </w:rPr>
              <w:t xml:space="preserve"> for an intentional, unapproved withdrawal.</w:t>
            </w:r>
          </w:p>
        </w:tc>
      </w:tr>
    </w:tbl>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skpxwub8rhxx" w:id="1"/>
      <w:bookmarkEnd w:id="1"/>
      <w:r w:rsidDel="00000000" w:rsidR="00000000" w:rsidRPr="00000000">
        <w:rPr>
          <w:b w:val="1"/>
          <w:color w:val="000000"/>
          <w:sz w:val="22"/>
          <w:szCs w:val="22"/>
          <w:rtl w:val="0"/>
        </w:rPr>
        <w:t xml:space="preserve">Practical Implications for the Order</w:t>
      </w:r>
    </w:p>
    <w:p w:rsidR="00000000" w:rsidDel="00000000" w:rsidP="00000000" w:rsidRDefault="00000000" w:rsidRPr="00000000" w14:paraId="0000000F">
      <w:pPr>
        <w:numPr>
          <w:ilvl w:val="0"/>
          <w:numId w:val="1"/>
        </w:numPr>
        <w:spacing w:after="0" w:afterAutospacing="0" w:before="360" w:lineRule="auto"/>
        <w:ind w:left="720" w:hanging="360"/>
      </w:pPr>
      <w:r w:rsidDel="00000000" w:rsidR="00000000" w:rsidRPr="00000000">
        <w:rPr>
          <w:b w:val="1"/>
          <w:rtl w:val="0"/>
        </w:rPr>
        <w:t xml:space="preserve">Rent Reduction Confirmed</w:t>
      </w:r>
      <w:r w:rsidDel="00000000" w:rsidR="00000000" w:rsidRPr="00000000">
        <w:rPr>
          <w:rtl w:val="0"/>
        </w:rPr>
        <w:t xml:space="preserve"> – Credits stand exactly as ordered in the draft variation; no scaling‑down or disallowance is warranted merely because the written leases were silent.</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Burden of Proof</w:t>
      </w:r>
      <w:r w:rsidDel="00000000" w:rsidR="00000000" w:rsidRPr="00000000">
        <w:rPr>
          <w:rtl w:val="0"/>
        </w:rPr>
        <w:t xml:space="preserve"> – Thorwin bears the evidentiary burden to show (i) the lockers were not provided at the start of each tenancy </w:t>
      </w:r>
      <w:r w:rsidDel="00000000" w:rsidR="00000000" w:rsidRPr="00000000">
        <w:rPr>
          <w:b w:val="1"/>
          <w:rtl w:val="0"/>
        </w:rPr>
        <w:t xml:space="preserve">or</w:t>
      </w:r>
      <w:r w:rsidDel="00000000" w:rsidR="00000000" w:rsidRPr="00000000">
        <w:rPr>
          <w:rtl w:val="0"/>
        </w:rPr>
        <w:t xml:space="preserve"> (ii) the tenants expressly agreed they were temporary. The record supplied to date shows neither.</w:t>
        <w:br w:type="textWrapping"/>
      </w:r>
    </w:p>
    <w:p w:rsidR="00000000" w:rsidDel="00000000" w:rsidP="00000000" w:rsidRDefault="00000000" w:rsidRPr="00000000" w14:paraId="00000011">
      <w:pPr>
        <w:numPr>
          <w:ilvl w:val="0"/>
          <w:numId w:val="1"/>
        </w:numPr>
        <w:spacing w:after="360" w:before="0" w:beforeAutospacing="0" w:lineRule="auto"/>
        <w:ind w:left="720" w:hanging="360"/>
      </w:pPr>
      <w:r w:rsidDel="00000000" w:rsidR="00000000" w:rsidRPr="00000000">
        <w:rPr>
          <w:b w:val="1"/>
          <w:rtl w:val="0"/>
        </w:rPr>
        <w:t xml:space="preserve">Future Compliance</w:t>
      </w:r>
      <w:r w:rsidDel="00000000" w:rsidR="00000000" w:rsidRPr="00000000">
        <w:rPr>
          <w:rtl w:val="0"/>
        </w:rPr>
        <w:t xml:space="preserve"> – Unless Thorwin can produce evidence rebutting the s. 7(5) presumption, any continued non‑payment of the $94.40 credit will expose the landlord to escalating </w:t>
      </w:r>
      <w:r w:rsidDel="00000000" w:rsidR="00000000" w:rsidRPr="00000000">
        <w:rPr>
          <w:b w:val="1"/>
          <w:rtl w:val="0"/>
        </w:rPr>
        <w:t xml:space="preserve">s. 155</w:t>
      </w:r>
      <w:r w:rsidDel="00000000" w:rsidR="00000000" w:rsidRPr="00000000">
        <w:rPr>
          <w:rtl w:val="0"/>
        </w:rPr>
        <w:t xml:space="preserve"> monetary penalties and further administrative sanctions.</w:t>
        <w:br w:type="textWrapping"/>
      </w:r>
    </w:p>
    <w:p w:rsidR="00000000" w:rsidDel="00000000" w:rsidP="00000000" w:rsidRDefault="00000000" w:rsidRPr="00000000" w14:paraId="00000012">
      <w:pPr>
        <w:spacing w:after="360" w:before="360" w:lineRule="auto"/>
        <w:rPr>
          <w:b w:val="1"/>
        </w:rPr>
      </w:pPr>
      <w:r w:rsidDel="00000000" w:rsidR="00000000" w:rsidRPr="00000000">
        <w:rPr>
          <w:b w:val="1"/>
          <w:rtl w:val="0"/>
        </w:rPr>
        <w:t xml:space="preserve">Result: The proposed RTC variation issued earlier remains unchanged.</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