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pPr>
      <w:r w:rsidDel="00000000" w:rsidR="00000000" w:rsidRPr="00000000">
        <w:rPr>
          <w:rtl w:val="0"/>
        </w:rPr>
        <w:t xml:space="preserve">Below are the </w:t>
      </w:r>
      <w:r w:rsidDel="00000000" w:rsidR="00000000" w:rsidRPr="00000000">
        <w:rPr>
          <w:b w:val="1"/>
          <w:rtl w:val="0"/>
        </w:rPr>
        <w:t xml:space="preserve">verbatim legislative sources</w:t>
      </w:r>
      <w:r w:rsidDel="00000000" w:rsidR="00000000" w:rsidRPr="00000000">
        <w:rPr>
          <w:rtl w:val="0"/>
        </w:rPr>
        <w:t xml:space="preserve"> you asked for. They can be dropped straight into the leave‑to‑appeal motion (Part II – Facts &amp; Law) or attached as Exhibits E‑120 (Hansard) and E‑121 (Budget) in your evidence book.</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4kimzvt937o8" w:id="0"/>
      <w:bookmarkEnd w:id="0"/>
      <w:r w:rsidDel="00000000" w:rsidR="00000000" w:rsidRPr="00000000">
        <w:rPr>
          <w:b w:val="1"/>
          <w:color w:val="000000"/>
          <w:sz w:val="26"/>
          <w:szCs w:val="26"/>
          <w:rtl w:val="0"/>
        </w:rPr>
        <w:t xml:space="preserve">1 Hansard – Budget Speech, 3rd Sess., 42nd Leg. (Apr 7 2021)</w:t>
      </w:r>
    </w:p>
    <w:p w:rsidR="00000000" w:rsidDel="00000000" w:rsidP="00000000" w:rsidRDefault="00000000" w:rsidRPr="00000000" w14:paraId="00000004">
      <w:pPr>
        <w:spacing w:after="360" w:before="360" w:lineRule="auto"/>
        <w:rPr>
          <w:i w:val="1"/>
        </w:rPr>
      </w:pPr>
      <w:r w:rsidDel="00000000" w:rsidR="00000000" w:rsidRPr="00000000">
        <w:rPr>
          <w:i w:val="1"/>
          <w:rtl w:val="0"/>
        </w:rPr>
        <w:t xml:space="preserve">Speaker: Hon. Scott Fielding, Minister of Finance</w:t>
      </w:r>
    </w:p>
    <w:p w:rsidR="00000000" w:rsidDel="00000000" w:rsidP="00000000" w:rsidRDefault="00000000" w:rsidRPr="00000000" w14:paraId="00000005">
      <w:pPr>
        <w:spacing w:after="360" w:before="360" w:lineRule="auto"/>
        <w:ind w:left="600" w:right="600" w:firstLine="0"/>
        <w:rPr/>
      </w:pPr>
      <w:r w:rsidDel="00000000" w:rsidR="00000000" w:rsidRPr="00000000">
        <w:rPr>
          <w:rtl w:val="0"/>
        </w:rPr>
        <w:t xml:space="preserve">“</w:t>
      </w:r>
      <w:r w:rsidDel="00000000" w:rsidR="00000000" w:rsidRPr="00000000">
        <w:rPr>
          <w:b w:val="1"/>
          <w:rtl w:val="0"/>
        </w:rPr>
        <w:t xml:space="preserve">At the same time, through rent control, the annual rent guidelines will now be frozen through 2022 and 2023 to help Manitoba’s renters catch up after the pandemic.</w:t>
      </w:r>
      <w:r w:rsidDel="00000000" w:rsidR="00000000" w:rsidRPr="00000000">
        <w:rPr>
          <w:rtl w:val="0"/>
        </w:rPr>
        <w:t xml:space="preserve">” (Hansard vol. 44, p. 2222‑23, lines 153‑154)</w:t>
      </w:r>
    </w:p>
    <w:p w:rsidR="00000000" w:rsidDel="00000000" w:rsidP="00000000" w:rsidRDefault="00000000" w:rsidRPr="00000000" w14:paraId="00000006">
      <w:pPr>
        <w:spacing w:after="360" w:before="360" w:lineRule="auto"/>
        <w:rPr/>
      </w:pPr>
      <w:r w:rsidDel="00000000" w:rsidR="00000000" w:rsidRPr="00000000">
        <w:rPr>
          <w:i w:val="1"/>
          <w:rtl w:val="0"/>
        </w:rPr>
        <w:t xml:space="preserve">Interpretive value</w:t>
      </w:r>
      <w:r w:rsidDel="00000000" w:rsidR="00000000" w:rsidRPr="00000000">
        <w:rPr>
          <w:rtl w:val="0"/>
        </w:rPr>
        <w:t xml:space="preserve">:</w:t>
      </w:r>
    </w:p>
    <w:p w:rsidR="00000000" w:rsidDel="00000000" w:rsidP="00000000" w:rsidRDefault="00000000" w:rsidRPr="00000000" w14:paraId="00000007">
      <w:pPr>
        <w:numPr>
          <w:ilvl w:val="0"/>
          <w:numId w:val="2"/>
        </w:numPr>
        <w:spacing w:after="0" w:afterAutospacing="0" w:before="360" w:lineRule="auto"/>
        <w:ind w:left="720" w:hanging="360"/>
      </w:pPr>
      <w:r w:rsidDel="00000000" w:rsidR="00000000" w:rsidRPr="00000000">
        <w:rPr>
          <w:rtl w:val="0"/>
        </w:rPr>
        <w:t xml:space="preserve">The ministerial sponsor of Budget 2021 tells the House the freeze’s </w:t>
      </w:r>
      <w:r w:rsidDel="00000000" w:rsidR="00000000" w:rsidRPr="00000000">
        <w:rPr>
          <w:b w:val="1"/>
          <w:rtl w:val="0"/>
        </w:rPr>
        <w:t xml:space="preserve">purpose</w:t>
      </w:r>
      <w:r w:rsidDel="00000000" w:rsidR="00000000" w:rsidRPr="00000000">
        <w:rPr>
          <w:rtl w:val="0"/>
        </w:rPr>
        <w:t xml:space="preserve"> is tenant relief (“catch‑up after the pandemic”).</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The word </w:t>
      </w:r>
      <w:r w:rsidDel="00000000" w:rsidR="00000000" w:rsidRPr="00000000">
        <w:rPr>
          <w:b w:val="1"/>
          <w:rtl w:val="0"/>
        </w:rPr>
        <w:t xml:space="preserve">“frozen”</w:t>
      </w:r>
      <w:r w:rsidDel="00000000" w:rsidR="00000000" w:rsidRPr="00000000">
        <w:rPr>
          <w:rtl w:val="0"/>
        </w:rPr>
        <w:t xml:space="preserve"> signals an absolute ceiling, not a springboard for 30 %+ AGIs.</w:t>
        <w:br w:type="textWrapping"/>
      </w:r>
    </w:p>
    <w:p w:rsidR="00000000" w:rsidDel="00000000" w:rsidP="00000000" w:rsidRDefault="00000000" w:rsidRPr="00000000" w14:paraId="00000009">
      <w:pPr>
        <w:numPr>
          <w:ilvl w:val="0"/>
          <w:numId w:val="2"/>
        </w:numPr>
        <w:spacing w:after="360" w:before="0" w:beforeAutospacing="0" w:lineRule="auto"/>
        <w:ind w:left="720" w:hanging="360"/>
      </w:pPr>
      <w:r w:rsidDel="00000000" w:rsidR="00000000" w:rsidRPr="00000000">
        <w:rPr>
          <w:rtl w:val="0"/>
        </w:rPr>
        <w:t xml:space="preserve">Use this to rebut the RTC’s statement that the Legislature “specifically contemplated” AGIs as normal business.</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wr52grmtzyxe" w:id="1"/>
      <w:bookmarkEnd w:id="1"/>
      <w:r w:rsidDel="00000000" w:rsidR="00000000" w:rsidRPr="00000000">
        <w:rPr>
          <w:b w:val="1"/>
          <w:color w:val="000000"/>
          <w:sz w:val="26"/>
          <w:szCs w:val="26"/>
          <w:rtl w:val="0"/>
        </w:rPr>
        <w:t xml:space="preserve">2 Budget 2021 – Fiscal Backgrounder (p. 61)</w:t>
      </w:r>
    </w:p>
    <w:p w:rsidR="00000000" w:rsidDel="00000000" w:rsidP="00000000" w:rsidRDefault="00000000" w:rsidRPr="00000000" w14:paraId="0000000C">
      <w:pPr>
        <w:spacing w:after="360" w:before="360" w:lineRule="auto"/>
        <w:ind w:left="600" w:right="600" w:firstLine="0"/>
        <w:rPr/>
      </w:pPr>
      <w:r w:rsidDel="00000000" w:rsidR="00000000" w:rsidRPr="00000000">
        <w:rPr>
          <w:rtl w:val="0"/>
        </w:rPr>
        <w:t xml:space="preserve">“</w:t>
      </w:r>
      <w:r w:rsidDel="00000000" w:rsidR="00000000" w:rsidRPr="00000000">
        <w:rPr>
          <w:b w:val="1"/>
          <w:rtl w:val="0"/>
        </w:rPr>
        <w:t xml:space="preserve">Manitoba will set the annual rent guidelines at 0 per cent for 2022 and 2023. If material improvements are made to a property, landlords will still be able to apply for an above‑guideline rent increase.</w:t>
      </w:r>
      <w:r w:rsidDel="00000000" w:rsidR="00000000" w:rsidRPr="00000000">
        <w:rPr>
          <w:rtl w:val="0"/>
        </w:rPr>
        <w:t xml:space="preserve"> The Education Property Tax Rebate amount received by landlords will be considered prior to approving an above‑guideline rent increase.” (</w:t>
      </w:r>
      <w:hyperlink r:id="rId6">
        <w:r w:rsidDel="00000000" w:rsidR="00000000" w:rsidRPr="00000000">
          <w:rPr>
            <w:color w:val="1155cc"/>
            <w:u w:val="single"/>
            <w:rtl w:val="0"/>
          </w:rPr>
          <w:t xml:space="preserve">gov.mb.ca</w:t>
        </w:r>
      </w:hyperlink>
      <w:r w:rsidDel="00000000" w:rsidR="00000000" w:rsidRPr="00000000">
        <w:rPr>
          <w:rtl w:val="0"/>
        </w:rPr>
        <w:t xml:space="preserve">)</w:t>
      </w:r>
    </w:p>
    <w:p w:rsidR="00000000" w:rsidDel="00000000" w:rsidP="00000000" w:rsidRDefault="00000000" w:rsidRPr="00000000" w14:paraId="0000000D">
      <w:pPr>
        <w:spacing w:after="360" w:before="360" w:lineRule="auto"/>
        <w:rPr/>
      </w:pPr>
      <w:r w:rsidDel="00000000" w:rsidR="00000000" w:rsidRPr="00000000">
        <w:rPr>
          <w:i w:val="1"/>
          <w:rtl w:val="0"/>
        </w:rPr>
        <w:t xml:space="preserve">Interpretive value</w:t>
      </w:r>
      <w:r w:rsidDel="00000000" w:rsidR="00000000" w:rsidRPr="00000000">
        <w:rPr>
          <w:rtl w:val="0"/>
        </w:rPr>
        <w:t xml:space="preserve">:</w:t>
      </w:r>
    </w:p>
    <w:p w:rsidR="00000000" w:rsidDel="00000000" w:rsidP="00000000" w:rsidRDefault="00000000" w:rsidRPr="00000000" w14:paraId="0000000E">
      <w:pPr>
        <w:numPr>
          <w:ilvl w:val="0"/>
          <w:numId w:val="3"/>
        </w:numPr>
        <w:spacing w:after="0" w:afterAutospacing="0" w:before="360" w:lineRule="auto"/>
        <w:ind w:left="720" w:hanging="360"/>
      </w:pPr>
      <w:r w:rsidDel="00000000" w:rsidR="00000000" w:rsidRPr="00000000">
        <w:rPr>
          <w:rtl w:val="0"/>
        </w:rPr>
        <w:t xml:space="preserve">Confirms the legislative intent that </w:t>
      </w:r>
      <w:r w:rsidDel="00000000" w:rsidR="00000000" w:rsidRPr="00000000">
        <w:rPr>
          <w:b w:val="1"/>
          <w:rtl w:val="0"/>
        </w:rPr>
        <w:t xml:space="preserve">0 % is the statutory baseline</w:t>
      </w:r>
      <w:r w:rsidDel="00000000" w:rsidR="00000000" w:rsidRPr="00000000">
        <w:rPr>
          <w:rtl w:val="0"/>
        </w:rPr>
        <w:t xml:space="preserve"> in the s. 123(2) formula (it expressly “sets” the guideline at nil).</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Conditions any AGI on (i) </w:t>
      </w:r>
      <w:r w:rsidDel="00000000" w:rsidR="00000000" w:rsidRPr="00000000">
        <w:rPr>
          <w:b w:val="1"/>
          <w:rtl w:val="0"/>
        </w:rPr>
        <w:t xml:space="preserve">material improvements</w:t>
      </w:r>
      <w:r w:rsidDel="00000000" w:rsidR="00000000" w:rsidRPr="00000000">
        <w:rPr>
          <w:rtl w:val="0"/>
        </w:rPr>
        <w:t xml:space="preserve"> and (ii) an adjustment for the landlord’s tax windfall.</w:t>
        <w:br w:type="textWrapping"/>
      </w:r>
    </w:p>
    <w:p w:rsidR="00000000" w:rsidDel="00000000" w:rsidP="00000000" w:rsidRDefault="00000000" w:rsidRPr="00000000" w14:paraId="00000010">
      <w:pPr>
        <w:numPr>
          <w:ilvl w:val="0"/>
          <w:numId w:val="3"/>
        </w:numPr>
        <w:spacing w:after="360" w:before="0" w:beforeAutospacing="0" w:lineRule="auto"/>
        <w:ind w:left="720" w:hanging="360"/>
      </w:pPr>
      <w:r w:rsidDel="00000000" w:rsidR="00000000" w:rsidRPr="00000000">
        <w:rPr>
          <w:rtl w:val="0"/>
        </w:rPr>
        <w:t xml:space="preserve">Neither condition was applied by the RTC; therefore its 32.30 % approval </w:t>
      </w:r>
      <w:r w:rsidDel="00000000" w:rsidR="00000000" w:rsidRPr="00000000">
        <w:rPr>
          <w:b w:val="1"/>
          <w:rtl w:val="0"/>
        </w:rPr>
        <w:t xml:space="preserve">ignored the very limitations baked into Budget 2021</w:t>
      </w:r>
      <w:r w:rsidDel="00000000" w:rsidR="00000000" w:rsidRPr="00000000">
        <w:rPr>
          <w:rtl w:val="0"/>
        </w:rPr>
        <w:t xml:space="preserve">.</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xv4f549nc41l" w:id="2"/>
      <w:bookmarkEnd w:id="2"/>
      <w:r w:rsidDel="00000000" w:rsidR="00000000" w:rsidRPr="00000000">
        <w:rPr>
          <w:b w:val="1"/>
          <w:sz w:val="34"/>
          <w:szCs w:val="34"/>
          <w:rtl w:val="0"/>
        </w:rPr>
        <w:t xml:space="preserve">How to slot this into the leave‑application package</w:t>
      </w:r>
    </w:p>
    <w:tbl>
      <w:tblPr>
        <w:tblStyle w:val="Table1"/>
        <w:tblW w:w="9360.0" w:type="dxa"/>
        <w:jc w:val="left"/>
        <w:tblLayout w:type="fixed"/>
        <w:tblLook w:val="0600"/>
      </w:tblPr>
      <w:tblGrid>
        <w:gridCol w:w="1907.6760190577024"/>
        <w:gridCol w:w="7452.323980942298"/>
        <w:tblGridChange w:id="0">
          <w:tblGrid>
            <w:gridCol w:w="1907.6760190577024"/>
            <w:gridCol w:w="7452.323980942298"/>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rtl w:val="0"/>
              </w:rPr>
              <w:t xml:space="preserve">Factum section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rtl w:val="0"/>
              </w:rPr>
              <w:t xml:space="preserve">Integration</w:t>
            </w:r>
            <w:r w:rsidDel="00000000" w:rsidR="00000000" w:rsidRPr="00000000">
              <w:rPr>
                <w:rtl w:val="0"/>
              </w:rPr>
            </w:r>
          </w:p>
        </w:tc>
      </w:tr>
      <w:tr>
        <w:trPr>
          <w:cantSplit w:val="0"/>
          <w:trHeight w:val="33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Part I – Overview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“The Legislature froze the rent guideline at </w:t>
            </w:r>
            <w:r w:rsidDel="00000000" w:rsidR="00000000" w:rsidRPr="00000000">
              <w:rPr>
                <w:b w:val="1"/>
                <w:rtl w:val="0"/>
              </w:rPr>
              <w:t xml:space="preserve">0 %</w:t>
            </w:r>
            <w:r w:rsidDel="00000000" w:rsidR="00000000" w:rsidRPr="00000000">
              <w:rPr>
                <w:rtl w:val="0"/>
              </w:rPr>
              <w:t xml:space="preserve"> for 2022‑23 ‘to help renters catch up after the pandemic’ (Hansard, p. 2222). The RTC nevertheless approved a 32.30 % AGI without applying the freeze’s limiting criteria. This appeal raises whether that interpretation is patently unreasonable and therefore ultra vires.”</w:t>
            </w:r>
          </w:p>
        </w:tc>
      </w:tr>
      <w:tr>
        <w:trPr>
          <w:cantSplit w:val="0"/>
          <w:trHeight w:val="2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rtl w:val="0"/>
              </w:rPr>
              <w:t xml:space="preserve">Part II – Issues &amp; Law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Ground #3, quote both passages verbatim. Argue that the RTC treated the italicised note (“landlords may still apply…”) as if it negated the freeze, contrary to (i) the Minister’s speech, (ii) Budget p. 61, and (iii) the text of </w:t>
            </w:r>
            <w:r w:rsidDel="00000000" w:rsidR="00000000" w:rsidRPr="00000000">
              <w:rPr>
                <w:i w:val="1"/>
                <w:rtl w:val="0"/>
              </w:rPr>
              <w:t xml:space="preserve">RTA</w:t>
            </w:r>
            <w:r w:rsidDel="00000000" w:rsidR="00000000" w:rsidRPr="00000000">
              <w:rPr>
                <w:rtl w:val="0"/>
              </w:rPr>
              <w:t xml:space="preserve"> s. 120(3)(b).</w:t>
            </w:r>
          </w:p>
        </w:tc>
      </w:tr>
      <w:tr>
        <w:trPr>
          <w:cantSplit w:val="0"/>
          <w:trHeight w:val="19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Part III – Standard of Review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Point out that misreading an express statutory deeming clause and ignoring Cabinet/Budget directions is a </w:t>
            </w:r>
            <w:r w:rsidDel="00000000" w:rsidR="00000000" w:rsidRPr="00000000">
              <w:rPr>
                <w:b w:val="1"/>
                <w:rtl w:val="0"/>
              </w:rPr>
              <w:t xml:space="preserve">pure error of law</w:t>
            </w:r>
            <w:r w:rsidDel="00000000" w:rsidR="00000000" w:rsidRPr="00000000">
              <w:rPr>
                <w:rtl w:val="0"/>
              </w:rPr>
              <w:t xml:space="preserve"> (see </w:t>
            </w:r>
            <w:r w:rsidDel="00000000" w:rsidR="00000000" w:rsidRPr="00000000">
              <w:rPr>
                <w:i w:val="1"/>
                <w:rtl w:val="0"/>
              </w:rPr>
              <w:t xml:space="preserve">Snow v Snow</w:t>
            </w:r>
            <w:r w:rsidDel="00000000" w:rsidR="00000000" w:rsidRPr="00000000">
              <w:rPr>
                <w:rtl w:val="0"/>
              </w:rPr>
              <w:t xml:space="preserve"> 2021 MBCA 17).</w:t>
            </w:r>
          </w:p>
        </w:tc>
      </w:tr>
      <w:tr>
        <w:trPr>
          <w:cantSplit w:val="0"/>
          <w:trHeight w:val="28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rtl w:val="0"/>
              </w:rPr>
              <w:t xml:space="preserve">Draft Order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“An Order quashing RTC Order W2022‑005191‑019 and remitting the matter with directions that the 0 % guideline fixed by </w:t>
            </w:r>
            <w:r w:rsidDel="00000000" w:rsidR="00000000" w:rsidRPr="00000000">
              <w:rPr>
                <w:i w:val="1"/>
                <w:rtl w:val="0"/>
              </w:rPr>
              <w:t xml:space="preserve">RTA</w:t>
            </w:r>
            <w:r w:rsidDel="00000000" w:rsidR="00000000" w:rsidRPr="00000000">
              <w:rPr>
                <w:rtl w:val="0"/>
              </w:rPr>
              <w:t xml:space="preserve"> s. 120(3)(b) applies unless and until the statutory pre‑conditions in Budget 2021 p. 61 are met.”</w:t>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4cggwaaungx6" w:id="3"/>
      <w:bookmarkEnd w:id="3"/>
      <w:r w:rsidDel="00000000" w:rsidR="00000000" w:rsidRPr="00000000">
        <w:rPr>
          <w:b w:val="1"/>
          <w:color w:val="000000"/>
          <w:sz w:val="26"/>
          <w:szCs w:val="26"/>
          <w:rtl w:val="0"/>
        </w:rPr>
        <w:t xml:space="preserve">Next Steps</w:t>
      </w:r>
    </w:p>
    <w:p w:rsidR="00000000" w:rsidDel="00000000" w:rsidP="00000000" w:rsidRDefault="00000000" w:rsidRPr="00000000" w14:paraId="0000001F">
      <w:pPr>
        <w:numPr>
          <w:ilvl w:val="0"/>
          <w:numId w:val="1"/>
        </w:numPr>
        <w:spacing w:after="0" w:afterAutospacing="0" w:before="360" w:lineRule="auto"/>
        <w:ind w:left="720" w:hanging="360"/>
      </w:pPr>
      <w:r w:rsidDel="00000000" w:rsidR="00000000" w:rsidRPr="00000000">
        <w:rPr>
          <w:b w:val="1"/>
          <w:rtl w:val="0"/>
        </w:rPr>
        <w:t xml:space="preserve">Exhibit labelling</w:t>
        <w:br w:type="textWrapping"/>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E‑120 – Certified Hansard extract (pp. 2222‑23).</w:t>
        <w:br w:type="textWrapping"/>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E‑121 – Certified Budget 2021 extract (p. 61).</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Motion drafting</w:t>
        <w:br w:type="textWrapping"/>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Insert these as tabs in the Compendium.</w:t>
        <w:br w:type="textWrapping"/>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Cite them in the Memorandum of Argument at paras 24‑27.</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Record request</w:t>
        <w:br w:type="textWrapping"/>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Ask the Branch for the AGI calculation worksheet to show it failed to begin at the 0 % baseline.</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Deadline management</w:t>
        <w:br w:type="textWrapping"/>
      </w:r>
    </w:p>
    <w:p w:rsidR="00000000" w:rsidDel="00000000" w:rsidP="00000000" w:rsidRDefault="00000000" w:rsidRPr="00000000" w14:paraId="00000028">
      <w:pPr>
        <w:numPr>
          <w:ilvl w:val="1"/>
          <w:numId w:val="1"/>
        </w:numPr>
        <w:spacing w:after="360" w:before="0" w:beforeAutospacing="0" w:lineRule="auto"/>
        <w:ind w:left="1440" w:hanging="360"/>
      </w:pPr>
      <w:r w:rsidDel="00000000" w:rsidR="00000000" w:rsidRPr="00000000">
        <w:rPr>
          <w:rtl w:val="0"/>
        </w:rPr>
        <w:t xml:space="preserve">Bundle with the extension‑of‑time motion under Court of Appeal r. 46(5). The clear legislative purpose strengthens the “arguable case” criterion the Court weighs on an extension.</w:t>
        <w:br w:type="textWrapping"/>
      </w:r>
    </w:p>
    <w:p w:rsidR="00000000" w:rsidDel="00000000" w:rsidP="00000000" w:rsidRDefault="00000000" w:rsidRPr="00000000" w14:paraId="00000029">
      <w:pPr>
        <w:spacing w:after="360" w:before="360" w:lineRule="auto"/>
        <w:rPr/>
      </w:pPr>
      <w:r w:rsidDel="00000000" w:rsidR="00000000" w:rsidRPr="00000000">
        <w:rPr>
          <w:rtl w:val="0"/>
        </w:rPr>
        <w:t xml:space="preserve">Let me know if you need the extracts formatted as court‑ready PDFs or if you want a draft of the paragraphs incorporating these quotes.</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v.mb.ca/asset_library/en/budget2021/budget202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