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fwemumf6j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Integration Directive – Master Case File v2025‑07‑05 k ➞ v2025‑08‑10 (upgrade path incorporating turn‑0 files)</w:t>
      </w:r>
    </w:p>
    <w:p w:rsidR="00000000" w:rsidDel="00000000" w:rsidP="00000000" w:rsidRDefault="00000000" w:rsidRPr="00000000" w14:paraId="0000000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edits below are </w:t>
      </w:r>
      <w:r w:rsidDel="00000000" w:rsidR="00000000" w:rsidRPr="00000000">
        <w:rPr>
          <w:b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under Operating‑Framework §§ 2‑4 &amp; 9 (truth‑discipline mode). Cut‑and‑paste blocks are provided in the user packages; this directive shows exactly </w:t>
      </w:r>
      <w:r w:rsidDel="00000000" w:rsidR="00000000" w:rsidRPr="00000000">
        <w:rPr>
          <w:b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splice them, plus consequential knock‑ons (matrix renumbering, schedule math, narrative tweaks).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7.8873929008568"/>
        <w:gridCol w:w="1514.5556915544673"/>
        <w:gridCol w:w="1693.2778457772338"/>
        <w:gridCol w:w="4209.135862913096"/>
        <w:gridCol w:w="1755.1432068543452"/>
        <w:tblGridChange w:id="0">
          <w:tblGrid>
            <w:gridCol w:w="187.8873929008568"/>
            <w:gridCol w:w="1514.5556915544673"/>
            <w:gridCol w:w="1693.2778457772338"/>
            <w:gridCol w:w="4209.135862913096"/>
            <w:gridCol w:w="1755.143206854345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 /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 in MCF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Down‑stream 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Officer Hazell Compliance‑Review Rebuttal (IRAC table &amp; V‑026)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§ III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Legal Theory → Compliance Orders</w:t>
            </w:r>
            <w:r w:rsidDel="00000000" w:rsidR="00000000" w:rsidRPr="00000000">
              <w:rPr>
                <w:rtl w:val="0"/>
              </w:rPr>
              <w:t xml:space="preserve"> (immediately after existing WD2024‑001539 IRAC)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Paste entire “Officer Hazell Compliance‑Review Rebuttal (v2025‑08‑10a)” block.• Update running headings to preserve automatic TOC links.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Violation Matrix</w:t>
            </w:r>
            <w:r w:rsidDel="00000000" w:rsidR="00000000" w:rsidRPr="00000000">
              <w:rPr>
                <w:rtl w:val="0"/>
              </w:rPr>
              <w:t xml:space="preserve">: append new row </w:t>
            </w:r>
            <w:r w:rsidDel="00000000" w:rsidR="00000000" w:rsidRPr="00000000">
              <w:rPr>
                <w:b w:val="1"/>
                <w:rtl w:val="0"/>
              </w:rPr>
              <w:t xml:space="preserve">V‑026</w:t>
            </w:r>
            <w:r w:rsidDel="00000000" w:rsidR="00000000" w:rsidRPr="00000000">
              <w:rPr>
                <w:rtl w:val="0"/>
              </w:rPr>
              <w:t xml:space="preserve"> exactly as in the package.• </w:t>
            </w:r>
            <w:r w:rsidDel="00000000" w:rsidR="00000000" w:rsidRPr="00000000">
              <w:rPr>
                <w:b w:val="1"/>
                <w:rtl w:val="0"/>
              </w:rPr>
              <w:t xml:space="preserve">Procedural Roadmap</w:t>
            </w:r>
            <w:r w:rsidDel="00000000" w:rsidR="00000000" w:rsidRPr="00000000">
              <w:rPr>
                <w:rtl w:val="0"/>
              </w:rPr>
              <w:t xml:space="preserve">: add “RTC Form 2 appeal – deadline </w:t>
            </w:r>
            <w:r w:rsidDel="00000000" w:rsidR="00000000" w:rsidRPr="00000000">
              <w:rPr>
                <w:b w:val="1"/>
                <w:rtl w:val="0"/>
              </w:rPr>
              <w:t xml:space="preserve">16 Jul 2025</w:t>
            </w:r>
            <w:r w:rsidDel="00000000" w:rsidR="00000000" w:rsidRPr="00000000">
              <w:rPr>
                <w:rtl w:val="0"/>
              </w:rPr>
              <w:t xml:space="preserve">” under Step 3.• </w:t>
            </w:r>
            <w:r w:rsidDel="00000000" w:rsidR="00000000" w:rsidRPr="00000000">
              <w:rPr>
                <w:b w:val="1"/>
                <w:rtl w:val="0"/>
              </w:rPr>
              <w:t xml:space="preserve">Outstanding‑Tasks</w:t>
            </w:r>
            <w:r w:rsidDel="00000000" w:rsidR="00000000" w:rsidRPr="00000000">
              <w:rPr>
                <w:rtl w:val="0"/>
              </w:rPr>
              <w:t xml:space="preserve">: add “Draft RCMP fraud addendum re Hazell ledger reliance – due 12 Jul 2025”.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Schedule 1 – Interest &amp; Over‑Rent Update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§ 10 </w:t>
            </w:r>
            <w:r w:rsidDel="00000000" w:rsidR="00000000" w:rsidRPr="00000000">
              <w:rPr>
                <w:b w:val="1"/>
                <w:rtl w:val="0"/>
              </w:rPr>
              <w:t xml:space="preserve">Schedule 1 Credit &amp; Refund Summary</w:t>
            </w:r>
            <w:r w:rsidDel="00000000" w:rsidR="00000000" w:rsidRPr="00000000">
              <w:rPr>
                <w:rtl w:val="0"/>
              </w:rPr>
              <w:t xml:space="preserve"> (replace existing interest rows)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Delete prior “Interest calculated at …” excerpt.• Insert new four‑row table verbatim, preserve superscript (†) note.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Financial Metrics Snapshot</w:t>
            </w:r>
            <w:r w:rsidDel="00000000" w:rsidR="00000000" w:rsidRPr="00000000">
              <w:rPr>
                <w:rtl w:val="0"/>
              </w:rPr>
              <w:t xml:space="preserve"> (§ 2) – increase “Over‑rent refunds” aggregate by </w:t>
            </w:r>
            <w:r w:rsidDel="00000000" w:rsidR="00000000" w:rsidRPr="00000000">
              <w:rPr>
                <w:b w:val="1"/>
                <w:rtl w:val="0"/>
              </w:rPr>
              <w:t xml:space="preserve">$23.05</w:t>
            </w:r>
            <w:r w:rsidDel="00000000" w:rsidR="00000000" w:rsidRPr="00000000">
              <w:rPr>
                <w:rtl w:val="0"/>
              </w:rPr>
              <w:t xml:space="preserve">.• CPI multiplier footnote unchanged.</w:t>
            </w:r>
          </w:p>
        </w:tc>
      </w:tr>
      <w:tr>
        <w:trPr>
          <w:cantSplit w:val="0"/>
          <w:trHeight w:val="85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Re‑audit of the Three Core Ledger‑Based Allegations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§ 8 </w:t>
            </w:r>
            <w:r w:rsidDel="00000000" w:rsidR="00000000" w:rsidRPr="00000000">
              <w:rPr>
                <w:b w:val="1"/>
                <w:rtl w:val="0"/>
              </w:rPr>
              <w:t xml:space="preserve">Commissioner’s Re‑Review Findings</w:t>
            </w:r>
            <w:r w:rsidDel="00000000" w:rsidR="00000000" w:rsidRPr="00000000">
              <w:rPr>
                <w:rtl w:val="0"/>
              </w:rPr>
              <w:t xml:space="preserve"> – create new sub‑section </w:t>
            </w:r>
            <w:r w:rsidDel="00000000" w:rsidR="00000000" w:rsidRPr="00000000">
              <w:rPr>
                <w:b w:val="1"/>
                <w:rtl w:val="0"/>
              </w:rPr>
              <w:t xml:space="preserve">8.1 Ledger‑Based Re‑audit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Headline: “8.1 Ledger‑Based Re‑audit Findings (v2025‑07‑05 ℓ)”.• Paste full table (Allegations A‑C) verbatim.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Violation Matrix adjustments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  – Rename existing V‑030 “Discoth credits” ➞ </w:t>
            </w:r>
            <w:r w:rsidDel="00000000" w:rsidR="00000000" w:rsidRPr="00000000">
              <w:rPr>
                <w:b w:val="1"/>
                <w:rtl w:val="0"/>
              </w:rPr>
              <w:t xml:space="preserve">V‑030A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add footnote from re‑audit.   – “Late‑fee while account in credit” ➞ </w:t>
            </w:r>
            <w:r w:rsidDel="00000000" w:rsidR="00000000" w:rsidRPr="00000000">
              <w:rPr>
                <w:b w:val="1"/>
                <w:rtl w:val="0"/>
              </w:rPr>
              <w:t xml:space="preserve">new V‑030B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limited to Dec 2023 etc.   – “Security‑deposit interest” ➞ </w:t>
            </w:r>
            <w:r w:rsidDel="00000000" w:rsidR="00000000" w:rsidRPr="00000000">
              <w:rPr>
                <w:b w:val="1"/>
                <w:rtl w:val="0"/>
              </w:rPr>
              <w:t xml:space="preserve">V‑030C</w:t>
            </w:r>
            <w:r w:rsidDel="00000000" w:rsidR="00000000" w:rsidRPr="00000000">
              <w:rPr>
                <w:rtl w:val="0"/>
              </w:rPr>
              <w:t xml:space="preserve"> marked “high confidence”.• </w:t>
            </w:r>
            <w:r w:rsidDel="00000000" w:rsidR="00000000" w:rsidRPr="00000000">
              <w:rPr>
                <w:b w:val="1"/>
                <w:rtl w:val="0"/>
              </w:rPr>
              <w:t xml:space="preserve">Case‑Theory Narrative</w:t>
            </w:r>
            <w:r w:rsidDel="00000000" w:rsidR="00000000" w:rsidRPr="00000000">
              <w:rPr>
                <w:rtl w:val="0"/>
              </w:rPr>
              <w:t xml:space="preserve">: modify step (6) to note “ledger manipulations (discoth)”.</w:t>
            </w:r>
          </w:p>
        </w:tc>
      </w:tr>
      <w:tr>
        <w:trPr>
          <w:cantSplit w:val="0"/>
          <w:trHeight w:val="63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Locker / Bike‑Room Timeline — Corrected Facts</w:t>
            </w:r>
            <w:r w:rsidDel="00000000" w:rsidR="00000000" w:rsidRPr="00000000">
              <w:rPr>
                <w:rtl w:val="0"/>
              </w:rPr>
              <w:t xml:space="preserve"> (from re‑audit)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§ 4 </w:t>
            </w:r>
            <w:r w:rsidDel="00000000" w:rsidR="00000000" w:rsidRPr="00000000">
              <w:rPr>
                <w:b w:val="1"/>
                <w:rtl w:val="0"/>
              </w:rPr>
              <w:t xml:space="preserve">Consolidated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Insert two entries:  – </w:t>
            </w:r>
            <w:r w:rsidDel="00000000" w:rsidR="00000000" w:rsidRPr="00000000">
              <w:rPr>
                <w:b w:val="1"/>
                <w:rtl w:val="0"/>
              </w:rPr>
              <w:t xml:space="preserve">2024‑02‑01</w:t>
            </w:r>
            <w:r w:rsidDel="00000000" w:rsidR="00000000" w:rsidRPr="00000000">
              <w:rPr>
                <w:rtl w:val="0"/>
              </w:rPr>
              <w:t xml:space="preserve"> “Bike‑room commissioned (tenant recollection) – not withdrawal”.  – </w:t>
            </w:r>
            <w:r w:rsidDel="00000000" w:rsidR="00000000" w:rsidRPr="00000000">
              <w:rPr>
                <w:b w:val="1"/>
                <w:rtl w:val="0"/>
              </w:rPr>
              <w:t xml:space="preserve">2024‑05‑01</w:t>
            </w:r>
            <w:r w:rsidDel="00000000" w:rsidR="00000000" w:rsidRPr="00000000">
              <w:rPr>
                <w:rtl w:val="0"/>
              </w:rPr>
              <w:t xml:space="preserve"> “Bike‑room obstruction begins – repair/accessibility breach theory”.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Violation Matrix V‑015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edit description to “Bike‑room obstruction / repair breach (1 May 2024→present)”; statute cite </w:t>
            </w:r>
            <w:r w:rsidDel="00000000" w:rsidR="00000000" w:rsidRPr="00000000">
              <w:rPr>
                <w:b w:val="1"/>
                <w:rtl w:val="0"/>
              </w:rPr>
              <w:t xml:space="preserve">RTA s. 25</w:t>
            </w:r>
            <w:r w:rsidDel="00000000" w:rsidR="00000000" w:rsidRPr="00000000">
              <w:rPr>
                <w:rtl w:val="0"/>
              </w:rPr>
              <w:t xml:space="preserve"> instead of s. 138.• </w:t>
            </w:r>
            <w:r w:rsidDel="00000000" w:rsidR="00000000" w:rsidRPr="00000000">
              <w:rPr>
                <w:b w:val="1"/>
                <w:rtl w:val="0"/>
              </w:rPr>
              <w:t xml:space="preserve">Financial Metrics</w:t>
            </w:r>
            <w:r w:rsidDel="00000000" w:rsidR="00000000" w:rsidRPr="00000000">
              <w:rPr>
                <w:rtl w:val="0"/>
              </w:rPr>
              <w:t xml:space="preserve">: leave bike‑room credit quantum but move to “service‑access impairment”; mark back‑dating removed.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“Tactical Consequences” &amp; “Next Concrete Steps” tables</w:t>
            </w:r>
            <w:r w:rsidDel="00000000" w:rsidR="00000000" w:rsidRPr="00000000">
              <w:rPr>
                <w:rtl w:val="0"/>
              </w:rPr>
              <w:t xml:space="preserve"> (re‑audit)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§ 13 </w:t>
            </w:r>
            <w:r w:rsidDel="00000000" w:rsidR="00000000" w:rsidRPr="00000000">
              <w:rPr>
                <w:b w:val="1"/>
                <w:rtl w:val="0"/>
              </w:rPr>
              <w:t xml:space="preserve">Outstanding Tasks</w:t>
            </w:r>
            <w:r w:rsidDel="00000000" w:rsidR="00000000" w:rsidRPr="00000000">
              <w:rPr>
                <w:rtl w:val="0"/>
              </w:rPr>
              <w:t xml:space="preserve"> – replace rows 1‑5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Copy both tables; integrate “Task / Owner / Due / Notes” beneath existing tracker header.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Update due dates to align with master Gantt; flag any clashes.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 Log directive</w:t>
            </w:r>
            <w:r w:rsidDel="00000000" w:rsidR="00000000" w:rsidRPr="00000000">
              <w:rPr>
                <w:rtl w:val="0"/>
              </w:rPr>
              <w:t xml:space="preserve"> (from ready‑to‑paste package)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§ 15 </w:t>
            </w:r>
            <w:r w:rsidDel="00000000" w:rsidR="00000000" w:rsidRPr="00000000">
              <w:rPr>
                <w:b w:val="1"/>
                <w:rtl w:val="0"/>
              </w:rPr>
              <w:t xml:space="preserve">Document Control &amp;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Append new line:“ℓ  2025‑08‑10  Senior Enforcement Strategist  Integrated Hazell Rebuttal, Ledger Re‑audit, Schedule 1 interest update; renumbered V‑030 series; timeline correction to bike‑room chronology.”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yxxvnpppgwj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Global Search‑and‑Replace Instructions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5073.922710428798"/>
        <w:gridCol w:w="4286.077289571202"/>
        <w:tblGridChange w:id="0">
          <w:tblGrid>
            <w:gridCol w:w="5073.922710428798"/>
            <w:gridCol w:w="4286.07728957120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Replace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“bike‑room withdrawal” (pre‑Feb 2024 contexts)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“bike‑room obstruction / repair breach”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“late‑fee July 2024 Isabelle”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delete entire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“V‑030” (discoth only)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“V‑030A” (update cross‑refs)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oqqtjd56j6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Litigation‑Impact Summary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Strengthened</w:t>
      </w:r>
      <w:r w:rsidDel="00000000" w:rsidR="00000000" w:rsidRPr="00000000">
        <w:rPr>
          <w:rtl w:val="0"/>
        </w:rPr>
        <w:t xml:space="preserve">: Hazell bias allegation (fresh IRAC + V‑026) materially bolsters Ombudsman &amp; RCMP tracks.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Clarified</w:t>
      </w:r>
      <w:r w:rsidDel="00000000" w:rsidR="00000000" w:rsidRPr="00000000">
        <w:rPr>
          <w:rtl w:val="0"/>
        </w:rPr>
        <w:t xml:space="preserve">: Ledger violations now tri‑partitioned (V‑030A‑C) with trimmed exposure on late‑fees but upgraded deposit‑interest claim.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Adjusted</w:t>
      </w:r>
      <w:r w:rsidDel="00000000" w:rsidR="00000000" w:rsidRPr="00000000">
        <w:rPr>
          <w:rtl w:val="0"/>
        </w:rPr>
        <w:t xml:space="preserve">: Bike‑room claim pivots to repair/accessibility—no loss of quantum, preserves PWD leverage without evidentiary gap.</w:t>
        <w:br w:type="textWrapping"/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With these insertions the Master Case File will again satisfy Operating‑Framework checkpoints 1‑12 and keep the documentary record strictly evidence‑anchored.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