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 E M O R A N D U M</w:t>
      </w:r>
    </w:p>
    <w:p w:rsidR="00000000" w:rsidDel="00000000" w:rsidP="00000000" w:rsidRDefault="00000000" w:rsidRPr="00000000" w14:paraId="00000002">
      <w:pPr>
        <w:spacing w:after="360" w:before="36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Master Case File Editorial Log (next version increment)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Senior Enforcement Strategist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30 June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Re:</w:t>
      </w:r>
      <w:r w:rsidDel="00000000" w:rsidR="00000000" w:rsidRPr="00000000">
        <w:rPr>
          <w:rtl w:val="0"/>
        </w:rPr>
        <w:t xml:space="preserve"> Integration of </w:t>
      </w:r>
      <w:r w:rsidDel="00000000" w:rsidR="00000000" w:rsidRPr="00000000">
        <w:rPr>
          <w:i w:val="1"/>
          <w:rtl w:val="0"/>
        </w:rPr>
        <w:t xml:space="preserve">Avoiding Libel – June 4</w:t>
      </w:r>
      <w:r w:rsidDel="00000000" w:rsidR="00000000" w:rsidRPr="00000000">
        <w:rPr>
          <w:rtl w:val="0"/>
        </w:rPr>
        <w:t xml:space="preserve"> Safeguards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f7xts1fbzyg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This memo directs the immediate incorporation of the libel-avoidance checklist (June 4 memorandum) into </w:t>
      </w:r>
      <w:r w:rsidDel="00000000" w:rsidR="00000000" w:rsidRPr="00000000">
        <w:rPr>
          <w:b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Thorwin litigation documents, ensuring defamation-proof framing and preserving qualified privilege.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gus86gxvoy7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Required Global Edits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312.01248049922"/>
        <w:gridCol w:w="4181.092043681748"/>
        <w:gridCol w:w="2866.895475819033"/>
        <w:tblGridChange w:id="0">
          <w:tblGrid>
            <w:gridCol w:w="2312.01248049922"/>
            <w:gridCol w:w="4181.092043681748"/>
            <w:gridCol w:w="2866.895475819033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Source 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2.1 Privilege markings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Insert footer/header on every outgoing letter, brief, and media draft: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“Without Prejudice – Regulatory / Law-Enforcement Use Only”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“Mark documents ‘Without Prejudice – Regulatory / Law-Enforcement Use Only.’”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2.2 Cautious-verb sweep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Search-and-replace absolute statements (“is guilty”, “constitutes criminal fraud”) with distancing verbs: </w:t>
            </w:r>
            <w:r w:rsidDel="00000000" w:rsidR="00000000" w:rsidRPr="00000000">
              <w:rPr>
                <w:i w:val="1"/>
                <w:rtl w:val="0"/>
              </w:rPr>
              <w:t xml:space="preserve">appears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may constitute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prima facie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“Use cautious verbs: appears, may constitute, raises a reasonable inference.”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2.3 Rebuttal invitation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Add paragraph to each demand/notice: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360" w:before="3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“Thorwin is invited to provide any exculpatory documents within seven (7) days of receipt.” | “Invite rebuttal: ‘Thorwin is invited to provide any exculpatory documents within seven days.’” |</w:t>
        <w:br w:type="textWrapping"/>
        <w:t xml:space="preserve"> | </w:t>
      </w:r>
      <w:r w:rsidDel="00000000" w:rsidR="00000000" w:rsidRPr="00000000">
        <w:rPr>
          <w:b w:val="1"/>
          <w:rtl w:val="0"/>
        </w:rPr>
        <w:t xml:space="preserve">2.4 Evidence anchoring</w:t>
      </w:r>
      <w:r w:rsidDel="00000000" w:rsidR="00000000" w:rsidRPr="00000000">
        <w:rPr>
          <w:rtl w:val="0"/>
        </w:rPr>
        <w:t xml:space="preserve"> | Confirm every allegation is followed by </w:t>
      </w:r>
      <w:r w:rsidDel="00000000" w:rsidR="00000000" w:rsidRPr="00000000">
        <w:rPr>
          <w:i w:val="1"/>
          <w:rtl w:val="0"/>
        </w:rPr>
        <w:t xml:space="preserve">verbatim</w:t>
      </w:r>
      <w:r w:rsidDel="00000000" w:rsidR="00000000" w:rsidRPr="00000000">
        <w:rPr>
          <w:rtl w:val="0"/>
        </w:rPr>
        <w:t xml:space="preserve"> exhibit citation; attach primary evidence where practicable. | “Attach primary evidence (never rely on unverified hearsay).” |</w:t>
        <w:br w:type="textWrapping"/>
        <w:t xml:space="preserve"> | </w:t>
      </w:r>
      <w:r w:rsidDel="00000000" w:rsidR="00000000" w:rsidRPr="00000000">
        <w:rPr>
          <w:b w:val="1"/>
          <w:rtl w:val="0"/>
        </w:rPr>
        <w:t xml:space="preserve">2.5 Draft-retention + hash</w:t>
      </w:r>
      <w:r w:rsidDel="00000000" w:rsidR="00000000" w:rsidRPr="00000000">
        <w:rPr>
          <w:rtl w:val="0"/>
        </w:rPr>
        <w:t xml:space="preserve"> | Archive PDF of each red-line version and record new SHA-256 in Evidence-Integrity Register; update </w:t>
      </w:r>
      <w:r w:rsidDel="00000000" w:rsidR="00000000" w:rsidRPr="00000000">
        <w:rPr>
          <w:i w:val="1"/>
          <w:rtl w:val="0"/>
        </w:rPr>
        <w:t xml:space="preserve">Operating Protocol §4</w:t>
      </w:r>
      <w:r w:rsidDel="00000000" w:rsidR="00000000" w:rsidRPr="00000000">
        <w:rPr>
          <w:rtl w:val="0"/>
        </w:rPr>
        <w:t xml:space="preserve"> accordingly. | “Retain full drafts—they show good-faith diligence…” |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7yjuhggzaj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Master Case File Updates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Version upgrade:</w:t>
      </w:r>
      <w:r w:rsidDel="00000000" w:rsidR="00000000" w:rsidRPr="00000000">
        <w:rPr>
          <w:rtl w:val="0"/>
        </w:rPr>
        <w:t xml:space="preserve"> bump to </w:t>
      </w:r>
      <w:r w:rsidDel="00000000" w:rsidR="00000000" w:rsidRPr="00000000">
        <w:rPr>
          <w:b w:val="1"/>
          <w:rtl w:val="0"/>
        </w:rPr>
        <w:t xml:space="preserve">v2025-07-05e</w:t>
      </w:r>
      <w:r w:rsidDel="00000000" w:rsidR="00000000" w:rsidRPr="00000000">
        <w:rPr>
          <w:rtl w:val="0"/>
        </w:rPr>
        <w:t xml:space="preserve"> and log “Libel-Avoidance Protocol integrated” in </w:t>
      </w:r>
      <w:r w:rsidDel="00000000" w:rsidR="00000000" w:rsidRPr="00000000">
        <w:rPr>
          <w:i w:val="1"/>
          <w:rtl w:val="0"/>
        </w:rPr>
        <w:t xml:space="preserve">Version History</w:t>
      </w:r>
      <w:r w:rsidDel="00000000" w:rsidR="00000000" w:rsidRPr="00000000">
        <w:rPr>
          <w:rtl w:val="0"/>
        </w:rPr>
        <w:t xml:space="preserve"> table. The last entry is v2025-07-05d; next increment required.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Changelog entry:</w:t>
      </w:r>
      <w:r w:rsidDel="00000000" w:rsidR="00000000" w:rsidRPr="00000000">
        <w:rPr>
          <w:rtl w:val="0"/>
        </w:rPr>
        <w:t xml:space="preserve"> list five edits above under “Global Compliance — Libel Safeguards.”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Operating Protocol v1.7:</w:t>
      </w:r>
      <w:r w:rsidDel="00000000" w:rsidR="00000000" w:rsidRPr="00000000">
        <w:rPr>
          <w:rtl w:val="0"/>
        </w:rPr>
        <w:t xml:space="preserve"> in §10 (Risk-Control Switches) add bullet “Libel-safe language and privilege labelling enforced per June 4 memo.”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Boiler-plate templates:</w:t>
      </w:r>
      <w:r w:rsidDel="00000000" w:rsidR="00000000" w:rsidRPr="00000000">
        <w:rPr>
          <w:rtl w:val="0"/>
        </w:rPr>
        <w:t xml:space="preserve"> append the privilege footer and rebuttal sentence to </w:t>
      </w:r>
      <w:r w:rsidDel="00000000" w:rsidR="00000000" w:rsidRPr="00000000">
        <w:rPr>
          <w:i w:val="1"/>
          <w:rtl w:val="0"/>
        </w:rPr>
        <w:t xml:space="preserve">IRAC Skeleton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CREAC Media Release</w:t>
      </w:r>
      <w:r w:rsidDel="00000000" w:rsidR="00000000" w:rsidRPr="00000000">
        <w:rPr>
          <w:rtl w:val="0"/>
        </w:rPr>
        <w:t xml:space="preserve">, and demand-letter template.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Evidence-Integrity Register:</w:t>
      </w:r>
      <w:r w:rsidDel="00000000" w:rsidR="00000000" w:rsidRPr="00000000">
        <w:rPr>
          <w:rtl w:val="0"/>
        </w:rPr>
        <w:t xml:space="preserve"> create new hash rows once revised PDFs exported.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i4io0nspqww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Implementation Timeline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5466.084243369734"/>
        <w:gridCol w:w="2239.0015600624024"/>
        <w:gridCol w:w="1654.9141965678627"/>
        <w:tblGridChange w:id="0">
          <w:tblGrid>
            <w:gridCol w:w="5466.084243369734"/>
            <w:gridCol w:w="2239.0015600624024"/>
            <w:gridCol w:w="1654.9141965678627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Insert headers/footers &amp; rebuttal clause in all outgoing drafts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Document Control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03 Jul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Verb sweep across Demand Letter, A-1 Amendment, RTC appeal, Ombudsman complaint, Media kit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Senior Strategist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05 Jul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Export red-line PDFs; generate SHA-256 hashes; update Register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Evidence Clerk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05 Jul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Increment Master Case File version; circulate updated bundle to coalition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06 Jul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wvrxx7w3iwo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Compliance Check</w:t>
      </w:r>
    </w:p>
    <w:p w:rsidR="00000000" w:rsidDel="00000000" w:rsidP="00000000" w:rsidRDefault="00000000" w:rsidRPr="00000000" w14:paraId="0000002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Upon completion, run a spot audit on the Demand Letter and A-1 package to confirm: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Privilege footer present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categorical guilt assertions remain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Rebuttal invitation included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Exhibit citation follows every factual allegation</w:t>
        <w:br w:type="textWrapping"/>
      </w:r>
    </w:p>
    <w:p w:rsidR="00000000" w:rsidDel="00000000" w:rsidP="00000000" w:rsidRDefault="00000000" w:rsidRPr="00000000" w14:paraId="0000003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Report findings in the next Case-Theory Check cycle.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360" w:befor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Action is mandatory to preserve qualified privilege and mitigate defamation risk while maintaining our assertive litigation posture.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