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f56402dmyd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Master Case File — Land-Title Evidence Insert (Version 2025-06-30)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66.627017841971"/>
        <w:gridCol w:w="1518.9124893797791"/>
        <w:gridCol w:w="1900.6287170773153"/>
        <w:gridCol w:w="1912.557349192863"/>
        <w:gridCol w:w="2461.2744265080714"/>
        <w:tblGridChange w:id="0">
          <w:tblGrid>
            <w:gridCol w:w="1566.627017841971"/>
            <w:gridCol w:w="1518.9124893797791"/>
            <w:gridCol w:w="1900.6287170773153"/>
            <w:gridCol w:w="1912.557349192863"/>
            <w:gridCol w:w="2461.2744265080714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Instrument (α)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Reg.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Parties (From → 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Verbatim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Transfer of Land 5031890/1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2019-01-02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Alderman Capital Corporation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rtl w:val="0"/>
              </w:rPr>
              <w:t xml:space="preserve">585 Corydon Ave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$1,100,000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“Transfer Of Land 5031890/1 … 2019-01-02 … ALDERMAN CAPITAL CORPORATION … 585 CORYDON AVE LTD. … $1,100,000.00”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Mortgage 5655441/1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2024-07-08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585 Corydon Ave Ltd. → Access Credit Union 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$2,205,474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“Mortgage 5655441/1 … 2024-07-08 … 585 CORYDON AVE LTD. … ACCESS CREDIT UNION LIMITED … $2,205,474.00”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 Title 2989108/1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Status: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Registered Owner — 585 Corydon Ave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“STATUS OF TITLE … Title Number 2989108/1 … Accepted … REGISTERED OWNERS … 585 CORYDON AVE LTD.”</w:t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Cancelled Title 1975371/1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Status: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Dorchester Developments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“STATUS OF TITLE … Title Number 1975371/1 … Cancelled … REGISTERED OWNERS … DORCHESTER DEVELOPMENTS LTD.”</w:t>
            </w:r>
          </w:p>
        </w:tc>
      </w:tr>
    </w:tbl>
    <w:p w:rsidR="00000000" w:rsidDel="00000000" w:rsidP="00000000" w:rsidRDefault="00000000" w:rsidRPr="00000000" w14:paraId="0000001B">
      <w:pPr>
        <w:spacing w:after="360" w:before="36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α Instrument codes</w:t>
      </w:r>
      <w:r w:rsidDel="00000000" w:rsidR="00000000" w:rsidRPr="00000000">
        <w:rPr>
          <w:rtl w:val="0"/>
        </w:rPr>
        <w:t xml:space="preserve">: numbers are Manitoba Land Titles registration numbers; all instruments relate to Lot 7 Block 23 Plan 208 WLTO (W Div), Parish of St Boniface.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lpvbdn5ck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IRAC Entry — Retroactive Service-Withdrawal Credits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– Must RTB Order WD2024-001539 be back-dated beyond </w:t>
      </w:r>
      <w:r w:rsidDel="00000000" w:rsidR="00000000" w:rsidRPr="00000000">
        <w:rPr>
          <w:b w:val="1"/>
          <w:rtl w:val="0"/>
        </w:rPr>
        <w:t xml:space="preserve">1 Feb 2024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Residential Tenancies Act (Manitoba)</w:t>
      </w:r>
      <w:r w:rsidDel="00000000" w:rsidR="00000000" w:rsidRPr="00000000">
        <w:rPr>
          <w:rtl w:val="0"/>
        </w:rPr>
        <w:t xml:space="preserve"> ss. 138(1)(c) &amp; 154(1)(a)(i) permit retroactive rent reductions and administrative penalties from </w:t>
      </w:r>
      <w:r w:rsidDel="00000000" w:rsidR="00000000" w:rsidRPr="00000000">
        <w:rPr>
          <w:b w:val="1"/>
          <w:rtl w:val="0"/>
        </w:rPr>
        <w:t xml:space="preserve">the first unauthorised service withdrawal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– Thorwin-controlled 585 Corydon Ave Ltd. has held legal title since </w:t>
      </w:r>
      <w:r w:rsidDel="00000000" w:rsidR="00000000" w:rsidRPr="00000000">
        <w:rPr>
          <w:b w:val="1"/>
          <w:rtl w:val="0"/>
        </w:rPr>
        <w:t xml:space="preserve">2 Jan 2019</w:t>
      </w:r>
      <w:r w:rsidDel="00000000" w:rsidR="00000000" w:rsidRPr="00000000">
        <w:rPr>
          <w:rtl w:val="0"/>
        </w:rPr>
        <w:t xml:space="preserve"> (Transfer 5031890/1) while continuing to supply lockers, bike-room, and laundry. Form 8 approval was never sought until 2024.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– Demand amendment of WD2024-001539 effective </w:t>
      </w:r>
      <w:r w:rsidDel="00000000" w:rsidR="00000000" w:rsidRPr="00000000">
        <w:rPr>
          <w:b w:val="1"/>
          <w:rtl w:val="0"/>
        </w:rPr>
        <w:t xml:space="preserve">1 Jan 2019</w:t>
      </w:r>
      <w:r w:rsidDel="00000000" w:rsidR="00000000" w:rsidRPr="00000000">
        <w:rPr>
          <w:rtl w:val="0"/>
        </w:rPr>
        <w:t xml:space="preserve"> (minimum), adding five years of arrears plus s. 155 daily penalties; reserve the right to extend further once the pre-2019 transfer (likely 2017) is produced.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8l9bf1ij6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Procedural Inserts for Immediate Filing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 A-1 Amendment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Attach</w:t>
      </w:r>
      <w:r w:rsidDel="00000000" w:rsidR="00000000" w:rsidRPr="00000000">
        <w:rPr>
          <w:rtl w:val="0"/>
        </w:rPr>
        <w:t xml:space="preserve"> certified copies of Transfer 5031890/1 and Mortgage 5655441/1; request retro-date to </w:t>
      </w:r>
      <w:r w:rsidDel="00000000" w:rsidR="00000000" w:rsidRPr="00000000">
        <w:rPr>
          <w:b w:val="1"/>
          <w:rtl w:val="0"/>
        </w:rPr>
        <w:t xml:space="preserve">1 Jan 2019</w:t>
      </w:r>
      <w:r w:rsidDel="00000000" w:rsidR="00000000" w:rsidRPr="00000000">
        <w:rPr>
          <w:rtl w:val="0"/>
        </w:rPr>
        <w:t xml:space="preserve"> and update Schedule 1 credit/penalty calculations.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RTC Commissioner Audit (s. 138(1)(c))</w:t>
        <w:br w:type="textWrapping"/>
      </w:r>
      <w:r w:rsidDel="00000000" w:rsidR="00000000" w:rsidRPr="00000000">
        <w:rPr>
          <w:rtl w:val="0"/>
        </w:rPr>
        <w:t xml:space="preserve"> Highlight that lockers, bike-room &amp; laundry were withdrawn for at least </w:t>
      </w:r>
      <w:r w:rsidDel="00000000" w:rsidR="00000000" w:rsidRPr="00000000">
        <w:rPr>
          <w:b w:val="1"/>
          <w:rtl w:val="0"/>
        </w:rPr>
        <w:t xml:space="preserve">60 months</w:t>
      </w:r>
      <w:r w:rsidDel="00000000" w:rsidR="00000000" w:rsidRPr="00000000">
        <w:rPr>
          <w:rtl w:val="0"/>
        </w:rPr>
        <w:t xml:space="preserve"> before any Form 8 filing.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Negotiation Letter (Kristjan Thorkelson)</w:t>
        <w:br w:type="textWrapping"/>
      </w:r>
      <w:r w:rsidDel="00000000" w:rsidR="00000000" w:rsidRPr="00000000">
        <w:rPr>
          <w:rtl w:val="0"/>
        </w:rPr>
        <w:t xml:space="preserve"> Add clause noting Access Credit Union’s $2.205 M mortgage is subordinate to statutory liens under </w:t>
      </w:r>
      <w:r w:rsidDel="00000000" w:rsidR="00000000" w:rsidRPr="00000000">
        <w:rPr>
          <w:i w:val="1"/>
          <w:rtl w:val="0"/>
        </w:rPr>
        <w:t xml:space="preserve">RTA</w:t>
      </w:r>
      <w:r w:rsidDel="00000000" w:rsidR="00000000" w:rsidRPr="00000000">
        <w:rPr>
          <w:rtl w:val="0"/>
        </w:rPr>
        <w:t xml:space="preserve"> s. 154(4), increasing settlement risk.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otm9ytmzi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Action Items for Evidence Build-Out</w:t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1494.2901716068645"/>
        <w:gridCol w:w="6254.602184087364"/>
        <w:gridCol w:w="1611.1076443057723"/>
        <w:tblGridChange w:id="0">
          <w:tblGrid>
            <w:gridCol w:w="1494.2901716068645"/>
            <w:gridCol w:w="6254.602184087364"/>
            <w:gridCol w:w="1611.1076443057723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Pull pre-2019 title (link between Dorchester → My Place Realty) and corporate registry profiles for 585 Corydon Ave Ltd. &amp; Thorwin Real Estate LP.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05 Jul 2025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Generate SHA-256 hashes for the two new title docs; insert into master hash-register.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03 Jul 2025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Update Chronology, Violation Matrix row 001, and all Schedule 1 credit formulas to reflect </w:t>
            </w:r>
            <w:r w:rsidDel="00000000" w:rsidR="00000000" w:rsidRPr="00000000">
              <w:rPr>
                <w:b w:val="1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  <w:t xml:space="preserve"> start-date (tag </w:t>
            </w:r>
            <w:r w:rsidDel="00000000" w:rsidR="00000000" w:rsidRPr="00000000">
              <w:rPr>
                <w:i w:val="1"/>
                <w:rtl w:val="0"/>
              </w:rPr>
              <w:t xml:space="preserve">subject to extension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07 Jul 2025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trwg534tm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Remaining Evidentiary Gaps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Locker / Bike-room photos </w:t>
      </w:r>
      <w:r w:rsidDel="00000000" w:rsidR="00000000" w:rsidRPr="00000000">
        <w:rPr>
          <w:b w:val="1"/>
          <w:rtl w:val="0"/>
        </w:rPr>
        <w:t xml:space="preserve">2017-2018</w:t>
      </w:r>
      <w:r w:rsidDel="00000000" w:rsidR="00000000" w:rsidRPr="00000000">
        <w:rPr>
          <w:rtl w:val="0"/>
        </w:rPr>
        <w:t xml:space="preserve"> (tenant archives).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Sworn tenant declarations – wet-ink commissioning (NotaryPro session pending).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variance + s. 158(2) interest sheet (Python macro).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60" w:befor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the above table, IRAC analysis, and procedural/action items verbatim into the “Land Title &amp; Ownership” subsection of the Master Case File.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