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mxur3ouehv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Re‑audit of the Three Core Ledger‑Based Allegations</w:t>
      </w:r>
    </w:p>
    <w:p w:rsidR="00000000" w:rsidDel="00000000" w:rsidP="00000000" w:rsidRDefault="00000000" w:rsidRPr="00000000" w14:paraId="00000002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(All record cites are to </w:t>
      </w:r>
      <w:r w:rsidDel="00000000" w:rsidR="00000000" w:rsidRPr="00000000">
        <w:rPr>
          <w:b w:val="1"/>
          <w:i w:val="1"/>
          <w:rtl w:val="0"/>
        </w:rPr>
        <w:t xml:space="preserve">Ledger Binder OCR.pdf</w:t>
      </w:r>
      <w:r w:rsidDel="00000000" w:rsidR="00000000" w:rsidRPr="00000000">
        <w:rPr>
          <w:i w:val="1"/>
          <w:rtl w:val="0"/>
        </w:rPr>
        <w:t xml:space="preserve">)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2630.556974961676"/>
        <w:gridCol w:w="2501.4205416453756"/>
        <w:gridCol w:w="2759.6934082779767"/>
        <w:gridCol w:w="1468.3290751149718"/>
        <w:tblGridChange w:id="0">
          <w:tblGrid>
            <w:gridCol w:w="2630.556974961676"/>
            <w:gridCol w:w="2501.4205416453756"/>
            <w:gridCol w:w="2759.6934082779767"/>
            <w:gridCol w:w="1468.329075114971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after re‑audit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Ledger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Revised IRAC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A. “Discoth” credits cloak an illegal rent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Finding:</w:t>
            </w:r>
            <w:r w:rsidDel="00000000" w:rsidR="00000000" w:rsidRPr="00000000">
              <w:rPr>
                <w:rtl w:val="0"/>
              </w:rPr>
              <w:t xml:space="preserve"> Pattern </w:t>
            </w:r>
            <w:r w:rsidDel="00000000" w:rsidR="00000000" w:rsidRPr="00000000">
              <w:rPr>
                <w:b w:val="1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, but strength turns on </w:t>
            </w:r>
            <w:r w:rsidDel="00000000" w:rsidR="00000000" w:rsidRPr="00000000">
              <w:rPr>
                <w:i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  <w:t xml:space="preserve">. On the 1st of each month Thorwin posts (i) </w:t>
            </w:r>
            <w:r w:rsidDel="00000000" w:rsidR="00000000" w:rsidRPr="00000000">
              <w:rPr>
                <w:b w:val="1"/>
                <w:rtl w:val="0"/>
              </w:rPr>
              <w:t xml:space="preserve">Rent</w:t>
            </w:r>
            <w:r w:rsidDel="00000000" w:rsidR="00000000" w:rsidRPr="00000000">
              <w:rPr>
                <w:rtl w:val="0"/>
              </w:rPr>
              <w:t xml:space="preserve"> at the </w:t>
            </w:r>
            <w:r w:rsidDel="00000000" w:rsidR="00000000" w:rsidRPr="00000000">
              <w:rPr>
                <w:i w:val="1"/>
                <w:rtl w:val="0"/>
              </w:rPr>
              <w:t xml:space="preserve">gross</w:t>
            </w:r>
            <w:r w:rsidDel="00000000" w:rsidR="00000000" w:rsidRPr="00000000">
              <w:rPr>
                <w:rtl w:val="0"/>
              </w:rPr>
              <w:t xml:space="preserve"> figure </w:t>
            </w:r>
            <w:r w:rsidDel="00000000" w:rsidR="00000000" w:rsidRPr="00000000">
              <w:rPr>
                <w:b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guideline cap, </w:t>
            </w:r>
            <w:r w:rsidDel="00000000" w:rsidR="00000000" w:rsidRPr="00000000">
              <w:rPr>
                <w:b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t xml:space="preserve"> (ii) a matching </w:t>
            </w:r>
            <w:r w:rsidDel="00000000" w:rsidR="00000000" w:rsidRPr="00000000">
              <w:rPr>
                <w:b w:val="1"/>
                <w:rtl w:val="0"/>
              </w:rPr>
              <w:t xml:space="preserve">discoth – Rent Rebate</w:t>
            </w:r>
            <w:r w:rsidDel="00000000" w:rsidR="00000000" w:rsidRPr="00000000">
              <w:rPr>
                <w:rtl w:val="0"/>
              </w:rPr>
              <w:t xml:space="preserve"> entry that lowers the balance. Rent receipts are auto‑pulled only </w:t>
            </w:r>
            <w:r w:rsidDel="00000000" w:rsidR="00000000" w:rsidRPr="00000000">
              <w:rPr>
                <w:b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both postings. Example – Isabelle B‑B Unit 05, 1 Mar 2024: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discoth ‑193.00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rent 1 218.00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autopay </w:t>
            </w:r>
            <w:r w:rsidDel="00000000" w:rsidR="00000000" w:rsidRPr="00000000">
              <w:rPr>
                <w:b w:val="1"/>
                <w:rtl w:val="0"/>
              </w:rPr>
              <w:t xml:space="preserve">1 025.00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 (138/139):</w:t>
            </w:r>
            <w:r w:rsidDel="00000000" w:rsidR="00000000" w:rsidRPr="00000000">
              <w:rPr>
                <w:rtl w:val="0"/>
              </w:rPr>
              <w:t xml:space="preserve"> Did landlord “require or accept” rent above the guideline? </w:t>
            </w:r>
            <w:r w:rsidDel="00000000" w:rsidR="00000000" w:rsidRPr="00000000">
              <w:rPr>
                <w:b w:val="1"/>
                <w:rtl w:val="0"/>
              </w:rPr>
              <w:t xml:space="preserve">Rule: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RTA (MB) s. 138(1)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rtl w:val="0"/>
              </w:rPr>
              <w:t xml:space="preserve">Application:</w:t>
            </w:r>
            <w:r w:rsidDel="00000000" w:rsidR="00000000" w:rsidRPr="00000000">
              <w:rPr>
                <w:rtl w:val="0"/>
              </w:rPr>
              <w:t xml:space="preserve"> Invoice shows gross </w:t>
            </w:r>
            <w:r w:rsidDel="00000000" w:rsidR="00000000" w:rsidRPr="00000000">
              <w:rPr>
                <w:b w:val="1"/>
                <w:rtl w:val="0"/>
              </w:rPr>
              <w:t xml:space="preserve">1 218.00</w:t>
            </w:r>
            <w:r w:rsidDel="00000000" w:rsidR="00000000" w:rsidRPr="00000000">
              <w:rPr>
                <w:rtl w:val="0"/>
              </w:rPr>
              <w:t xml:space="preserve">; rebate is an internal offset, not a reduction “required of the tenant.” </w:t>
            </w:r>
            <w:r w:rsidDel="00000000" w:rsidR="00000000" w:rsidRPr="00000000">
              <w:rPr>
                <w:b w:val="1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  <w:t xml:space="preserve"> Still arguable over‑charge; but Thorwin can argue no excess was </w:t>
            </w:r>
            <w:r w:rsidDel="00000000" w:rsidR="00000000" w:rsidRPr="00000000">
              <w:rPr>
                <w:i w:val="1"/>
                <w:rtl w:val="0"/>
              </w:rPr>
              <w:t xml:space="preserve">ever paid</w:t>
            </w:r>
            <w:r w:rsidDel="00000000" w:rsidR="00000000" w:rsidRPr="00000000">
              <w:rPr>
                <w:rtl w:val="0"/>
              </w:rPr>
              <w:t xml:space="preserve">. Documentary discovery (tenant invoices/e‑mails) will be decisive.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B. Late‑fee while tenant account in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Finding:</w:t>
            </w:r>
            <w:r w:rsidDel="00000000" w:rsidR="00000000" w:rsidRPr="00000000">
              <w:rPr>
                <w:rtl w:val="0"/>
              </w:rPr>
              <w:t xml:space="preserve"> The July 2024 late‑fee we flagged </w:t>
            </w:r>
            <w:r w:rsidDel="00000000" w:rsidR="00000000" w:rsidRPr="00000000">
              <w:rPr>
                <w:b w:val="1"/>
                <w:rtl w:val="0"/>
              </w:rPr>
              <w:t xml:space="preserve">occurred after the account had flipped back into debit</w:t>
            </w:r>
            <w:r w:rsidDel="00000000" w:rsidR="00000000" w:rsidRPr="00000000">
              <w:rPr>
                <w:rtl w:val="0"/>
              </w:rPr>
              <w:t xml:space="preserve"> (credit was cleared 4 Jun 2024). Our earlier statement therefore </w:t>
            </w:r>
            <w:r w:rsidDel="00000000" w:rsidR="00000000" w:rsidRPr="00000000">
              <w:rPr>
                <w:b w:val="1"/>
                <w:rtl w:val="0"/>
              </w:rPr>
              <w:t xml:space="preserve">over‑reached</w:t>
            </w:r>
            <w:r w:rsidDel="00000000" w:rsidR="00000000" w:rsidRPr="00000000">
              <w:rPr>
                <w:rtl w:val="0"/>
              </w:rPr>
              <w:t xml:space="preserve">. However, earlier cycles </w:t>
            </w:r>
            <w:r w:rsidDel="00000000" w:rsidR="00000000" w:rsidRPr="00000000">
              <w:rPr>
                <w:i w:val="1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  <w:t xml:space="preserve"> show late‑fees triggered by ledger manipulations that left trivial debits entirely caused by Thorwin’s own staggered postings (e.g., </w:t>
            </w:r>
            <w:r w:rsidDel="00000000" w:rsidR="00000000" w:rsidRPr="00000000">
              <w:rPr>
                <w:b w:val="1"/>
                <w:rtl w:val="0"/>
              </w:rPr>
              <w:t xml:space="preserve">Dec 2023 late‑fee 18.00</w:t>
            </w:r>
            <w:r w:rsidDel="00000000" w:rsidR="00000000" w:rsidRPr="00000000">
              <w:rPr>
                <w:rtl w:val="0"/>
              </w:rPr>
              <w:t xml:space="preserve"> on Kathryn A., balance only </w:t>
            </w:r>
            <w:r w:rsidDel="00000000" w:rsidR="00000000" w:rsidRPr="00000000">
              <w:rPr>
                <w:b w:val="1"/>
                <w:rtl w:val="0"/>
              </w:rPr>
              <w:t xml:space="preserve">1 143.00</w:t>
            </w:r>
            <w:r w:rsidDel="00000000" w:rsidR="00000000" w:rsidRPr="00000000">
              <w:rPr>
                <w:rtl w:val="0"/>
              </w:rPr>
              <w:t xml:space="preserve"> because rebate posted </w:t>
            </w:r>
            <w:r w:rsidDel="00000000" w:rsidR="00000000" w:rsidRPr="00000000">
              <w:rPr>
                <w:i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autopay).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 (134):</w:t>
            </w:r>
            <w:r w:rsidDel="00000000" w:rsidR="00000000" w:rsidRPr="00000000">
              <w:rPr>
                <w:rtl w:val="0"/>
              </w:rPr>
              <w:t xml:space="preserve"> Late‑fee when rent not in arrears. </w:t>
            </w:r>
            <w:r w:rsidDel="00000000" w:rsidR="00000000" w:rsidRPr="00000000">
              <w:rPr>
                <w:b w:val="1"/>
                <w:rtl w:val="0"/>
              </w:rPr>
              <w:t xml:space="preserve">Rule: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RTA s. 134(2)(c)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rtl w:val="0"/>
              </w:rPr>
              <w:t xml:space="preserve">Application:</w:t>
            </w:r>
            <w:r w:rsidDel="00000000" w:rsidR="00000000" w:rsidRPr="00000000">
              <w:rPr>
                <w:rtl w:val="0"/>
              </w:rPr>
              <w:t xml:space="preserve"> Late‑fee followed the landlord‑created $18 “arrears” gap. </w:t>
            </w:r>
            <w:r w:rsidDel="00000000" w:rsidR="00000000" w:rsidRPr="00000000">
              <w:rPr>
                <w:b w:val="1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  <w:t xml:space="preserve"> Claim survives but is limited to specific months; strike July 2024 from the pleading.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C. Security‑deposit interest paid only on move‑out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Finding: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Confirmed.</w:t>
            </w:r>
            <w:r w:rsidDel="00000000" w:rsidR="00000000" w:rsidRPr="00000000">
              <w:rPr>
                <w:rtl w:val="0"/>
              </w:rPr>
              <w:t xml:space="preserve"> Min‑Gi C. ledger shows </w:t>
            </w:r>
            <w:r w:rsidDel="00000000" w:rsidR="00000000" w:rsidRPr="00000000">
              <w:rPr>
                <w:b w:val="1"/>
                <w:rtl w:val="0"/>
              </w:rPr>
              <w:t xml:space="preserve">depint – 7.21</w:t>
            </w:r>
            <w:r w:rsidDel="00000000" w:rsidR="00000000" w:rsidRPr="00000000">
              <w:rPr>
                <w:rtl w:val="0"/>
              </w:rPr>
              <w:t xml:space="preserve"> on 29 Feb 2024, three years after deposit; no annual credits before that.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 (154(1)(5)(c)):</w:t>
            </w:r>
            <w:r w:rsidDel="00000000" w:rsidR="00000000" w:rsidRPr="00000000">
              <w:rPr>
                <w:rtl w:val="0"/>
              </w:rPr>
              <w:t xml:space="preserve"> Failure to credit deposit interest annually. </w:t>
            </w:r>
            <w:r w:rsidDel="00000000" w:rsidR="00000000" w:rsidRPr="00000000">
              <w:rPr>
                <w:b w:val="1"/>
                <w:rtl w:val="0"/>
              </w:rPr>
              <w:t xml:space="preserve">Rule: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RTA s. 154(1)(5)(c)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i w:val="1"/>
                <w:rtl w:val="0"/>
              </w:rPr>
              <w:t xml:space="preserve">Interest Reg.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Application:</w:t>
            </w:r>
            <w:r w:rsidDel="00000000" w:rsidR="00000000" w:rsidRPr="00000000">
              <w:rPr>
                <w:rtl w:val="0"/>
              </w:rPr>
              <w:t xml:space="preserve"> Interest withheld 36 months, then lump‑summed at move‑out. </w:t>
            </w:r>
            <w:r w:rsidDel="00000000" w:rsidR="00000000" w:rsidRPr="00000000">
              <w:rPr>
                <w:b w:val="1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  <w:t xml:space="preserve"> Strong basis for administrative penalty + interest top‑up.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rq71hpepmd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Locker / Bike‑Room Timeline — Corrected Facts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499.3244626407368"/>
        <w:gridCol w:w="2189.109518935517"/>
        <w:gridCol w:w="3310.0102354145342"/>
        <w:gridCol w:w="2361.5557830092116"/>
        <w:tblGridChange w:id="0">
          <w:tblGrid>
            <w:gridCol w:w="1499.3244626407368"/>
            <w:gridCol w:w="2189.109518935517"/>
            <w:gridCol w:w="3310.0102354145342"/>
            <w:gridCol w:w="2361.5557830092116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Amenity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Earliest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Service‑withdrawal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Procedural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Locker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Tenant photos </w:t>
            </w:r>
            <w:r w:rsidDel="00000000" w:rsidR="00000000" w:rsidRPr="00000000">
              <w:rPr>
                <w:b w:val="1"/>
                <w:rtl w:val="0"/>
              </w:rPr>
              <w:t xml:space="preserve">08 Jan 2024</w:t>
            </w:r>
            <w:r w:rsidDel="00000000" w:rsidR="00000000" w:rsidRPr="00000000">
              <w:rPr>
                <w:rtl w:val="0"/>
              </w:rPr>
              <w:t xml:space="preserve">; key logs (2017‑23) still outstanding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Likely</w:t>
            </w:r>
            <w:r w:rsidDel="00000000" w:rsidR="00000000" w:rsidRPr="00000000">
              <w:rPr>
                <w:rtl w:val="0"/>
              </w:rPr>
              <w:t xml:space="preserve"> existed and was later blocked, but pre‑2024 evidence is anecdotal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File as </w:t>
            </w:r>
            <w:r w:rsidDel="00000000" w:rsidR="00000000" w:rsidRPr="00000000">
              <w:rPr>
                <w:b w:val="1"/>
                <w:rtl w:val="0"/>
              </w:rPr>
              <w:t xml:space="preserve">Gap #4</w:t>
            </w:r>
            <w:r w:rsidDel="00000000" w:rsidR="00000000" w:rsidRPr="00000000">
              <w:rPr>
                <w:rtl w:val="0"/>
              </w:rPr>
              <w:t xml:space="preserve">: need tenant affidavits + maintenance tickets before we can back‑date credit claim.</w:t>
            </w:r>
          </w:p>
        </w:tc>
      </w:tr>
      <w:tr>
        <w:trPr>
          <w:cantSplit w:val="0"/>
          <w:trHeight w:val="5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Bike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Built </w:t>
            </w:r>
            <w:r w:rsidDel="00000000" w:rsidR="00000000" w:rsidRPr="00000000">
              <w:rPr>
                <w:b w:val="1"/>
                <w:rtl w:val="0"/>
              </w:rPr>
              <w:t xml:space="preserve">01 Feb 2024</w:t>
            </w:r>
            <w:r w:rsidDel="00000000" w:rsidR="00000000" w:rsidRPr="00000000">
              <w:rPr>
                <w:rtl w:val="0"/>
              </w:rPr>
              <w:t xml:space="preserve"> (tenant recollection)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a withdrawal; instead, quality‑of‑service / accessibility issue </w:t>
            </w:r>
            <w:r w:rsidDel="00000000" w:rsidR="00000000" w:rsidRPr="00000000">
              <w:rPr>
                <w:i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commissioning.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Withdraw pre‑2024 bike‑room arguments; recast any current obstruction as </w:t>
            </w:r>
            <w:r w:rsidDel="00000000" w:rsidR="00000000" w:rsidRPr="00000000">
              <w:rPr>
                <w:b w:val="1"/>
                <w:rtl w:val="0"/>
              </w:rPr>
              <w:t xml:space="preserve">s. 25 repair breach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  <w:t xml:space="preserve"> complaint, not s. 138.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2xxti5ftz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Revised Violation‑Matrix Instructions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Over‑rent via “discoth”</w:t>
      </w:r>
      <w:r w:rsidDel="00000000" w:rsidR="00000000" w:rsidRPr="00000000">
        <w:rPr>
          <w:rtl w:val="0"/>
        </w:rPr>
        <w:t xml:space="preserve"> – keep entry, but add footnote: </w:t>
      </w:r>
      <w:r w:rsidDel="00000000" w:rsidR="00000000" w:rsidRPr="00000000">
        <w:rPr>
          <w:i w:val="1"/>
          <w:rtl w:val="0"/>
        </w:rPr>
        <w:t xml:space="preserve">“proof hinges on invoice e‑mails or tenant portal screenshots showing gross rent demanded.”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Late‑fees</w:t>
      </w:r>
      <w:r w:rsidDel="00000000" w:rsidR="00000000" w:rsidRPr="00000000">
        <w:rPr>
          <w:rtl w:val="0"/>
        </w:rPr>
        <w:t xml:space="preserve"> – trim to months where ledger balance shows </w:t>
      </w:r>
      <w:r w:rsidDel="00000000" w:rsidR="00000000" w:rsidRPr="00000000">
        <w:rPr>
          <w:i w:val="1"/>
          <w:rtl w:val="0"/>
        </w:rPr>
        <w:t xml:space="preserve">solely landlord‑generated arrears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Deposit‑interest</w:t>
      </w:r>
      <w:r w:rsidDel="00000000" w:rsidR="00000000" w:rsidRPr="00000000">
        <w:rPr>
          <w:rtl w:val="0"/>
        </w:rPr>
        <w:t xml:space="preserve"> – upgrade to “high confidence” row; add Min‑Gi C. and any other tenants with one‑time depint postings.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Bike‑room withdrawal</w:t>
      </w:r>
      <w:r w:rsidDel="00000000" w:rsidR="00000000" w:rsidRPr="00000000">
        <w:rPr>
          <w:rtl w:val="0"/>
        </w:rPr>
        <w:t xml:space="preserve"> – delete pre‑2024 date; leave placeholder for repair/accessibility violation.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82cpdvhc4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Tactical Consequences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Negotiation leverage falls slightly</w:t>
      </w:r>
      <w:r w:rsidDel="00000000" w:rsidR="00000000" w:rsidRPr="00000000">
        <w:rPr>
          <w:rtl w:val="0"/>
        </w:rPr>
        <w:t xml:space="preserve"> on the bike‑room back‑dating, but the deposit‑interest and interest‑on‑over‑rent claims </w:t>
      </w:r>
      <w:r w:rsidDel="00000000" w:rsidR="00000000" w:rsidRPr="00000000">
        <w:rPr>
          <w:b w:val="1"/>
          <w:rtl w:val="0"/>
        </w:rPr>
        <w:t xml:space="preserve">remain potent</w:t>
      </w:r>
      <w:r w:rsidDel="00000000" w:rsidR="00000000" w:rsidRPr="00000000">
        <w:rPr>
          <w:rtl w:val="0"/>
        </w:rPr>
        <w:t xml:space="preserve"> and numerically easy to prove.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 Priority:</w:t>
      </w:r>
      <w:r w:rsidDel="00000000" w:rsidR="00000000" w:rsidRPr="00000000">
        <w:rPr>
          <w:rtl w:val="0"/>
        </w:rPr>
        <w:t xml:space="preserve"> pull tenant e‑mails/portal screenshots that show the </w:t>
      </w:r>
      <w:r w:rsidDel="00000000" w:rsidR="00000000" w:rsidRPr="00000000">
        <w:rPr>
          <w:i w:val="1"/>
          <w:rtl w:val="0"/>
        </w:rPr>
        <w:t xml:space="preserve">pre‑rebate</w:t>
      </w:r>
      <w:r w:rsidDel="00000000" w:rsidR="00000000" w:rsidRPr="00000000">
        <w:rPr>
          <w:rtl w:val="0"/>
        </w:rPr>
        <w:t xml:space="preserve"> rent demand; if Thorwin never showed tenants the gross figure, the s. 138 case weakens.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Affidavit Content:</w:t>
      </w:r>
      <w:r w:rsidDel="00000000" w:rsidR="00000000" w:rsidRPr="00000000">
        <w:rPr>
          <w:rtl w:val="0"/>
        </w:rPr>
        <w:t xml:space="preserve"> each tenant should swear (a) what rent the landlord </w:t>
      </w:r>
      <w:r w:rsidDel="00000000" w:rsidR="00000000" w:rsidRPr="00000000">
        <w:rPr>
          <w:i w:val="1"/>
          <w:rtl w:val="0"/>
        </w:rPr>
        <w:t xml:space="preserve">asked</w:t>
      </w:r>
      <w:r w:rsidDel="00000000" w:rsidR="00000000" w:rsidRPr="00000000">
        <w:rPr>
          <w:rtl w:val="0"/>
        </w:rPr>
        <w:t xml:space="preserve"> them to pay, (b) when – if ever – they saw the rebate line, and (c) any confusion/pressure caused.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caess4ubb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Concrete Steps (7‑day horizon)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3577.5574859478797"/>
        <w:gridCol w:w="1583.1170158405723"/>
        <w:gridCol w:w="1037.8742973939704"/>
        <w:gridCol w:w="3161.451200817578"/>
        <w:tblGridChange w:id="0">
          <w:tblGrid>
            <w:gridCol w:w="3577.5574859478797"/>
            <w:gridCol w:w="1583.1170158405723"/>
            <w:gridCol w:w="1037.8742973939704"/>
            <w:gridCol w:w="3161.451200817578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Export portal invoices for 2023–2024 for </w:t>
            </w:r>
            <w:r w:rsidDel="00000000" w:rsidR="00000000" w:rsidRPr="00000000">
              <w:rPr>
                <w:b w:val="1"/>
                <w:rtl w:val="0"/>
              </w:rPr>
              <w:t xml:space="preserve">Isabelle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Kathryn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Julie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Kodi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Coalition 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 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Screenshot or PDF; hash‑register on intake.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Draft affidavit template focusing on rent‑demand sequence &amp; amenity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Counsel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 Jul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Incorporate corrected bike/locker chronology.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Pull RTB policy statements on “rebate after gross demand” practice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Paralegal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 Jul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Needed for Branch argument that “rebate ≠ compliance.”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Compute statutory interest shortfall for every </w:t>
            </w:r>
            <w:r w:rsidDel="00000000" w:rsidR="00000000" w:rsidRPr="00000000">
              <w:rPr>
                <w:b w:val="1"/>
                <w:rtl w:val="0"/>
              </w:rPr>
              <w:t xml:space="preserve">depint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gap ≥ 12 months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11 Jul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Use CPI + RTA formula; prepare annex.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wtcb5azld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Bottom Line</w:t>
      </w:r>
    </w:p>
    <w:p w:rsidR="00000000" w:rsidDel="00000000" w:rsidP="00000000" w:rsidRDefault="00000000" w:rsidRPr="00000000" w14:paraId="00000044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Our earlier strategic framing survives, but with two important corrections: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Bike‑room withdrawal</w:t>
      </w:r>
      <w:r w:rsidDel="00000000" w:rsidR="00000000" w:rsidRPr="00000000">
        <w:rPr>
          <w:rtl w:val="0"/>
        </w:rPr>
        <w:t xml:space="preserve"> cannot be back‑dated before </w:t>
      </w:r>
      <w:r w:rsidDel="00000000" w:rsidR="00000000" w:rsidRPr="00000000">
        <w:rPr>
          <w:b w:val="1"/>
          <w:rtl w:val="0"/>
        </w:rPr>
        <w:t xml:space="preserve">Feb 2024</w:t>
      </w:r>
      <w:r w:rsidDel="00000000" w:rsidR="00000000" w:rsidRPr="00000000">
        <w:rPr>
          <w:rtl w:val="0"/>
        </w:rPr>
        <w:t xml:space="preserve"> – pivot to current‑condition / disability‑access theories.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July 2024 late‑fee</w:t>
      </w:r>
      <w:r w:rsidDel="00000000" w:rsidR="00000000" w:rsidRPr="00000000">
        <w:rPr>
          <w:rtl w:val="0"/>
        </w:rPr>
        <w:t xml:space="preserve"> for Isabelle should come out of the pleadings; stronger late‑fee examples remain (e.g., Kathryn A. Dec 2023).</w:t>
        <w:br w:type="textWrapping"/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 other ledger‑based violations remain actionable and, with the additional invoice evidence now targeted, stand on solid statutory footing.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