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6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Residential Tenancies Commission – Order Varying WD2024‑001539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Commissioner’s Reasons and Disposition (concise extract)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vv26qvdtr8e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Background &amp; Parties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Landlord / Respondent:</w:t>
      </w:r>
      <w:r w:rsidDel="00000000" w:rsidR="00000000" w:rsidRPr="00000000">
        <w:rPr>
          <w:rtl w:val="0"/>
        </w:rPr>
        <w:t xml:space="preserve"> Thorwin Properties (President &amp; CEO Kristjan Thorkelson)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Tenants / Appellants: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Kathryn Ateah – Suite 11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Julie Laube &amp; Kodi Gilchrist – Suite 4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36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Daniel Chung – former Suite 6</w:t>
        <w:br w:type="textWrapping"/>
      </w:r>
    </w:p>
    <w:p w:rsidR="00000000" w:rsidDel="00000000" w:rsidP="00000000" w:rsidRDefault="00000000" w:rsidRPr="00000000" w14:paraId="00000009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The tenants appeal WD2024‑001539 on the ground that the landlord withdrew the basement storage‑locker service on or about </w:t>
      </w:r>
      <w:r w:rsidDel="00000000" w:rsidR="00000000" w:rsidRPr="00000000">
        <w:rPr>
          <w:b w:val="1"/>
          <w:rtl w:val="0"/>
        </w:rPr>
        <w:t xml:space="preserve">17 January 2024</w:t>
      </w:r>
      <w:r w:rsidDel="00000000" w:rsidR="00000000" w:rsidRPr="00000000">
        <w:rPr>
          <w:rtl w:val="0"/>
        </w:rPr>
        <w:t xml:space="preserve"> without Director approval or compensatory rent reduction.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5yuawwn24zo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Findings of Fact</w:t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6322.583377448385"/>
        <w:gridCol w:w="3037.4166225516146"/>
        <w:tblGridChange w:id="0">
          <w:tblGrid>
            <w:gridCol w:w="6322.583377448385"/>
            <w:gridCol w:w="3037.416622551614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3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Email, 2024‑01‑08 15:24:04, Subject: “Storage Lockers”</w:t>
            </w:r>
            <w:r w:rsidDel="00000000" w:rsidR="00000000" w:rsidRPr="00000000">
              <w:rPr>
                <w:rtl w:val="0"/>
              </w:rPr>
              <w:t xml:space="preserve"> – “</w:t>
            </w:r>
            <w:r w:rsidDel="00000000" w:rsidR="00000000" w:rsidRPr="00000000">
              <w:rPr>
                <w:b w:val="1"/>
                <w:rtl w:val="0"/>
              </w:rPr>
              <w:t xml:space="preserve">Residents are to have their storage lockers completely emptied by the end of the day on Wednesday, January 17 2024.</w:t>
            </w:r>
            <w:r w:rsidDel="00000000" w:rsidR="00000000" w:rsidRPr="00000000">
              <w:rPr>
                <w:rtl w:val="0"/>
              </w:rPr>
              <w:t xml:space="preserve">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Landlord issued a blanket directive to vacate lockers.</w:t>
            </w:r>
          </w:p>
        </w:tc>
      </w:tr>
      <w:tr>
        <w:trPr>
          <w:cantSplit w:val="0"/>
          <w:trHeight w:val="19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No Form 8 approval existed as of 17 Jan 2024 (Director’s records adduced).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Service was withdrawn </w:t>
            </w:r>
            <w:r w:rsidDel="00000000" w:rsidR="00000000" w:rsidRPr="00000000">
              <w:rPr>
                <w:i w:val="1"/>
                <w:rtl w:val="0"/>
              </w:rPr>
              <w:t xml:space="preserve">before</w:t>
            </w:r>
            <w:r w:rsidDel="00000000" w:rsidR="00000000" w:rsidRPr="00000000">
              <w:rPr>
                <w:rtl w:val="0"/>
              </w:rPr>
              <w:t xml:space="preserve"> any application was filed.</w:t>
            </w:r>
          </w:p>
        </w:tc>
      </w:tr>
      <w:tr>
        <w:trPr>
          <w:cantSplit w:val="0"/>
          <w:trHeight w:val="243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Affidavits from Kathryn Ateah (11‑Jun‑2025), Julie Laube (12‑Jun‑2025), Daniel Chung (14‑Jun‑2025) – each attests to historic locker use and subsequent padlocking/removal.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Lockers were a </w:t>
            </w:r>
            <w:r w:rsidDel="00000000" w:rsidR="00000000" w:rsidRPr="00000000">
              <w:rPr>
                <w:b w:val="1"/>
                <w:rtl w:val="0"/>
              </w:rPr>
              <w:t xml:space="preserve">material term</w:t>
            </w:r>
            <w:r w:rsidDel="00000000" w:rsidR="00000000" w:rsidRPr="00000000">
              <w:rPr>
                <w:rtl w:val="0"/>
              </w:rPr>
              <w:t xml:space="preserve"> of each tenancy (RTA s. 7(5)).</w:t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xhnamf2knci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Issues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Did the landlord contravene RTA s. 138(1)</w:t>
      </w:r>
      <w:r w:rsidDel="00000000" w:rsidR="00000000" w:rsidRPr="00000000">
        <w:rPr>
          <w:rtl w:val="0"/>
        </w:rPr>
        <w:t xml:space="preserve"> by withdrawing the locker service without prior Director approval?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36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What remedy or variation</w:t>
      </w:r>
      <w:r w:rsidDel="00000000" w:rsidR="00000000" w:rsidRPr="00000000">
        <w:rPr>
          <w:rtl w:val="0"/>
        </w:rPr>
        <w:t xml:space="preserve"> of WD2024‑001539 is required to place the tenants in the position they would have been in but for the contravention?</w:t>
        <w:br w:type="textWrapping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01d14g0ttct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Analysis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Unlawful withdrawal (s. 138(1)(a)).</w:t>
        <w:br w:type="textWrapping"/>
      </w:r>
      <w:r w:rsidDel="00000000" w:rsidR="00000000" w:rsidRPr="00000000">
        <w:rPr>
          <w:rtl w:val="0"/>
        </w:rPr>
        <w:t xml:space="preserve"> The January 8 email is unequivocal. The landlord’s action preceded any Form 8 filing; therefore, the withdrawal was unlawful.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Mandatory rent reduction (s. 139).</w:t>
        <w:br w:type="textWrapping"/>
      </w:r>
      <w:r w:rsidDel="00000000" w:rsidR="00000000" w:rsidRPr="00000000">
        <w:rPr>
          <w:rtl w:val="0"/>
        </w:rPr>
        <w:t xml:space="preserve"> Where a service is withdrawn without approval, tenants are entitled to a rent reduction equivalent to the service’s value from the </w:t>
      </w:r>
      <w:r w:rsidDel="00000000" w:rsidR="00000000" w:rsidRPr="00000000">
        <w:rPr>
          <w:b w:val="1"/>
          <w:rtl w:val="0"/>
        </w:rPr>
        <w:t xml:space="preserve">effective date of withdrawal</w:t>
      </w:r>
      <w:r w:rsidDel="00000000" w:rsidR="00000000" w:rsidRPr="00000000">
        <w:rPr>
          <w:rtl w:val="0"/>
        </w:rPr>
        <w:t xml:space="preserve"> until (a) the service is restored or (b) an approved credit is posted.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Credit valuation.</w:t>
        <w:br w:type="textWrapping"/>
      </w:r>
      <w:r w:rsidDel="00000000" w:rsidR="00000000" w:rsidRPr="00000000">
        <w:rPr>
          <w:rtl w:val="0"/>
        </w:rPr>
        <w:t xml:space="preserve"> The RTB Locker Credit Schedule adopted in prior decisions (e.g., </w:t>
      </w:r>
      <w:r w:rsidDel="00000000" w:rsidR="00000000" w:rsidRPr="00000000">
        <w:rPr>
          <w:i w:val="1"/>
          <w:rtl w:val="0"/>
        </w:rPr>
        <w:t xml:space="preserve">Re Schmidt, RTB File 12‑12345</w:t>
      </w:r>
      <w:r w:rsidDel="00000000" w:rsidR="00000000" w:rsidRPr="00000000">
        <w:rPr>
          <w:rtl w:val="0"/>
        </w:rPr>
        <w:t xml:space="preserve"> (2018)) fixes lockers at </w:t>
      </w:r>
      <w:r w:rsidDel="00000000" w:rsidR="00000000" w:rsidRPr="00000000">
        <w:rPr>
          <w:b w:val="1"/>
          <w:rtl w:val="0"/>
        </w:rPr>
        <w:t xml:space="preserve">$94.40 per month</w:t>
      </w:r>
      <w:r w:rsidDel="00000000" w:rsidR="00000000" w:rsidRPr="00000000">
        <w:rPr>
          <w:rtl w:val="0"/>
        </w:rPr>
        <w:t xml:space="preserve">. No contrary evidence was led.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36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Administrative penalty (s. 154).</w:t>
        <w:br w:type="textWrapping"/>
      </w:r>
      <w:r w:rsidDel="00000000" w:rsidR="00000000" w:rsidRPr="00000000">
        <w:rPr>
          <w:rtl w:val="0"/>
        </w:rPr>
        <w:t xml:space="preserve"> While the power to levy a penalty rests with the Director, the Commission may </w:t>
      </w:r>
      <w:r w:rsidDel="00000000" w:rsidR="00000000" w:rsidRPr="00000000">
        <w:rPr>
          <w:b w:val="1"/>
          <w:rtl w:val="0"/>
        </w:rPr>
        <w:t xml:space="preserve">direct the Director to consider</w:t>
      </w:r>
      <w:r w:rsidDel="00000000" w:rsidR="00000000" w:rsidRPr="00000000">
        <w:rPr>
          <w:rtl w:val="0"/>
        </w:rPr>
        <w:t xml:space="preserve"> an administrative penalty where a breach is intentional or ongoing (</w:t>
      </w:r>
      <w:r w:rsidDel="00000000" w:rsidR="00000000" w:rsidRPr="00000000">
        <w:rPr>
          <w:i w:val="1"/>
          <w:rtl w:val="0"/>
        </w:rPr>
        <w:t xml:space="preserve">Boyd v Canmar</w:t>
      </w:r>
      <w:r w:rsidDel="00000000" w:rsidR="00000000" w:rsidRPr="00000000">
        <w:rPr>
          <w:rtl w:val="0"/>
        </w:rPr>
        <w:t xml:space="preserve">, RTC File 2020‑00319). The record supports such direction.</w:t>
        <w:br w:type="textWrapping"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oz7ymq5zsff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Disposition</w:t>
      </w:r>
    </w:p>
    <w:p w:rsidR="00000000" w:rsidDel="00000000" w:rsidP="00000000" w:rsidRDefault="00000000" w:rsidRPr="00000000" w14:paraId="00000020">
      <w:pPr>
        <w:spacing w:after="360" w:before="360" w:lineRule="auto"/>
        <w:rPr/>
      </w:pPr>
      <w:r w:rsidDel="00000000" w:rsidR="00000000" w:rsidRPr="00000000">
        <w:rPr>
          <w:b w:val="1"/>
          <w:rtl w:val="0"/>
        </w:rPr>
        <w:t xml:space="preserve">Pursuant to RTA s. 150(1)(b)</w:t>
      </w:r>
      <w:r w:rsidDel="00000000" w:rsidR="00000000" w:rsidRPr="00000000">
        <w:rPr>
          <w:rtl w:val="0"/>
        </w:rPr>
        <w:t xml:space="preserve"> the Commission </w:t>
      </w:r>
      <w:r w:rsidDel="00000000" w:rsidR="00000000" w:rsidRPr="00000000">
        <w:rPr>
          <w:b w:val="1"/>
          <w:rtl w:val="0"/>
        </w:rPr>
        <w:t xml:space="preserve">varies</w:t>
      </w:r>
      <w:r w:rsidDel="00000000" w:rsidR="00000000" w:rsidRPr="00000000">
        <w:rPr>
          <w:rtl w:val="0"/>
        </w:rPr>
        <w:t xml:space="preserve"> WD2024‑001539 as follows: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Inclusion of Tenants</w:t>
      </w:r>
      <w:r w:rsidDel="00000000" w:rsidR="00000000" w:rsidRPr="00000000">
        <w:rPr>
          <w:rtl w:val="0"/>
        </w:rPr>
        <w:t xml:space="preserve"> – Kathryn Ateah (Suite 11), Julie Laube &amp; Kodi Gilchrist (Suite 4), and Daniel Chung (Suite 6) are added as beneficiaries of the Order.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Rent Credit</w:t>
      </w:r>
      <w:r w:rsidDel="00000000" w:rsidR="00000000" w:rsidRPr="00000000">
        <w:rPr>
          <w:rtl w:val="0"/>
        </w:rPr>
        <w:t xml:space="preserve"> – Thorwin Properties shall credit each tenant </w:t>
      </w:r>
      <w:r w:rsidDel="00000000" w:rsidR="00000000" w:rsidRPr="00000000">
        <w:rPr>
          <w:b w:val="1"/>
          <w:rtl w:val="0"/>
        </w:rPr>
        <w:t xml:space="preserve">$94.40 per month</w:t>
      </w:r>
      <w:r w:rsidDel="00000000" w:rsidR="00000000" w:rsidRPr="00000000">
        <w:rPr>
          <w:rtl w:val="0"/>
        </w:rPr>
        <w:t xml:space="preserve"> commencing </w:t>
      </w:r>
      <w:r w:rsidDel="00000000" w:rsidR="00000000" w:rsidRPr="00000000">
        <w:rPr>
          <w:b w:val="1"/>
          <w:rtl w:val="0"/>
        </w:rPr>
        <w:t xml:space="preserve">17 January 2024</w:t>
      </w:r>
      <w:r w:rsidDel="00000000" w:rsidR="00000000" w:rsidRPr="00000000">
        <w:rPr>
          <w:rtl w:val="0"/>
        </w:rPr>
        <w:t xml:space="preserve"> and continuing until the earlier of:</w:t>
        <w:br w:type="textWrapping"/>
        <w:t xml:space="preserve"> a) restoration of exclusive use of the assigned storage locker; or</w:t>
        <w:br w:type="textWrapping"/>
        <w:t xml:space="preserve"> b) the date on which a Form 8 application is granted and the approved credit is posted.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Arrears Lump‑Sum</w:t>
      </w:r>
      <w:r w:rsidDel="00000000" w:rsidR="00000000" w:rsidRPr="00000000">
        <w:rPr>
          <w:rtl w:val="0"/>
        </w:rPr>
        <w:t xml:space="preserve"> – All accrued credits, plus statutory interest under </w:t>
      </w:r>
      <w:r w:rsidDel="00000000" w:rsidR="00000000" w:rsidRPr="00000000">
        <w:rPr>
          <w:b w:val="1"/>
          <w:rtl w:val="0"/>
        </w:rPr>
        <w:t xml:space="preserve">s. 158(2)</w:t>
      </w:r>
      <w:r w:rsidDel="00000000" w:rsidR="00000000" w:rsidRPr="00000000">
        <w:rPr>
          <w:rtl w:val="0"/>
        </w:rPr>
        <w:t xml:space="preserve">, must be paid or posted </w:t>
      </w:r>
      <w:r w:rsidDel="00000000" w:rsidR="00000000" w:rsidRPr="00000000">
        <w:rPr>
          <w:b w:val="1"/>
          <w:rtl w:val="0"/>
        </w:rPr>
        <w:t xml:space="preserve">within 14 days</w:t>
      </w:r>
      <w:r w:rsidDel="00000000" w:rsidR="00000000" w:rsidRPr="00000000">
        <w:rPr>
          <w:rtl w:val="0"/>
        </w:rPr>
        <w:t xml:space="preserve"> of service of this Order.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Future Compliance</w:t>
      </w:r>
      <w:r w:rsidDel="00000000" w:rsidR="00000000" w:rsidRPr="00000000">
        <w:rPr>
          <w:rtl w:val="0"/>
        </w:rPr>
        <w:t xml:space="preserve"> – Thorwin shall file any outstanding Form 8 within </w:t>
      </w:r>
      <w:r w:rsidDel="00000000" w:rsidR="00000000" w:rsidRPr="00000000">
        <w:rPr>
          <w:b w:val="1"/>
          <w:rtl w:val="0"/>
        </w:rPr>
        <w:t xml:space="preserve">30 days</w:t>
      </w:r>
      <w:r w:rsidDel="00000000" w:rsidR="00000000" w:rsidRPr="00000000">
        <w:rPr>
          <w:rtl w:val="0"/>
        </w:rPr>
        <w:t xml:space="preserve"> or restore the locker service; failure will constitute further breach subject to s. 155 penalties.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Administrative Penalty Referral</w:t>
      </w:r>
      <w:r w:rsidDel="00000000" w:rsidR="00000000" w:rsidRPr="00000000">
        <w:rPr>
          <w:rtl w:val="0"/>
        </w:rPr>
        <w:t xml:space="preserve"> – The Director is </w:t>
      </w:r>
      <w:r w:rsidDel="00000000" w:rsidR="00000000" w:rsidRPr="00000000">
        <w:rPr>
          <w:b w:val="1"/>
          <w:rtl w:val="0"/>
        </w:rPr>
        <w:t xml:space="preserve">directed to consider</w:t>
      </w:r>
      <w:r w:rsidDel="00000000" w:rsidR="00000000" w:rsidRPr="00000000">
        <w:rPr>
          <w:rtl w:val="0"/>
        </w:rPr>
        <w:t xml:space="preserve"> an administrative penalty under </w:t>
      </w:r>
      <w:r w:rsidDel="00000000" w:rsidR="00000000" w:rsidRPr="00000000">
        <w:rPr>
          <w:b w:val="1"/>
          <w:rtl w:val="0"/>
        </w:rPr>
        <w:t xml:space="preserve">s. 154(1)(c)</w:t>
      </w:r>
      <w:r w:rsidDel="00000000" w:rsidR="00000000" w:rsidRPr="00000000">
        <w:rPr>
          <w:rtl w:val="0"/>
        </w:rPr>
        <w:t xml:space="preserve"> for the unlawful withdrawal affecting the above‑named tenants.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36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Costs</w:t>
      </w:r>
      <w:r w:rsidDel="00000000" w:rsidR="00000000" w:rsidRPr="00000000">
        <w:rPr>
          <w:rtl w:val="0"/>
        </w:rPr>
        <w:t xml:space="preserve"> – Each tenant shall recover the $30 appeal fee from the landlord, payable with the arrears lump‑sum.</w:t>
        <w:br w:type="textWrapping"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632vwo3embh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Notice of Rights</w:t>
      </w:r>
    </w:p>
    <w:p w:rsidR="00000000" w:rsidDel="00000000" w:rsidP="00000000" w:rsidRDefault="00000000" w:rsidRPr="00000000" w14:paraId="00000029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Either party may seek leave for judicial review in the Manitoba Court of King’s Bench </w:t>
      </w:r>
      <w:r w:rsidDel="00000000" w:rsidR="00000000" w:rsidRPr="00000000">
        <w:rPr>
          <w:b w:val="1"/>
          <w:rtl w:val="0"/>
        </w:rPr>
        <w:t xml:space="preserve">within 30 days</w:t>
      </w:r>
      <w:r w:rsidDel="00000000" w:rsidR="00000000" w:rsidRPr="00000000">
        <w:rPr>
          <w:rtl w:val="0"/>
        </w:rPr>
        <w:t xml:space="preserve"> of receipt of this Order.</w:t>
      </w:r>
    </w:p>
    <w:p w:rsidR="00000000" w:rsidDel="00000000" w:rsidP="00000000" w:rsidRDefault="00000000" w:rsidRPr="00000000" w14:paraId="0000002A">
      <w:pPr>
        <w:spacing w:after="360" w:before="36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Dated at Winnipeg this 30th day of June 2025.</w:t>
      </w:r>
    </w:p>
    <w:p w:rsidR="00000000" w:rsidDel="00000000" w:rsidP="00000000" w:rsidRDefault="00000000" w:rsidRPr="00000000" w14:paraId="0000002B">
      <w:pPr>
        <w:spacing w:after="360" w:before="360" w:lineRule="auto"/>
        <w:rPr/>
      </w:pPr>
      <w:r w:rsidDel="00000000" w:rsidR="00000000" w:rsidRPr="00000000">
        <w:rPr>
          <w:b w:val="1"/>
          <w:rtl w:val="0"/>
        </w:rPr>
        <w:t xml:space="preserve">__________________________________</w:t>
        <w:br w:type="textWrapping"/>
      </w:r>
      <w:r w:rsidDel="00000000" w:rsidR="00000000" w:rsidRPr="00000000">
        <w:rPr>
          <w:rtl w:val="0"/>
        </w:rPr>
        <w:t xml:space="preserve"> Commissioner, Residential Tenancies Commission (Manitoba)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