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ubpo78ckkmc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Separate s. 55 Damages Theory – Proof of Causation &amp; Quantum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c8bqq8hexgr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  Clarify Fact Pattern – Disbursements &amp; Time‑Loss now at issue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3567.8003120124804"/>
        <w:gridCol w:w="2939.9063962558507"/>
        <w:gridCol w:w="2852.2932917316693"/>
        <w:tblGridChange w:id="0">
          <w:tblGrid>
            <w:gridCol w:w="3567.8003120124804"/>
            <w:gridCol w:w="2939.9063962558507"/>
            <w:gridCol w:w="2852.2932917316693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Current Evidence on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Missing Proof</w:t>
            </w:r>
            <w:r w:rsidDel="00000000" w:rsidR="00000000" w:rsidRPr="00000000">
              <w:rPr>
                <w:b w:val="1"/>
                <w:rtl w:val="0"/>
              </w:rPr>
              <w:t xml:space="preserve"> (request / obtain)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RTB/RTC filing fees</w:t>
            </w:r>
            <w:r w:rsidDel="00000000" w:rsidR="00000000" w:rsidRPr="00000000">
              <w:rPr>
                <w:rtl w:val="0"/>
              </w:rPr>
              <w:t xml:space="preserve"> – Form 3, Form 8, appeal fee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Receipts in Exhibit F‑002, F‑014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None. Ready.</w:t>
            </w:r>
          </w:p>
        </w:tc>
      </w:tr>
      <w:tr>
        <w:trPr>
          <w:cantSplit w:val="0"/>
          <w:trHeight w:val="19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FIPPA fees</w:t>
            </w:r>
            <w:r w:rsidDel="00000000" w:rsidR="00000000" w:rsidRPr="00000000">
              <w:rPr>
                <w:rtl w:val="0"/>
              </w:rPr>
              <w:t xml:space="preserve"> – copies of AGI files, Thorwin variance file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Government invoices in Exhibit G‑027 – G‑035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Payment confirmations (credit‑card slips).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Process‑server / reg. mail</w:t>
            </w:r>
            <w:r w:rsidDel="00000000" w:rsidR="00000000" w:rsidRPr="00000000">
              <w:rPr>
                <w:rtl w:val="0"/>
              </w:rPr>
              <w:t xml:space="preserve"> – demand &amp; Director letters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Invoices in Exhibit P‑119, P‑120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Proof of service (tracking screenshots).</w:t>
            </w:r>
          </w:p>
        </w:tc>
      </w:tr>
      <w:tr>
        <w:trPr>
          <w:cantSplit w:val="0"/>
          <w:trHeight w:val="2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ChatGPT subscription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– “paralegal tool” @ ≈ $300/mo since Feb 2025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Credit‑card statements (redact other items).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Timesheets</w:t>
            </w:r>
            <w:r w:rsidDel="00000000" w:rsidR="00000000" w:rsidRPr="00000000">
              <w:rPr>
                <w:rtl w:val="0"/>
              </w:rPr>
              <w:t xml:space="preserve"> tying AI sessions to Thorwin work.</w:t>
            </w:r>
          </w:p>
        </w:tc>
      </w:tr>
      <w:tr>
        <w:trPr>
          <w:cantSplit w:val="0"/>
          <w:trHeight w:val="19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Personal time / lost wages</w:t>
            </w:r>
            <w:r w:rsidDel="00000000" w:rsidR="00000000" w:rsidRPr="00000000">
              <w:rPr>
                <w:rtl w:val="0"/>
              </w:rPr>
              <w:t xml:space="preserve"> – avg. 18 h/week @ $42/hr (Evan’s wage)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None yet.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Sworn timesheet + employer payroll stub.</w:t>
            </w:r>
          </w:p>
        </w:tc>
      </w:tr>
    </w:tbl>
    <w:p w:rsidR="00000000" w:rsidDel="00000000" w:rsidP="00000000" w:rsidRDefault="00000000" w:rsidRPr="00000000" w14:paraId="00000016">
      <w:pPr>
        <w:spacing w:after="360" w:before="36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prepare sworn </w:t>
      </w:r>
      <w:r w:rsidDel="00000000" w:rsidR="00000000" w:rsidRPr="00000000">
        <w:rPr>
          <w:b w:val="1"/>
          <w:rtl w:val="0"/>
        </w:rPr>
        <w:t xml:space="preserve">Affidavit of Disbursements &amp; Time‑Loss</w:t>
      </w:r>
      <w:r w:rsidDel="00000000" w:rsidR="00000000" w:rsidRPr="00000000">
        <w:rPr>
          <w:rtl w:val="0"/>
        </w:rPr>
        <w:t xml:space="preserve"> attaching each receipt/timesheet; cross‑reference to exhibits.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0zznp3u1c8h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  IRAC Mapping under RTA s. 55(1) (compensation for “loss suffered”)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2048.5651857246903"/>
        <w:gridCol w:w="3183.627093954843"/>
        <w:gridCol w:w="2508.7254187909684"/>
        <w:gridCol w:w="1619.0823015294973"/>
        <w:tblGridChange w:id="0">
          <w:tblGrid>
            <w:gridCol w:w="2048.5651857246903"/>
            <w:gridCol w:w="3183.627093954843"/>
            <w:gridCol w:w="2508.7254187909684"/>
            <w:gridCol w:w="1619.0823015294973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Application (verbatim proof)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Conclusion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Unreimbursed FIPPA &amp; filing fees</w:t>
            </w:r>
            <w:r w:rsidDel="00000000" w:rsidR="00000000" w:rsidRPr="00000000">
              <w:rPr>
                <w:rtl w:val="0"/>
              </w:rPr>
              <w:t xml:space="preserve"> caused by Thorwin’s </w:t>
            </w:r>
            <w:r w:rsidDel="00000000" w:rsidR="00000000" w:rsidRPr="00000000">
              <w:rPr>
                <w:i w:val="1"/>
                <w:rtl w:val="0"/>
              </w:rPr>
              <w:t xml:space="preserve">unlawful service‑withdrawal</w:t>
            </w:r>
            <w:r w:rsidDel="00000000" w:rsidR="00000000" w:rsidRPr="00000000">
              <w:rPr>
                <w:rtl w:val="0"/>
              </w:rPr>
              <w:t xml:space="preserve"> strategy.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RTA s. 55(1):</w:t>
            </w:r>
            <w:r w:rsidDel="00000000" w:rsidR="00000000" w:rsidRPr="00000000">
              <w:rPr>
                <w:rtl w:val="0"/>
              </w:rPr>
              <w:t xml:space="preserve"> “A landlord … who breaches a tenancy agreement or contravenes this Act is liable to compensate the other party for loss suffered …” (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web2.gov.mb.ca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“We have not filed Form 8 because storage is complimentary” – Dasha Dorofeeva, email 2023‑02‑22 14:07 (E‑055).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Disbursements = $1,247.13 (Schedule A). Claim full amount.</w:t>
            </w:r>
          </w:p>
        </w:tc>
      </w:tr>
      <w:tr>
        <w:trPr>
          <w:cantSplit w:val="0"/>
          <w:trHeight w:val="32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Personal investigation time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diverted from paid work (≈ 290 h) to obtain evidence Thorwin withheld.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Same rule; damages recoverable where </w:t>
            </w:r>
            <w:r w:rsidDel="00000000" w:rsidR="00000000" w:rsidRPr="00000000">
              <w:rPr>
                <w:i w:val="1"/>
                <w:rtl w:val="0"/>
              </w:rPr>
              <w:t xml:space="preserve">reasonably foreseeable</w:t>
            </w:r>
            <w:r w:rsidDel="00000000" w:rsidR="00000000" w:rsidRPr="00000000">
              <w:rPr>
                <w:rtl w:val="0"/>
              </w:rPr>
              <w:t xml:space="preserve"> (Branch precedent </w:t>
            </w:r>
            <w:r w:rsidDel="00000000" w:rsidR="00000000" w:rsidRPr="00000000">
              <w:rPr>
                <w:b w:val="1"/>
                <w:rtl w:val="0"/>
              </w:rPr>
              <w:t xml:space="preserve">Ndima</w:t>
            </w:r>
            <w:r w:rsidDel="00000000" w:rsidR="00000000" w:rsidRPr="00000000">
              <w:rPr>
                <w:rtl w:val="0"/>
              </w:rPr>
              <w:t xml:space="preserve"> confirms RTC awards for provable losses).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Timesheet excerpt: “2025‑03‑14 09:00‑12:00 ‘AGI file audit’ – 3 h” (Affidavit ¶12). Employer pays $42/hr (Payroll stub E‑201).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Lost wages = 290 h × $42 = </w:t>
            </w:r>
            <w:r w:rsidDel="00000000" w:rsidR="00000000" w:rsidRPr="00000000">
              <w:rPr>
                <w:b w:val="1"/>
                <w:rtl w:val="0"/>
              </w:rPr>
              <w:t xml:space="preserve">$12,180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36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ChatGPT paralegal subscription</w:t>
            </w:r>
            <w:r w:rsidDel="00000000" w:rsidR="00000000" w:rsidRPr="00000000">
              <w:rPr>
                <w:rtl w:val="0"/>
              </w:rPr>
              <w:t xml:space="preserve"> purchased solely to replace counsel after Thorwin denied open disclosure.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s. 55(1) + tort principle of mitigation costs; Tenancy regime is “inexpensive” but does not bar </w:t>
            </w:r>
            <w:r w:rsidDel="00000000" w:rsidR="00000000" w:rsidRPr="00000000">
              <w:rPr>
                <w:i w:val="1"/>
                <w:rtl w:val="0"/>
              </w:rPr>
              <w:t xml:space="preserve">mitigation expenses</w:t>
            </w:r>
            <w:r w:rsidDel="00000000" w:rsidR="00000000" w:rsidRPr="00000000">
              <w:rPr>
                <w:rtl w:val="0"/>
              </w:rPr>
              <w:t xml:space="preserve"> if causally linked.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Card statement 2025‑02‑28 shows “OpenAI $299.00” (E‑165). Usage logs match exhibit drafting (Affidavit ¶22).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Mitigation expense = </w:t>
            </w:r>
            <w:r w:rsidDel="00000000" w:rsidR="00000000" w:rsidRPr="00000000">
              <w:rPr>
                <w:b w:val="1"/>
                <w:rtl w:val="0"/>
              </w:rPr>
              <w:t xml:space="preserve">$3,588</w:t>
            </w:r>
            <w:r w:rsidDel="00000000" w:rsidR="00000000" w:rsidRPr="00000000">
              <w:rPr>
                <w:rtl w:val="0"/>
              </w:rPr>
              <w:t xml:space="preserve"> to 30 Jun 2025.</w:t>
            </w:r>
          </w:p>
        </w:tc>
      </w:tr>
      <w:tr>
        <w:trPr>
          <w:cantSplit w:val="0"/>
          <w:trHeight w:val="3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Extraordinary courier / process‑server fees</w:t>
            </w:r>
            <w:r w:rsidDel="00000000" w:rsidR="00000000" w:rsidRPr="00000000">
              <w:rPr>
                <w:rtl w:val="0"/>
              </w:rPr>
              <w:t xml:space="preserve"> stemming from Thorwin’s refusal of e‑service.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Costs Regulation caps do </w:t>
            </w:r>
            <w:r w:rsidDel="00000000" w:rsidR="00000000" w:rsidRPr="00000000">
              <w:rPr>
                <w:b w:val="1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  <w:t xml:space="preserve"> apply to </w:t>
            </w:r>
            <w:r w:rsidDel="00000000" w:rsidR="00000000" w:rsidRPr="00000000">
              <w:rPr>
                <w:i w:val="1"/>
                <w:rtl w:val="0"/>
              </w:rPr>
              <w:t xml:space="preserve">damages</w:t>
            </w:r>
            <w:r w:rsidDel="00000000" w:rsidR="00000000" w:rsidRPr="00000000">
              <w:rPr>
                <w:rtl w:val="0"/>
              </w:rPr>
              <w:t xml:space="preserve"> (only to s. 154 “costs”).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Canada Post reg. mail #RN 452 771 185 CA – demand package – $41.83 (P‑120).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Claim $416.27 (Schedule A lines 7‑14).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h2nbsykkvx3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  Violation‑to‑Evidence Matrix (Update)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1755.2432432432433"/>
        <w:gridCol w:w="1638.4864864864867"/>
        <w:gridCol w:w="1813.6216216216217"/>
        <w:gridCol w:w="2023.7837837837837"/>
        <w:gridCol w:w="2128.864864864865"/>
        <w:tblGridChange w:id="0">
          <w:tblGrid>
            <w:gridCol w:w="1755.2432432432433"/>
            <w:gridCol w:w="1638.4864864864867"/>
            <w:gridCol w:w="1813.6216216216217"/>
            <w:gridCol w:w="2023.7837837837837"/>
            <w:gridCol w:w="2128.864864864865"/>
          </w:tblGrid>
        </w:tblGridChange>
      </w:tblGrid>
      <w:tr>
        <w:trPr>
          <w:cantSplit w:val="0"/>
          <w:trHeight w:val="11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Violation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Statute Breach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New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s. 55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Procedural Track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016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s. 138 – unapproved withdrawal (lockers/laundry)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FIPPA, filing fees, lost wages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E‑055, G‑027, Affidavit ¶¶8‑15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RTC appeal (W2024‑002994)</w:t>
            </w:r>
          </w:p>
        </w:tc>
      </w:tr>
      <w:tr>
        <w:trPr>
          <w:cantSplit w:val="0"/>
          <w:trHeight w:val="19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017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s. 154(1)(c) – failure to post Order credits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ChatGPT subscription (mitigation)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Card stmt E‑165, usage log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RTB A‑1 amendment</w:t>
            </w:r>
          </w:p>
        </w:tc>
      </w:tr>
      <w:tr>
        <w:trPr>
          <w:cantSplit w:val="0"/>
          <w:trHeight w:val="28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018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s. 135 – interference with quiet enjoyment (bike room obstructions)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Process‑server costs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P‑119, P‑120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Director complaint</w:t>
            </w:r>
          </w:p>
        </w:tc>
      </w:tr>
    </w:tbl>
    <w:p w:rsidR="00000000" w:rsidDel="00000000" w:rsidP="00000000" w:rsidRDefault="00000000" w:rsidRPr="00000000" w14:paraId="00000043">
      <w:pPr>
        <w:spacing w:after="360" w:before="36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(Insert rows into Appendix A – Violation Matrix; cross‑index to new exhibits.)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wbm1nba3t4t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  Case‑Theory Check</w:t>
      </w:r>
    </w:p>
    <w:p w:rsidR="00000000" w:rsidDel="00000000" w:rsidP="00000000" w:rsidRDefault="00000000" w:rsidRPr="00000000" w14:paraId="0000004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overarching narrative tightens: </w:t>
      </w:r>
      <w:r w:rsidDel="00000000" w:rsidR="00000000" w:rsidRPr="00000000">
        <w:rPr>
          <w:b w:val="1"/>
          <w:rtl w:val="0"/>
        </w:rPr>
        <w:t xml:space="preserve">Thorwin’s systemic concealment</w:t>
      </w:r>
      <w:r w:rsidDel="00000000" w:rsidR="00000000" w:rsidRPr="00000000">
        <w:rPr>
          <w:rtl w:val="0"/>
        </w:rPr>
        <w:t xml:space="preserve"> forced tenants to self‑fund an investigative campaign. Every dollar claimed is the </w:t>
      </w:r>
      <w:r w:rsidDel="00000000" w:rsidR="00000000" w:rsidRPr="00000000">
        <w:rPr>
          <w:i w:val="1"/>
          <w:rtl w:val="0"/>
        </w:rPr>
        <w:t xml:space="preserve">direct, foreseeable consequence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of unlawful service withdrawals and misrepresentation. The story remains cohesive: “Landlord misconduct → Regulatory obstruction → Tenant‑funded investigation.”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lpl7mkve41v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  Procedural Pathway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RTC Appeal W2024‑002994</w:t>
      </w:r>
      <w:r w:rsidDel="00000000" w:rsidR="00000000" w:rsidRPr="00000000">
        <w:rPr>
          <w:rtl w:val="0"/>
        </w:rPr>
        <w:t xml:space="preserve"> – file </w:t>
      </w:r>
      <w:r w:rsidDel="00000000" w:rsidR="00000000" w:rsidRPr="00000000">
        <w:rPr>
          <w:i w:val="1"/>
          <w:rtl w:val="0"/>
        </w:rPr>
        <w:t xml:space="preserve">Amended Notice of Appeal</w:t>
      </w:r>
      <w:r w:rsidDel="00000000" w:rsidR="00000000" w:rsidRPr="00000000">
        <w:rPr>
          <w:rtl w:val="0"/>
        </w:rPr>
        <w:t xml:space="preserve"> adding </w:t>
      </w:r>
      <w:r w:rsidDel="00000000" w:rsidR="00000000" w:rsidRPr="00000000">
        <w:rPr>
          <w:b w:val="1"/>
          <w:rtl w:val="0"/>
        </w:rPr>
        <w:t xml:space="preserve">“s. 55 Damages Claim”</w:t>
      </w:r>
      <w:r w:rsidDel="00000000" w:rsidR="00000000" w:rsidRPr="00000000">
        <w:rPr>
          <w:rtl w:val="0"/>
        </w:rPr>
        <w:t xml:space="preserve">. Serve five business days pre‑hearing.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RTB Director A‑1 Amendment</w:t>
      </w:r>
      <w:r w:rsidDel="00000000" w:rsidR="00000000" w:rsidRPr="00000000">
        <w:rPr>
          <w:rtl w:val="0"/>
        </w:rPr>
        <w:t xml:space="preserve"> – include damages schedule as </w:t>
      </w:r>
      <w:r w:rsidDel="00000000" w:rsidR="00000000" w:rsidRPr="00000000">
        <w:rPr>
          <w:i w:val="1"/>
          <w:rtl w:val="0"/>
        </w:rPr>
        <w:t xml:space="preserve">Item 10</w:t>
      </w:r>
      <w:r w:rsidDel="00000000" w:rsidR="00000000" w:rsidRPr="00000000">
        <w:rPr>
          <w:rtl w:val="0"/>
        </w:rPr>
        <w:t xml:space="preserve"> with Form 55 affidavit.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Parallel Civil Reserve</w:t>
      </w:r>
      <w:r w:rsidDel="00000000" w:rsidR="00000000" w:rsidRPr="00000000">
        <w:rPr>
          <w:rtl w:val="0"/>
        </w:rPr>
        <w:t xml:space="preserve"> – if tribunal refuses lost‑wage component, preserve right to sue in KB Court (note in submissions).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g11skimfyek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  Opposition Forecast &amp; Counters</w:t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3007.6866066701955"/>
        <w:gridCol w:w="6352.313393329804"/>
        <w:tblGridChange w:id="0">
          <w:tblGrid>
            <w:gridCol w:w="3007.6866066701955"/>
            <w:gridCol w:w="6352.313393329804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Expected Defence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Counter‑Argument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“Costs Regulation caps at 10 %; excludes labour, AI.”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We plead </w:t>
            </w:r>
            <w:r w:rsidDel="00000000" w:rsidR="00000000" w:rsidRPr="00000000">
              <w:rPr>
                <w:b w:val="1"/>
                <w:rtl w:val="0"/>
              </w:rPr>
              <w:t xml:space="preserve">s. 55 damages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  <w:t xml:space="preserve"> “costs”. Regulation (MR 149/2006 §3) applies only to </w:t>
            </w:r>
            <w:r w:rsidDel="00000000" w:rsidR="00000000" w:rsidRPr="00000000">
              <w:rPr>
                <w:b w:val="1"/>
                <w:rtl w:val="0"/>
              </w:rPr>
              <w:t xml:space="preserve">s. 154 orders</w:t>
            </w:r>
            <w:r w:rsidDel="00000000" w:rsidR="00000000" w:rsidRPr="00000000">
              <w:rPr>
                <w:rtl w:val="0"/>
              </w:rPr>
              <w:t xml:space="preserve"> (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web2.gov.mb.ca</w:t>
              </w:r>
            </w:hyperlink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15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“Expenses were voluntary research.”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Produce chain‑of‑causation: Thorwin withheld Form 8 → tenant had to FIPPA → fees inevitable.</w:t>
            </w:r>
          </w:p>
        </w:tc>
      </w:tr>
      <w:tr>
        <w:trPr>
          <w:cantSplit w:val="0"/>
          <w:trHeight w:val="19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“Personal time speculative.”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Sworn timesheet + payroll stub = contemporaneous, objective proof; same standard used for lost‑income awards under RTA s. 25 maintenance failures.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“ChatGPT not ‘reasonable’.”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Cheaper than retaining counsel; duty to mitigate supports recovery.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hqyfs1pe77d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  Negotiation Module (Monetary Leverage)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 s. 55 damages sought: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$17,431.40</w:t>
      </w:r>
      <w:r w:rsidDel="00000000" w:rsidR="00000000" w:rsidRPr="00000000">
        <w:rPr>
          <w:rtl w:val="0"/>
        </w:rPr>
        <w:t xml:space="preserve"> (to 30 Jun 2025; accrues monthly).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Settlement demand add‑on:</w:t>
      </w:r>
      <w:r w:rsidDel="00000000" w:rsidR="00000000" w:rsidRPr="00000000">
        <w:rPr>
          <w:rtl w:val="0"/>
        </w:rPr>
        <w:t xml:space="preserve"> fold into </w:t>
      </w:r>
      <w:r w:rsidDel="00000000" w:rsidR="00000000" w:rsidRPr="00000000">
        <w:rPr>
          <w:b w:val="1"/>
          <w:rtl w:val="0"/>
        </w:rPr>
        <w:t xml:space="preserve">$4 M compensation pool</w:t>
      </w:r>
      <w:r w:rsidDel="00000000" w:rsidR="00000000" w:rsidRPr="00000000">
        <w:rPr>
          <w:rtl w:val="0"/>
        </w:rPr>
        <w:t xml:space="preserve">; offer to waive s. 55 claim if Thorwin pays </w:t>
      </w:r>
      <w:r w:rsidDel="00000000" w:rsidR="00000000" w:rsidRPr="00000000">
        <w:rPr>
          <w:i w:val="1"/>
          <w:rtl w:val="0"/>
        </w:rPr>
        <w:t xml:space="preserve">all disbursements to date</w:t>
      </w:r>
      <w:r w:rsidDel="00000000" w:rsidR="00000000" w:rsidRPr="00000000">
        <w:rPr>
          <w:rtl w:val="0"/>
        </w:rPr>
        <w:t xml:space="preserve"> on signing.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BATNA:</w:t>
      </w:r>
      <w:r w:rsidDel="00000000" w:rsidR="00000000" w:rsidRPr="00000000">
        <w:rPr>
          <w:rtl w:val="0"/>
        </w:rPr>
        <w:t xml:space="preserve"> pursue full s. 55 claim at RTC + civil action; Thorwin risks public finding that its misconduct imposed direct monetary hardship on tenants.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meizcwjwutq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  Risk &amp; Retaliation Safeguards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Serve all documents by </w:t>
      </w:r>
      <w:r w:rsidDel="00000000" w:rsidR="00000000" w:rsidRPr="00000000">
        <w:rPr>
          <w:b w:val="1"/>
          <w:rtl w:val="0"/>
        </w:rPr>
        <w:t xml:space="preserve">registered mail &amp; e‑mail</w:t>
      </w:r>
      <w:r w:rsidDel="00000000" w:rsidR="00000000" w:rsidRPr="00000000">
        <w:rPr>
          <w:rtl w:val="0"/>
        </w:rPr>
        <w:t xml:space="preserve">; keep logs.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Cite </w:t>
      </w:r>
      <w:r w:rsidDel="00000000" w:rsidR="00000000" w:rsidRPr="00000000">
        <w:rPr>
          <w:b w:val="1"/>
          <w:rtl w:val="0"/>
        </w:rPr>
        <w:t xml:space="preserve">RTA s. 195(1)(c)</w:t>
      </w:r>
      <w:r w:rsidDel="00000000" w:rsidR="00000000" w:rsidRPr="00000000">
        <w:rPr>
          <w:rtl w:val="0"/>
        </w:rPr>
        <w:t xml:space="preserve"> – retaliatory rent increase/eviction is an offence; request Branch monitoring.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digital receipts &amp; create SHA‑256 hashes (Project Protocol ¶14) to pre‑empt challenges to authenticity.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ig802s55oo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9  Truth‑Discipline Enforcement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Statute quoted verbatim above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web2.gov.mb.ca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Regulation extract lines 5‑7 show 10 % costs ceiling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web2.gov.mb.ca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Verbatim email (E‑055) and receipts to be attached exactly as exhibits; no paraphrasing in filings.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9xfvhn5dnr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10  Next Concrete Steps (check‑list)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Draft </w:t>
      </w:r>
      <w:r w:rsidDel="00000000" w:rsidR="00000000" w:rsidRPr="00000000">
        <w:rPr>
          <w:b w:val="1"/>
          <w:rtl w:val="0"/>
        </w:rPr>
        <w:t xml:space="preserve">Affidavit of Disbursements &amp; Time‑Loss</w:t>
      </w:r>
      <w:r w:rsidDel="00000000" w:rsidR="00000000" w:rsidRPr="00000000">
        <w:rPr>
          <w:rtl w:val="0"/>
        </w:rPr>
        <w:t xml:space="preserve"> – attach receipts, timesheets, payroll stub.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b w:val="1"/>
          <w:rtl w:val="0"/>
        </w:rPr>
        <w:t xml:space="preserve">Schedule A – Damages Table</w:t>
      </w:r>
      <w:r w:rsidDel="00000000" w:rsidR="00000000" w:rsidRPr="00000000">
        <w:rPr>
          <w:rtl w:val="0"/>
        </w:rPr>
        <w:t xml:space="preserve"> (insert into Master Case File).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</w:t>
      </w:r>
      <w:r w:rsidDel="00000000" w:rsidR="00000000" w:rsidRPr="00000000">
        <w:rPr>
          <w:b w:val="1"/>
          <w:rtl w:val="0"/>
        </w:rPr>
        <w:t xml:space="preserve">Amended Notice of Appeal + Affidavit</w:t>
      </w:r>
      <w:r w:rsidDel="00000000" w:rsidR="00000000" w:rsidRPr="00000000">
        <w:rPr>
          <w:rtl w:val="0"/>
        </w:rPr>
        <w:t xml:space="preserve"> with RTC; serve Thorwin &amp; Branch.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Violation Nos. 016‑018 into Appendix A and A‑1 Director package.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settlement letter to </w:t>
      </w:r>
      <w:r w:rsidDel="00000000" w:rsidR="00000000" w:rsidRPr="00000000">
        <w:rPr>
          <w:b w:val="1"/>
          <w:rtl w:val="0"/>
        </w:rPr>
        <w:t xml:space="preserve">increase quantum by $17,431.40</w:t>
      </w:r>
      <w:r w:rsidDel="00000000" w:rsidR="00000000" w:rsidRPr="00000000">
        <w:rPr>
          <w:rtl w:val="0"/>
        </w:rPr>
        <w:t xml:space="preserve"> or state waiver condition.</w:t>
        <w:br w:type="textWrapping"/>
      </w:r>
    </w:p>
    <w:p w:rsidR="00000000" w:rsidDel="00000000" w:rsidP="00000000" w:rsidRDefault="00000000" w:rsidRPr="00000000" w14:paraId="0000006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Once executed, the s. 55 damages claim stands on the same evidentiary footing as the underlying service‑withdrawal breaches, maximising both compensation and negotiating pressure.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eb2.gov.mb.ca/laws/regs/current/_pdf-regs.php?reg=149%2F2006" TargetMode="External"/><Relationship Id="rId5" Type="http://schemas.openxmlformats.org/officeDocument/2006/relationships/styles" Target="styles.xml"/><Relationship Id="rId6" Type="http://schemas.openxmlformats.org/officeDocument/2006/relationships/hyperlink" Target="https://web2.gov.mb.ca/laws/statutes/ccsm/r119.php?utm_source=chatgpt.com" TargetMode="External"/><Relationship Id="rId7" Type="http://schemas.openxmlformats.org/officeDocument/2006/relationships/hyperlink" Target="https://web2.gov.mb.ca/laws/regs/current/_pdf-regs.php?reg=149%2F2006" TargetMode="External"/><Relationship Id="rId8" Type="http://schemas.openxmlformats.org/officeDocument/2006/relationships/hyperlink" Target="https://web2.gov.mb.ca/laws/statutes/ccsm/r119.php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