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i7q2s5uvh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Strategic Memo – Value of Legislative‑Intent Evidence at the Residential Tenancies Commission (RTC)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strfohz6vwh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  Clarify the Question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You ask whether citing Hansard/Budget statements (“legislative‑intent material”) carries weight at an RTC rent‑increase appeal and, if not, whether the tactic should be abandoned.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k04myotnet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  IRAC Analysis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668.292682926829"/>
        <w:gridCol w:w="2880"/>
        <w:gridCol w:w="1541.8536585365855"/>
        <w:gridCol w:w="3269.853658536585"/>
        <w:tblGridChange w:id="0">
          <w:tblGrid>
            <w:gridCol w:w="1668.292682926829"/>
            <w:gridCol w:w="2880"/>
            <w:gridCol w:w="1541.8536585365855"/>
            <w:gridCol w:w="3269.8536585365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 (RTC practice)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Does the RTC give determinative weight to Hansard or Budget speeches when interpreting rent‑freeze provisions?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 </w:t>
            </w:r>
            <w:r w:rsidDel="00000000" w:rsidR="00000000" w:rsidRPr="00000000">
              <w:rPr>
                <w:i w:val="1"/>
                <w:rtl w:val="0"/>
              </w:rPr>
              <w:t xml:space="preserve">Residential Tenancies Act</w:t>
            </w:r>
            <w:r w:rsidDel="00000000" w:rsidR="00000000" w:rsidRPr="00000000">
              <w:rPr>
                <w:rtl w:val="0"/>
              </w:rPr>
              <w:t xml:space="preserve"> (“RTA”) s. 125 confines the RTC to (i) rent math (operating, capital, EAF) and (ii) six enumerated fairness factors.• Tribunal must follow </w:t>
            </w:r>
            <w:r w:rsidDel="00000000" w:rsidR="00000000" w:rsidRPr="00000000">
              <w:rPr>
                <w:i w:val="1"/>
                <w:rtl w:val="0"/>
              </w:rPr>
              <w:t xml:space="preserve">modern approach</w:t>
            </w:r>
            <w:r w:rsidDel="00000000" w:rsidR="00000000" w:rsidRPr="00000000">
              <w:rPr>
                <w:rtl w:val="0"/>
              </w:rPr>
              <w:t xml:space="preserve"> to statutory interpretation (SCC </w:t>
            </w:r>
            <w:r w:rsidDel="00000000" w:rsidR="00000000" w:rsidRPr="00000000">
              <w:rPr>
                <w:i w:val="1"/>
                <w:rtl w:val="0"/>
              </w:rPr>
              <w:t xml:space="preserve">Rizzo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Vavilov</w:t>
            </w:r>
            <w:r w:rsidDel="00000000" w:rsidR="00000000" w:rsidRPr="00000000">
              <w:rPr>
                <w:rtl w:val="0"/>
              </w:rPr>
              <w:t xml:space="preserve">), but only resorts to extrinsic aids (Hansard, ministerial speeches) where text is </w:t>
            </w:r>
            <w:r w:rsidDel="00000000" w:rsidR="00000000" w:rsidRPr="00000000">
              <w:rPr>
                <w:b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• RTC reasons (22 Jun 2023) invoke the </w:t>
            </w:r>
            <w:r w:rsidDel="00000000" w:rsidR="00000000" w:rsidRPr="00000000">
              <w:rPr>
                <w:b w:val="1"/>
                <w:rtl w:val="0"/>
              </w:rPr>
              <w:t xml:space="preserve">information note</w:t>
            </w:r>
            <w:r w:rsidDel="00000000" w:rsidR="00000000" w:rsidRPr="00000000">
              <w:rPr>
                <w:rtl w:val="0"/>
              </w:rPr>
              <w:t xml:space="preserve"> to s. 120(3) and treat it as dispositive; they explicitly </w:t>
            </w:r>
            <w:r w:rsidDel="00000000" w:rsidR="00000000" w:rsidRPr="00000000">
              <w:rPr>
                <w:b w:val="1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  <w:t xml:space="preserve"> tenant’s policy submissions as “not relevant”. • Decades of RTC jurisprudence show a pattern: if the statutory text and Rent Regulation formula appear “clear”, the panel will not canvass legislative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Persuasive but rarely decisive.</w:t>
            </w:r>
            <w:r w:rsidDel="00000000" w:rsidR="00000000" w:rsidRPr="00000000">
              <w:rPr>
                <w:rtl w:val="0"/>
              </w:rPr>
              <w:t xml:space="preserve">2. RTC views its mandate as </w:t>
            </w:r>
            <w:r w:rsidDel="00000000" w:rsidR="00000000" w:rsidRPr="00000000">
              <w:rPr>
                <w:b w:val="1"/>
                <w:rtl w:val="0"/>
              </w:rPr>
              <w:t xml:space="preserve">administrative+arithmetical</w:t>
            </w:r>
            <w:r w:rsidDel="00000000" w:rsidR="00000000" w:rsidRPr="00000000">
              <w:rPr>
                <w:rtl w:val="0"/>
              </w:rPr>
              <w:t xml:space="preserve">; policy arguments seldom move the needle unless tied to a mandatory factor in s. 125.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v6vjp35s7f6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  Violation‑Matrix Update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736.5559529892693"/>
        <w:gridCol w:w="1453.9805825242718"/>
        <w:gridCol w:w="3548.8605007664796"/>
        <w:gridCol w:w="3620.60296371998"/>
        <w:tblGridChange w:id="0">
          <w:tblGrid>
            <w:gridCol w:w="736.5559529892693"/>
            <w:gridCol w:w="1453.9805825242718"/>
            <w:gridCol w:w="3548.8605007664796"/>
            <w:gridCol w:w="3620.6029637199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Proven Utility of Hansard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Tactical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RTC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Low – panels default to plain‑meaning + formula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 only as </w:t>
            </w:r>
            <w:r w:rsidDel="00000000" w:rsidR="00000000" w:rsidRPr="00000000">
              <w:rPr>
                <w:i w:val="1"/>
                <w:rtl w:val="0"/>
              </w:rPr>
              <w:t xml:space="preserve">contextual garnish</w:t>
            </w:r>
            <w:r w:rsidDel="00000000" w:rsidR="00000000" w:rsidRPr="00000000">
              <w:rPr>
                <w:rtl w:val="0"/>
              </w:rPr>
              <w:t xml:space="preserve"> alongside a concrete s. 125 factor (e.g., pending service withdrawal).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Court of Appeal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 – pure question of law; misreading s. 120(3) triggers </w:t>
            </w:r>
            <w:r w:rsidDel="00000000" w:rsidR="00000000" w:rsidRPr="00000000">
              <w:rPr>
                <w:i w:val="1"/>
                <w:rtl w:val="0"/>
              </w:rPr>
              <w:t xml:space="preserve">Vavilov</w:t>
            </w:r>
            <w:r w:rsidDel="00000000" w:rsidR="00000000" w:rsidRPr="00000000">
              <w:rPr>
                <w:rtl w:val="0"/>
              </w:rPr>
              <w:t xml:space="preserve"> reasonableness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Make Hansard the centrepiece of Ground #3.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0mu2x74c9t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  Case‑Theory Check</w:t>
      </w:r>
    </w:p>
    <w:p w:rsidR="00000000" w:rsidDel="00000000" w:rsidP="00000000" w:rsidRDefault="00000000" w:rsidRPr="00000000" w14:paraId="0000001F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Narrative at RTC:</w:t>
      </w:r>
      <w:r w:rsidDel="00000000" w:rsidR="00000000" w:rsidRPr="00000000">
        <w:rPr>
          <w:rtl w:val="0"/>
        </w:rPr>
        <w:t xml:space="preserve"> “Director’s formula mis‑allocated costs and ignored mandatory factors (services withdrawn, repairs outstanding).”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Legislative intent</w:t>
      </w:r>
      <w:r w:rsidDel="00000000" w:rsidR="00000000" w:rsidRPr="00000000">
        <w:rPr>
          <w:rtl w:val="0"/>
        </w:rPr>
        <w:t xml:space="preserve"> is supporting colour, not the headline. Over‑emphasising Hansard risks sounding like policy lobbying rather than a statutory objection – something the panel said it could not entertain.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n1dzyv7x2md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  Procedural Pathway Guidance</w:t>
      </w:r>
    </w:p>
    <w:tbl>
      <w:tblPr>
        <w:tblStyle w:val="Table3"/>
        <w:tblW w:w="9360.000000000002" w:type="dxa"/>
        <w:jc w:val="left"/>
        <w:tblLayout w:type="fixed"/>
        <w:tblLook w:val="0600"/>
      </w:tblPr>
      <w:tblGrid>
        <w:gridCol w:w="2808.486739469579"/>
        <w:gridCol w:w="3655.4134165366618"/>
        <w:gridCol w:w="2896.0998439937603"/>
        <w:tblGridChange w:id="0">
          <w:tblGrid>
            <w:gridCol w:w="2808.486739469579"/>
            <w:gridCol w:w="3655.4134165366618"/>
            <w:gridCol w:w="2896.0998439937603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 That Moves the Needle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Recommended Emphasis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RTC appeal (fresh or reconsideration)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Precise attack on Branch math (mis‑classified capital costs, wrong EAF base).• Proof of </w:t>
            </w:r>
            <w:r w:rsidDel="00000000" w:rsidR="00000000" w:rsidRPr="00000000">
              <w:rPr>
                <w:b w:val="1"/>
                <w:rtl w:val="0"/>
              </w:rPr>
              <w:t xml:space="preserve">s. 125(3)(c)</w:t>
            </w:r>
            <w:r w:rsidDel="00000000" w:rsidR="00000000" w:rsidRPr="00000000">
              <w:rPr>
                <w:rtl w:val="0"/>
              </w:rPr>
              <w:t xml:space="preserve"> changes (loss of storage/laundry).• Any </w:t>
            </w:r>
            <w:r w:rsidDel="00000000" w:rsidR="00000000" w:rsidRPr="00000000">
              <w:rPr>
                <w:b w:val="1"/>
                <w:rtl w:val="0"/>
              </w:rPr>
              <w:t xml:space="preserve">repair orders</w:t>
            </w:r>
            <w:r w:rsidDel="00000000" w:rsidR="00000000" w:rsidRPr="00000000">
              <w:rPr>
                <w:rtl w:val="0"/>
              </w:rPr>
              <w:t xml:space="preserve"> or photos tying Thorwin’s neglect to the unit.• Comparative apportionment error under s. 125(2)(b)/(c).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80 % hard‐number critique; 20 % Hansard to buttress fairness narrative.</w:t>
            </w:r>
          </w:p>
        </w:tc>
      </w:tr>
      <w:tr>
        <w:trPr>
          <w:cantSplit w:val="0"/>
          <w:trHeight w:val="45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Court of Appeal leave &amp; merits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Question of law: “Did RTC misconstrue s. 120(3)(b) by elevating an information note above the deeming clause?”• Hansard vol. 44, p. 2222 (“freeze to help renters catch up”) + Budget 2021 p. 61.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Make Hansard central; show RTC’s reading defeats legislative purpose ⇒ </w:t>
            </w:r>
            <w:r w:rsidDel="00000000" w:rsidR="00000000" w:rsidRPr="00000000">
              <w:rPr>
                <w:i w:val="1"/>
                <w:rtl w:val="0"/>
              </w:rPr>
              <w:t xml:space="preserve">patently unreasonable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vdc1pkxcx3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  Opposition Forecast (@RTC)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171.201694017999"/>
        <w:gridCol w:w="6188.798305982001"/>
        <w:tblGridChange w:id="0">
          <w:tblGrid>
            <w:gridCol w:w="3171.201694017999"/>
            <w:gridCol w:w="6188.798305982001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Likely Panel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How to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“Legislature allowed AGIs; our job is the formula.”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Show where </w:t>
            </w:r>
            <w:r w:rsidDel="00000000" w:rsidR="00000000" w:rsidRPr="00000000">
              <w:rPr>
                <w:b w:val="1"/>
                <w:rtl w:val="0"/>
              </w:rPr>
              <w:t xml:space="preserve">formula itself</w:t>
            </w:r>
            <w:r w:rsidDel="00000000" w:rsidR="00000000" w:rsidRPr="00000000">
              <w:rPr>
                <w:rtl w:val="0"/>
              </w:rPr>
              <w:t xml:space="preserve"> must start at 0 % (s. 7 Rent Reg. calculation) and how service withdrawals force an offset under s. 125(3)(c).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“Policy arguments are for lawmakers.”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Acknowledge and pivot: “We rely on Hansard only to resolve the text‑purpose clash; the </w:t>
            </w:r>
            <w:r w:rsidDel="00000000" w:rsidR="00000000" w:rsidRPr="00000000">
              <w:rPr>
                <w:b w:val="1"/>
                <w:rtl w:val="0"/>
              </w:rPr>
              <w:t xml:space="preserve">operative breach</w:t>
            </w:r>
            <w:r w:rsidDel="00000000" w:rsidR="00000000" w:rsidRPr="00000000">
              <w:rPr>
                <w:rtl w:val="0"/>
              </w:rPr>
              <w:t xml:space="preserve"> is that mandatory factor(s) were ignored.”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7boxc1mwfo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  Negotiation &amp; Leverage Impact</w:t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Hansard quotations </w:t>
      </w:r>
      <w:r w:rsidDel="00000000" w:rsidR="00000000" w:rsidRPr="00000000">
        <w:rPr>
          <w:b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add reputational pressure – useful in media releases and settlement dialogue (“Thorwin defies intent of pandemic freeze”). But in‐hearing leverage at the RTC is minimal; focus bargaining chips on exposing Branch arithmetic errors and threatening a Court‑of‑Appeal precedent that could roll back Thorwin’s 2022‑23 AGI pipeline.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6av8138j0dy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  Recommendation (Action Items)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Re‑frame RTC submissions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with math/mandatory‑factor defects – attach revised spreadsheet.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Relegate Hansard to one short paragraph under “Purposive Context”.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Preserve the record</w:t>
      </w:r>
      <w:r w:rsidDel="00000000" w:rsidR="00000000" w:rsidRPr="00000000">
        <w:rPr>
          <w:rtl w:val="0"/>
        </w:rPr>
        <w:t xml:space="preserve">: file Hansard excerpts as </w:t>
      </w:r>
      <w:r w:rsidDel="00000000" w:rsidR="00000000" w:rsidRPr="00000000">
        <w:rPr>
          <w:i w:val="1"/>
          <w:rtl w:val="0"/>
        </w:rPr>
        <w:t xml:space="preserve">Exhibits</w:t>
      </w:r>
      <w:r w:rsidDel="00000000" w:rsidR="00000000" w:rsidRPr="00000000">
        <w:rPr>
          <w:rtl w:val="0"/>
        </w:rPr>
        <w:t xml:space="preserve"> anyway – needed for appellate review.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Court‑of‑Appeal brief</w:t>
      </w:r>
      <w:r w:rsidDel="00000000" w:rsidR="00000000" w:rsidRPr="00000000">
        <w:rPr>
          <w:rtl w:val="0"/>
        </w:rPr>
        <w:t xml:space="preserve">: elevate Hansard + Budget to the core of Ground #3; argue </w:t>
      </w:r>
      <w:r w:rsidDel="00000000" w:rsidR="00000000" w:rsidRPr="00000000">
        <w:rPr>
          <w:i w:val="1"/>
          <w:rtl w:val="0"/>
        </w:rPr>
        <w:t xml:space="preserve">Vavilov</w:t>
      </w:r>
      <w:r w:rsidDel="00000000" w:rsidR="00000000" w:rsidRPr="00000000">
        <w:rPr>
          <w:rtl w:val="0"/>
        </w:rPr>
        <w:t xml:space="preserve"> reasonableness.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 kit / coalition outreach</w:t>
      </w:r>
      <w:r w:rsidDel="00000000" w:rsidR="00000000" w:rsidRPr="00000000">
        <w:rPr>
          <w:rtl w:val="0"/>
        </w:rPr>
        <w:t xml:space="preserve">: keep legislative‑intent quotes front‑and‑centre to sustain public narrative.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xng7d1o2op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  Bottom Line</w:t>
      </w:r>
    </w:p>
    <w:p w:rsidR="00000000" w:rsidDel="00000000" w:rsidP="00000000" w:rsidRDefault="00000000" w:rsidRPr="00000000" w14:paraId="00000040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Quoting the Legislature is a </w:t>
      </w:r>
      <w:r w:rsidDel="00000000" w:rsidR="00000000" w:rsidRPr="00000000">
        <w:rPr>
          <w:b w:val="1"/>
          <w:i w:val="1"/>
          <w:rtl w:val="0"/>
        </w:rPr>
        <w:t xml:space="preserve">strategic reserve</w:t>
      </w:r>
      <w:r w:rsidDel="00000000" w:rsidR="00000000" w:rsidRPr="00000000">
        <w:rPr>
          <w:i w:val="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</w:t>
      </w:r>
      <w:r w:rsidDel="00000000" w:rsidR="00000000" w:rsidRPr="00000000">
        <w:rPr>
          <w:rtl w:val="0"/>
        </w:rPr>
        <w:t xml:space="preserve"> – limited persuasive value; use sparingly and tether to s. 125 factors.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Appeal courts + public forum</w:t>
      </w:r>
      <w:r w:rsidDel="00000000" w:rsidR="00000000" w:rsidRPr="00000000">
        <w:rPr>
          <w:rtl w:val="0"/>
        </w:rPr>
        <w:t xml:space="preserve"> – high value; essential to show statutory misinterpretation and build moral pressure.</w:t>
        <w:br w:type="textWrapping"/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Deploy the evidence where it punches hardest, but don’t let it crowd out the concrete arithmetic and statutory‑factor breaches that the RTC must address.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