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v2pr0icbu2x" w:id="0"/>
      <w:bookmarkEnd w:id="0"/>
      <w:r w:rsidDel="00000000" w:rsidR="00000000" w:rsidRPr="00000000">
        <w:rPr>
          <w:b w:val="1"/>
          <w:color w:val="000000"/>
          <w:sz w:val="26"/>
          <w:szCs w:val="26"/>
          <w:rtl w:val="0"/>
        </w:rPr>
        <w:t xml:space="preserve">Targeted Strategic Analysis – Susan Fehr’s Knowledge &amp; Misrepresentation</w:t>
      </w:r>
    </w:p>
    <w:p w:rsidR="00000000" w:rsidDel="00000000" w:rsidP="00000000" w:rsidRDefault="00000000" w:rsidRPr="00000000" w14:paraId="00000002">
      <w:pPr>
        <w:spacing w:after="360" w:before="360" w:lineRule="auto"/>
        <w:rPr>
          <w:i w:val="1"/>
        </w:rPr>
      </w:pPr>
      <w:r w:rsidDel="00000000" w:rsidR="00000000" w:rsidRPr="00000000">
        <w:rPr>
          <w:i w:val="1"/>
          <w:rtl w:val="0"/>
        </w:rPr>
        <w:t xml:space="preserve">(Truth‑discipline mode: every quotation reproduced </w:t>
      </w:r>
      <w:r w:rsidDel="00000000" w:rsidR="00000000" w:rsidRPr="00000000">
        <w:rPr>
          <w:b w:val="1"/>
          <w:i w:val="1"/>
          <w:rtl w:val="0"/>
        </w:rPr>
        <w:t xml:space="preserve">verbatim</w:t>
      </w:r>
      <w:r w:rsidDel="00000000" w:rsidR="00000000" w:rsidRPr="00000000">
        <w:rPr>
          <w:i w:val="1"/>
          <w:rtl w:val="0"/>
        </w:rPr>
        <w:t xml:space="preserve"> with file citations)</w:t>
      </w:r>
    </w:p>
    <w:tbl>
      <w:tblPr>
        <w:tblStyle w:val="Table1"/>
        <w:tblW w:w="9360.0" w:type="dxa"/>
        <w:jc w:val="left"/>
        <w:tblLayout w:type="fixed"/>
        <w:tblLook w:val="0600"/>
      </w:tblPr>
      <w:tblGrid>
        <w:gridCol w:w="3187.9183673469383"/>
        <w:gridCol w:w="3022.367346938776"/>
        <w:gridCol w:w="3149.7142857142853"/>
        <w:tblGridChange w:id="0">
          <w:tblGrid>
            <w:gridCol w:w="3187.9183673469383"/>
            <w:gridCol w:w="3022.367346938776"/>
            <w:gridCol w:w="3149.7142857142853"/>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rtl w:val="0"/>
              </w:rPr>
              <w:t xml:space="preserve">Chronology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Verbatim Evidence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Immediate Legal Significance</w:t>
            </w:r>
            <w:r w:rsidDel="00000000" w:rsidR="00000000" w:rsidRPr="00000000">
              <w:rPr>
                <w:rtl w:val="0"/>
              </w:rPr>
            </w:r>
          </w:p>
        </w:tc>
      </w:tr>
      <w:tr>
        <w:trPr>
          <w:cantSplit w:val="0"/>
          <w:trHeight w:val="4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rtl w:val="0"/>
              </w:rPr>
              <w:t xml:space="preserve">05 May 2023</w:t>
            </w:r>
            <w:r w:rsidDel="00000000" w:rsidR="00000000" w:rsidRPr="00000000">
              <w:rPr>
                <w:rtl w:val="0"/>
              </w:rPr>
              <w:t xml:space="preserve"> – Letter signed by </w:t>
            </w:r>
            <w:r w:rsidDel="00000000" w:rsidR="00000000" w:rsidRPr="00000000">
              <w:rPr>
                <w:b w:val="1"/>
                <w:rtl w:val="0"/>
              </w:rPr>
              <w:t xml:space="preserve">Susan Fehr</w:t>
            </w:r>
            <w:r w:rsidDel="00000000" w:rsidR="00000000" w:rsidRPr="00000000">
              <w:rPr>
                <w:rtl w:val="0"/>
              </w:rPr>
              <w:t xml:space="preserve"> to Evan Rosner</w:t>
            </w:r>
          </w:p>
        </w:tc>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w:t>
            </w:r>
            <w:r w:rsidDel="00000000" w:rsidR="00000000" w:rsidRPr="00000000">
              <w:rPr>
                <w:i w:val="1"/>
                <w:rtl w:val="0"/>
              </w:rPr>
              <w:t xml:space="preserve">Thorwin Properties has followed the required processes for any above guideline increases and any concerns you may have regarding the applications should be sent to the Residential Tenancies Branch.</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1 ► Admits corporate awareness of AGI controversy.2 ► Directs tenant away from internal remedy → supports </w:t>
            </w:r>
            <w:r w:rsidDel="00000000" w:rsidR="00000000" w:rsidRPr="00000000">
              <w:rPr>
                <w:b w:val="1"/>
                <w:rtl w:val="0"/>
              </w:rPr>
              <w:t xml:space="preserve">retaliation/obstruction</w:t>
            </w:r>
            <w:r w:rsidDel="00000000" w:rsidR="00000000" w:rsidRPr="00000000">
              <w:rPr>
                <w:rtl w:val="0"/>
              </w:rPr>
              <w:t xml:space="preserve"> narrative (RTA s. 195).</w:t>
            </w:r>
          </w:p>
        </w:tc>
      </w:tr>
      <w:tr>
        <w:trPr>
          <w:cantSplit w:val="0"/>
          <w:trHeight w:val="4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rtl w:val="0"/>
              </w:rPr>
              <w:t xml:space="preserve">31 Jan 2024 14:43</w:t>
            </w:r>
            <w:r w:rsidDel="00000000" w:rsidR="00000000" w:rsidRPr="00000000">
              <w:rPr>
                <w:rtl w:val="0"/>
              </w:rPr>
              <w:t xml:space="preserve"> – Email from </w:t>
            </w:r>
            <w:r w:rsidDel="00000000" w:rsidR="00000000" w:rsidRPr="00000000">
              <w:rPr>
                <w:b w:val="1"/>
                <w:rtl w:val="0"/>
              </w:rPr>
              <w:t xml:space="preserve">Evan Rosner</w:t>
            </w:r>
            <w:r w:rsidDel="00000000" w:rsidR="00000000" w:rsidRPr="00000000">
              <w:rPr>
                <w:rtl w:val="0"/>
              </w:rPr>
              <w:t xml:space="preserve"> to Fehr &amp; RTB: “</w:t>
            </w:r>
            <w:r w:rsidDel="00000000" w:rsidR="00000000" w:rsidRPr="00000000">
              <w:rPr>
                <w:i w:val="1"/>
                <w:rtl w:val="0"/>
              </w:rPr>
              <w:t xml:space="preserve">This is already happening and is an issue of non‑compliance… Cease and desist.</w:t>
            </w:r>
            <w:r w:rsidDel="00000000" w:rsidR="00000000" w:rsidRPr="00000000">
              <w:rPr>
                <w:rtl w:val="0"/>
              </w:rPr>
              <w:t xml:space="preserve">” (body embeds Form 8 date)</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Gives Fehr </w:t>
            </w:r>
            <w:r w:rsidDel="00000000" w:rsidR="00000000" w:rsidRPr="00000000">
              <w:rPr>
                <w:b w:val="1"/>
                <w:rtl w:val="0"/>
              </w:rPr>
              <w:t xml:space="preserve">actual notice</w:t>
            </w:r>
            <w:r w:rsidDel="00000000" w:rsidR="00000000" w:rsidRPr="00000000">
              <w:rPr>
                <w:rtl w:val="0"/>
              </w:rPr>
              <w:t xml:space="preserve"> that lockers/laundry are already inaccessible despite Form 8 effective date of </w:t>
            </w:r>
            <w:r w:rsidDel="00000000" w:rsidR="00000000" w:rsidRPr="00000000">
              <w:rPr>
                <w:b w:val="1"/>
                <w:rtl w:val="0"/>
              </w:rPr>
              <w:t xml:space="preserve">1 May 2024</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r>
      <w:tr>
        <w:trPr>
          <w:cantSplit w:val="0"/>
          <w:trHeight w:val="7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rtl w:val="0"/>
              </w:rPr>
              <w:t xml:space="preserve">31 Jan 2024 21:15 UTC</w:t>
            </w:r>
            <w:r w:rsidDel="00000000" w:rsidR="00000000" w:rsidRPr="00000000">
              <w:rPr>
                <w:rtl w:val="0"/>
              </w:rPr>
              <w:t xml:space="preserve"> – Fehr reply to Evan + RTB: “</w:t>
            </w:r>
            <w:r w:rsidDel="00000000" w:rsidR="00000000" w:rsidRPr="00000000">
              <w:rPr>
                <w:i w:val="1"/>
                <w:rtl w:val="0"/>
              </w:rPr>
              <w:t xml:space="preserve">I have confirmed with the Construction Manager that both your locker and the laundry facilities at 585 Corydon are available for your use. The workers have been instructed to make sure that there is a safe and clear path to these amenities.</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 ► Positive assertion of compliance.2 ► Direct communication to </w:t>
            </w:r>
            <w:r w:rsidDel="00000000" w:rsidR="00000000" w:rsidRPr="00000000">
              <w:rPr>
                <w:b w:val="1"/>
                <w:rtl w:val="0"/>
              </w:rPr>
              <w:t xml:space="preserve">RTB File FIN</w:t>
            </w:r>
            <w:r w:rsidDel="00000000" w:rsidR="00000000" w:rsidRPr="00000000">
              <w:rPr>
                <w:rtl w:val="0"/>
              </w:rPr>
              <w:t xml:space="preserve"> list‑serve – Fehr knowingly places false statement on the regulatory record.3 ► Creates </w:t>
            </w:r>
            <w:r w:rsidDel="00000000" w:rsidR="00000000" w:rsidRPr="00000000">
              <w:rPr>
                <w:b w:val="1"/>
                <w:rtl w:val="0"/>
              </w:rPr>
              <w:t xml:space="preserve">mens rea</w:t>
            </w:r>
            <w:r w:rsidDel="00000000" w:rsidR="00000000" w:rsidRPr="00000000">
              <w:rPr>
                <w:rtl w:val="0"/>
              </w:rPr>
              <w:t xml:space="preserve"> for misrepresentation (Criminal Code s. 380) once later proof shows lockers were emptied 17 Jan 2024.</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f2m0yu79z8ry" w:id="1"/>
      <w:bookmarkEnd w:id="1"/>
      <w:r w:rsidDel="00000000" w:rsidR="00000000" w:rsidRPr="00000000">
        <w:rPr>
          <w:b w:val="1"/>
          <w:sz w:val="34"/>
          <w:szCs w:val="34"/>
          <w:rtl w:val="0"/>
        </w:rPr>
        <w:t xml:space="preserve">IRAC Mapping – False Assurance &amp; Service Withdrawal</w:t>
      </w:r>
    </w:p>
    <w:tbl>
      <w:tblPr>
        <w:tblStyle w:val="Table2"/>
        <w:tblW w:w="9360.0" w:type="dxa"/>
        <w:jc w:val="left"/>
        <w:tblLayout w:type="fixed"/>
        <w:tblLook w:val="0600"/>
      </w:tblPr>
      <w:tblGrid>
        <w:gridCol w:w="2011.7310746426683"/>
        <w:gridCol w:w="7348.268925357333"/>
        <w:tblGridChange w:id="0">
          <w:tblGrid>
            <w:gridCol w:w="2011.7310746426683"/>
            <w:gridCol w:w="7348.268925357333"/>
          </w:tblGrid>
        </w:tblGridChange>
      </w:tblGrid>
      <w:tr>
        <w:trPr>
          <w:cantSplit w:val="0"/>
          <w:trHeight w:val="6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Element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rtl w:val="0"/>
              </w:rPr>
              <w:t xml:space="preserve">Analysis</w:t>
            </w:r>
            <w:r w:rsidDel="00000000" w:rsidR="00000000" w:rsidRPr="00000000">
              <w:rPr>
                <w:rtl w:val="0"/>
              </w:rPr>
            </w:r>
          </w:p>
        </w:tc>
      </w:tr>
      <w:tr>
        <w:trPr>
          <w:cantSplit w:val="0"/>
          <w:trHeight w:val="19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rtl w:val="0"/>
              </w:rPr>
              <w:t xml:space="preserve">Issue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Did Susan Fehr’s 31 Jan 2024 email constitute a </w:t>
            </w:r>
            <w:r w:rsidDel="00000000" w:rsidR="00000000" w:rsidRPr="00000000">
              <w:rPr>
                <w:b w:val="1"/>
                <w:rtl w:val="0"/>
              </w:rPr>
              <w:t xml:space="preserve">knowing misrepresentation</w:t>
            </w:r>
            <w:r w:rsidDel="00000000" w:rsidR="00000000" w:rsidRPr="00000000">
              <w:rPr>
                <w:rtl w:val="0"/>
              </w:rPr>
              <w:t xml:space="preserve"> to both tenant and RTB, aggravating the unlawful withdrawal of lockers &amp; laundry?</w:t>
            </w:r>
          </w:p>
        </w:tc>
      </w:tr>
      <w:tr>
        <w:trPr>
          <w:cantSplit w:val="0"/>
          <w:trHeight w:val="33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Rule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i w:val="1"/>
                <w:rtl w:val="0"/>
              </w:rPr>
              <w:t xml:space="preserve">RTA s. 138(1)(a)</w:t>
            </w:r>
            <w:r w:rsidDel="00000000" w:rsidR="00000000" w:rsidRPr="00000000">
              <w:rPr>
                <w:rtl w:val="0"/>
              </w:rPr>
              <w:t xml:space="preserve"> – no withdrawal without Director approval.• </w:t>
            </w:r>
            <w:r w:rsidDel="00000000" w:rsidR="00000000" w:rsidRPr="00000000">
              <w:rPr>
                <w:i w:val="1"/>
                <w:rtl w:val="0"/>
              </w:rPr>
              <w:t xml:space="preserve">RTA s. 135</w:t>
            </w:r>
            <w:r w:rsidDel="00000000" w:rsidR="00000000" w:rsidRPr="00000000">
              <w:rPr>
                <w:rtl w:val="0"/>
              </w:rPr>
              <w:t xml:space="preserve"> – landlord must not substantially interfere with tenant’s use of premises.• </w:t>
            </w:r>
            <w:r w:rsidDel="00000000" w:rsidR="00000000" w:rsidRPr="00000000">
              <w:rPr>
                <w:i w:val="1"/>
                <w:rtl w:val="0"/>
              </w:rPr>
              <w:t xml:space="preserve">Criminal Code s. 380(1)(a)</w:t>
            </w:r>
            <w:r w:rsidDel="00000000" w:rsidR="00000000" w:rsidRPr="00000000">
              <w:rPr>
                <w:rtl w:val="0"/>
              </w:rPr>
              <w:t xml:space="preserve"> – fraud by false pretence.• </w:t>
            </w:r>
            <w:r w:rsidDel="00000000" w:rsidR="00000000" w:rsidRPr="00000000">
              <w:rPr>
                <w:i w:val="1"/>
                <w:rtl w:val="0"/>
              </w:rPr>
              <w:t xml:space="preserve">RTA s. 154(1)(c)</w:t>
            </w:r>
            <w:r w:rsidDel="00000000" w:rsidR="00000000" w:rsidRPr="00000000">
              <w:rPr>
                <w:rtl w:val="0"/>
              </w:rPr>
              <w:t xml:space="preserve"> – Director may levy administrative penalty for false or misleading information to Branch.</w:t>
            </w:r>
          </w:p>
        </w:tc>
      </w:tr>
      <w:tr>
        <w:trPr>
          <w:cantSplit w:val="0"/>
          <w:trHeight w:val="32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rtl w:val="0"/>
              </w:rPr>
              <w:t xml:space="preserve">Application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 </w:t>
            </w:r>
            <w:r w:rsidDel="00000000" w:rsidR="00000000" w:rsidRPr="00000000">
              <w:rPr>
                <w:b w:val="1"/>
                <w:rtl w:val="0"/>
              </w:rPr>
              <w:t xml:space="preserve">17 Jan 2024 directive</w:t>
            </w:r>
            <w:r w:rsidDel="00000000" w:rsidR="00000000" w:rsidRPr="00000000">
              <w:rPr>
                <w:rtl w:val="0"/>
              </w:rPr>
              <w:t xml:space="preserve"> ordering lockers emptied shows withdrawal already underway.(b) </w:t>
            </w:r>
            <w:r w:rsidDel="00000000" w:rsidR="00000000" w:rsidRPr="00000000">
              <w:rPr>
                <w:b w:val="1"/>
                <w:rtl w:val="0"/>
              </w:rPr>
              <w:t xml:space="preserve">Fehr email (31 Jan 2024)</w:t>
            </w:r>
            <w:r w:rsidDel="00000000" w:rsidR="00000000" w:rsidRPr="00000000">
              <w:rPr>
                <w:rtl w:val="0"/>
              </w:rPr>
              <w:t xml:space="preserve">: “</w:t>
            </w:r>
            <w:r w:rsidDel="00000000" w:rsidR="00000000" w:rsidRPr="00000000">
              <w:rPr>
                <w:i w:val="1"/>
                <w:rtl w:val="0"/>
              </w:rPr>
              <w:t xml:space="preserve">…both your locker and the laundry facilities … are available for your use.</w:t>
            </w:r>
            <w:r w:rsidDel="00000000" w:rsidR="00000000" w:rsidRPr="00000000">
              <w:rPr>
                <w:rtl w:val="0"/>
              </w:rPr>
              <w:t xml:space="preserve">” contradicts (a).(c) Email cc’d to </w:t>
            </w:r>
            <w:r w:rsidDel="00000000" w:rsidR="00000000" w:rsidRPr="00000000">
              <w:rPr>
                <w:b w:val="1"/>
                <w:rtl w:val="0"/>
              </w:rPr>
              <w:t xml:space="preserve">rtb@gov.mb.ca</w:t>
            </w:r>
            <w:r w:rsidDel="00000000" w:rsidR="00000000" w:rsidRPr="00000000">
              <w:rPr>
                <w:rtl w:val="0"/>
              </w:rPr>
              <w:t xml:space="preserve">, proving statement intended to influence Branch action.</w:t>
            </w:r>
          </w:p>
        </w:tc>
      </w:tr>
      <w:tr>
        <w:trPr>
          <w:cantSplit w:val="0"/>
          <w:trHeight w:val="4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Conclusion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 ► Element of </w:t>
            </w:r>
            <w:r w:rsidDel="00000000" w:rsidR="00000000" w:rsidRPr="00000000">
              <w:rPr>
                <w:i w:val="1"/>
                <w:rtl w:val="0"/>
              </w:rPr>
              <w:t xml:space="preserve">knowledge</w:t>
            </w:r>
            <w:r w:rsidDel="00000000" w:rsidR="00000000" w:rsidRPr="00000000">
              <w:rPr>
                <w:rtl w:val="0"/>
              </w:rPr>
              <w:t xml:space="preserve"> satisfied – Fehr had earlier complaints &amp; Celena Funk chain (05 May 2023 letter).2 ► Fehr’s assurance is prima‑facie </w:t>
            </w:r>
            <w:r w:rsidDel="00000000" w:rsidR="00000000" w:rsidRPr="00000000">
              <w:rPr>
                <w:b w:val="1"/>
                <w:rtl w:val="0"/>
              </w:rPr>
              <w:t xml:space="preserve">false statement</w:t>
            </w:r>
            <w:r w:rsidDel="00000000" w:rsidR="00000000" w:rsidRPr="00000000">
              <w:rPr>
                <w:rFonts w:ascii="Arial Unicode MS" w:cs="Arial Unicode MS" w:eastAsia="Arial Unicode MS" w:hAnsi="Arial Unicode MS"/>
                <w:rtl w:val="0"/>
              </w:rPr>
              <w:t xml:space="preserve"> ⇒ grounds for </w:t>
            </w:r>
            <w:r w:rsidDel="00000000" w:rsidR="00000000" w:rsidRPr="00000000">
              <w:rPr>
                <w:b w:val="1"/>
                <w:rtl w:val="0"/>
              </w:rPr>
              <w:t xml:space="preserve">s. 154 penalty</w:t>
            </w:r>
            <w:r w:rsidDel="00000000" w:rsidR="00000000" w:rsidRPr="00000000">
              <w:rPr>
                <w:rtl w:val="0"/>
              </w:rPr>
              <w:t xml:space="preserve"> &amp; referral for </w:t>
            </w:r>
            <w:r w:rsidDel="00000000" w:rsidR="00000000" w:rsidRPr="00000000">
              <w:rPr>
                <w:b w:val="1"/>
                <w:rtl w:val="0"/>
              </w:rPr>
              <w:t xml:space="preserve">fraud investigation</w:t>
            </w:r>
            <w:r w:rsidDel="00000000" w:rsidR="00000000" w:rsidRPr="00000000">
              <w:rPr>
                <w:rtl w:val="0"/>
              </w:rPr>
              <w:t xml:space="preserve">.3 ► Tenants (Kathryn, Julie/Kodi, Daniel) retain full credit entitlement; landlord’s liability now individualised to Fehr for potential </w:t>
            </w:r>
            <w:r w:rsidDel="00000000" w:rsidR="00000000" w:rsidRPr="00000000">
              <w:rPr>
                <w:b w:val="1"/>
                <w:rtl w:val="0"/>
              </w:rPr>
              <w:t xml:space="preserve">director‑and‑officer</w:t>
            </w:r>
            <w:r w:rsidDel="00000000" w:rsidR="00000000" w:rsidRPr="00000000">
              <w:rPr>
                <w:rtl w:val="0"/>
              </w:rPr>
              <w:t xml:space="preserve"> sanctions (RTA s. 195 offence).</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htiobs2jint6" w:id="2"/>
      <w:bookmarkEnd w:id="2"/>
      <w:r w:rsidDel="00000000" w:rsidR="00000000" w:rsidRPr="00000000">
        <w:rPr>
          <w:b w:val="1"/>
          <w:sz w:val="34"/>
          <w:szCs w:val="34"/>
          <w:rtl w:val="0"/>
        </w:rPr>
        <w:t xml:space="preserve">Procedural Recommendations</w:t>
      </w:r>
    </w:p>
    <w:p w:rsidR="00000000" w:rsidDel="00000000" w:rsidP="00000000" w:rsidRDefault="00000000" w:rsidRPr="00000000" w14:paraId="0000001D">
      <w:pPr>
        <w:numPr>
          <w:ilvl w:val="0"/>
          <w:numId w:val="2"/>
        </w:numPr>
        <w:spacing w:after="0" w:afterAutospacing="0" w:before="360" w:lineRule="auto"/>
        <w:ind w:left="720" w:hanging="360"/>
      </w:pPr>
      <w:r w:rsidDel="00000000" w:rsidR="00000000" w:rsidRPr="00000000">
        <w:rPr>
          <w:b w:val="1"/>
          <w:rtl w:val="0"/>
        </w:rPr>
        <w:t xml:space="preserve">RTC Appeal Supplement (Immediate)</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File Fehr email + 17 Jan 2024 “Storage Lockers” directive as </w:t>
      </w:r>
      <w:r w:rsidDel="00000000" w:rsidR="00000000" w:rsidRPr="00000000">
        <w:rPr>
          <w:b w:val="1"/>
          <w:rtl w:val="0"/>
        </w:rPr>
        <w:t xml:space="preserve">Exhibits E‑232 &amp; E‑233</w:t>
      </w:r>
      <w:r w:rsidDel="00000000" w:rsidR="00000000" w:rsidRPr="00000000">
        <w:rPr>
          <w:rtl w:val="0"/>
        </w:rPr>
        <w:t xml:space="preserve">. - Request finding of </w:t>
      </w:r>
      <w:r w:rsidDel="00000000" w:rsidR="00000000" w:rsidRPr="00000000">
        <w:rPr>
          <w:b w:val="1"/>
          <w:rtl w:val="0"/>
        </w:rPr>
        <w:t xml:space="preserve">deliberate misrepresentation</w:t>
      </w:r>
      <w:r w:rsidDel="00000000" w:rsidR="00000000" w:rsidRPr="00000000">
        <w:rPr>
          <w:rtl w:val="0"/>
        </w:rPr>
        <w:t xml:space="preserve">, enhancing abatement &amp; costs.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Director – Administrative Penalty Request</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Under </w:t>
      </w:r>
      <w:r w:rsidDel="00000000" w:rsidR="00000000" w:rsidRPr="00000000">
        <w:rPr>
          <w:b w:val="1"/>
          <w:rtl w:val="0"/>
        </w:rPr>
        <w:t xml:space="preserve">s. 154(1)(c)</w:t>
      </w:r>
      <w:r w:rsidDel="00000000" w:rsidR="00000000" w:rsidRPr="00000000">
        <w:rPr>
          <w:rtl w:val="0"/>
        </w:rPr>
        <w:t xml:space="preserve"> ask Director to issue penalty (up to $5 000) for providing misleading information to Branch; cite Fehr’s email verbatim.</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RCMP Fraud Brief Update</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Add Fehr to accused list with specific actus reus (false assurance) and mens rea (prior notice from Celena Funk chain &amp; 05 May 2023 letter).</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Ombudsman Complaint</w:t>
        <w:br w:type="textWrapping"/>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Emphasise that RTB had Fehr’s assurance on file yet still accepted Form 8 after the fact; request systemic review of Branch reliance on landlord statements.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Cross‑Examination Prep</w:t>
        <w:br w:type="textWrapping"/>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Draft question set to pin Fehr on timeline:</w:t>
        <w:br w:type="textWrapping"/>
      </w:r>
    </w:p>
    <w:p w:rsidR="00000000" w:rsidDel="00000000" w:rsidP="00000000" w:rsidRDefault="00000000" w:rsidRPr="00000000" w14:paraId="00000027">
      <w:pPr>
        <w:numPr>
          <w:ilvl w:val="2"/>
          <w:numId w:val="2"/>
        </w:numPr>
        <w:spacing w:after="0" w:afterAutospacing="0" w:before="0" w:beforeAutospacing="0" w:lineRule="auto"/>
        <w:ind w:left="2160" w:hanging="360"/>
      </w:pPr>
      <w:r w:rsidDel="00000000" w:rsidR="00000000" w:rsidRPr="00000000">
        <w:rPr>
          <w:rtl w:val="0"/>
        </w:rPr>
        <w:t xml:space="preserve">“Were you aware of the 08 Jan 2024 directive requiring lockers emptied?”</w:t>
        <w:br w:type="textWrapping"/>
      </w:r>
    </w:p>
    <w:p w:rsidR="00000000" w:rsidDel="00000000" w:rsidP="00000000" w:rsidRDefault="00000000" w:rsidRPr="00000000" w14:paraId="00000028">
      <w:pPr>
        <w:numPr>
          <w:ilvl w:val="2"/>
          <w:numId w:val="2"/>
        </w:numPr>
        <w:spacing w:after="0" w:afterAutospacing="0" w:before="0" w:beforeAutospacing="0" w:lineRule="auto"/>
        <w:ind w:left="2160" w:hanging="360"/>
      </w:pPr>
      <w:r w:rsidDel="00000000" w:rsidR="00000000" w:rsidRPr="00000000">
        <w:rPr>
          <w:rtl w:val="0"/>
        </w:rPr>
        <w:t xml:space="preserve">“On what basis did you represent to RTB that lockers were available?”</w:t>
        <w:br w:type="textWrapping"/>
      </w:r>
    </w:p>
    <w:p w:rsidR="00000000" w:rsidDel="00000000" w:rsidP="00000000" w:rsidRDefault="00000000" w:rsidRPr="00000000" w14:paraId="00000029">
      <w:pPr>
        <w:numPr>
          <w:ilvl w:val="2"/>
          <w:numId w:val="2"/>
        </w:numPr>
        <w:spacing w:after="0" w:afterAutospacing="0" w:before="0" w:beforeAutospacing="0" w:lineRule="auto"/>
        <w:ind w:left="2160" w:hanging="360"/>
      </w:pPr>
      <w:r w:rsidDel="00000000" w:rsidR="00000000" w:rsidRPr="00000000">
        <w:rPr>
          <w:rtl w:val="0"/>
        </w:rPr>
        <w:t xml:space="preserve">“Produce any inspection report supporting your 31 Jan 2024 statement.”</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rtl w:val="0"/>
        </w:rPr>
        <w:t xml:space="preserve">Risk &amp; Retaliation Safeguard</w:t>
        <w:br w:type="textWrapping"/>
      </w:r>
    </w:p>
    <w:p w:rsidR="00000000" w:rsidDel="00000000" w:rsidP="00000000" w:rsidRDefault="00000000" w:rsidRPr="00000000" w14:paraId="0000002B">
      <w:pPr>
        <w:numPr>
          <w:ilvl w:val="1"/>
          <w:numId w:val="2"/>
        </w:numPr>
        <w:spacing w:after="360" w:before="0" w:beforeAutospacing="0" w:lineRule="auto"/>
        <w:ind w:left="1440" w:hanging="360"/>
      </w:pPr>
      <w:r w:rsidDel="00000000" w:rsidR="00000000" w:rsidRPr="00000000">
        <w:rPr>
          <w:rtl w:val="0"/>
        </w:rPr>
        <w:t xml:space="preserve">Send Thorwin written reminder of </w:t>
      </w:r>
      <w:r w:rsidDel="00000000" w:rsidR="00000000" w:rsidRPr="00000000">
        <w:rPr>
          <w:b w:val="1"/>
          <w:rtl w:val="0"/>
        </w:rPr>
        <w:t xml:space="preserve">s. 195 offence</w:t>
      </w:r>
      <w:r w:rsidDel="00000000" w:rsidR="00000000" w:rsidRPr="00000000">
        <w:rPr>
          <w:rtl w:val="0"/>
        </w:rPr>
        <w:t xml:space="preserve"> (retaliatory conduct) warning that any adverse action against Kathryn, Julie/Kodi, or Daniel following this filing will be documented for criminal referral.</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k8uv35mk6hk5" w:id="3"/>
      <w:bookmarkEnd w:id="3"/>
      <w:r w:rsidDel="00000000" w:rsidR="00000000" w:rsidRPr="00000000">
        <w:rPr>
          <w:b w:val="1"/>
          <w:sz w:val="34"/>
          <w:szCs w:val="34"/>
          <w:rtl w:val="0"/>
        </w:rPr>
        <w:t xml:space="preserve">Violation Matrix &amp; Case‑Theory Updates</w:t>
      </w:r>
    </w:p>
    <w:tbl>
      <w:tblPr>
        <w:tblStyle w:val="Table3"/>
        <w:tblW w:w="9360.0" w:type="dxa"/>
        <w:jc w:val="left"/>
        <w:tblLayout w:type="fixed"/>
        <w:tblLook w:val="0600"/>
      </w:tblPr>
      <w:tblGrid>
        <w:gridCol w:w="2969.110764430577"/>
        <w:gridCol w:w="3363.3697347893917"/>
        <w:gridCol w:w="3027.519500780031"/>
        <w:tblGridChange w:id="0">
          <w:tblGrid>
            <w:gridCol w:w="2969.110764430577"/>
            <w:gridCol w:w="3363.3697347893917"/>
            <w:gridCol w:w="3027.519500780031"/>
          </w:tblGrid>
        </w:tblGridChange>
      </w:tblGrid>
      <w:tr>
        <w:trPr>
          <w:cantSplit w:val="0"/>
          <w:trHeight w:val="6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Where to Record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Reference</w:t>
            </w:r>
            <w:r w:rsidDel="00000000" w:rsidR="00000000" w:rsidRPr="00000000">
              <w:rPr>
                <w:rtl w:val="0"/>
              </w:rPr>
            </w:r>
          </w:p>
        </w:tc>
      </w:tr>
      <w:tr>
        <w:trPr>
          <w:cantSplit w:val="0"/>
          <w:trHeight w:val="28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Add </w:t>
            </w:r>
            <w:r w:rsidDel="00000000" w:rsidR="00000000" w:rsidRPr="00000000">
              <w:rPr>
                <w:b w:val="1"/>
                <w:rtl w:val="0"/>
              </w:rPr>
              <w:t xml:space="preserve">Violation V‑024</w:t>
            </w:r>
            <w:r w:rsidDel="00000000" w:rsidR="00000000" w:rsidRPr="00000000">
              <w:rPr>
                <w:rtl w:val="0"/>
              </w:rPr>
              <w:t xml:space="preserve"> – “False assurance to RTB re locker/laundry availability”</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i w:val="1"/>
                <w:rtl w:val="0"/>
              </w:rPr>
              <w:t xml:space="preserve">Appendix A – Violation‑to‑Evidence Matrix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Evidence: Fehr email + Jan 8 directive (E‑224).</w:t>
            </w:r>
          </w:p>
        </w:tc>
      </w:tr>
      <w:tr>
        <w:trPr>
          <w:cantSplit w:val="0"/>
          <w:trHeight w:val="4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Credit accrual continues at </w:t>
            </w:r>
            <w:r w:rsidDel="00000000" w:rsidR="00000000" w:rsidRPr="00000000">
              <w:rPr>
                <w:b w:val="1"/>
                <w:rtl w:val="0"/>
              </w:rPr>
              <w:t xml:space="preserve">$94.40/mo (locker) + $33.30/mo (laundry)</w:t>
            </w:r>
            <w:r w:rsidDel="00000000" w:rsidR="00000000" w:rsidRPr="00000000">
              <w:rPr>
                <w:rtl w:val="0"/>
              </w:rPr>
              <w:t xml:space="preserve"> for Kathryn, Julie/Kodi, Daniel until service restored or approved credit posted.</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i w:val="1"/>
                <w:rtl w:val="0"/>
              </w:rPr>
              <w:t xml:space="preserve">Schedule 1 v14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Confirm formula reflects </w:t>
            </w:r>
            <w:r w:rsidDel="00000000" w:rsidR="00000000" w:rsidRPr="00000000">
              <w:rPr>
                <w:b w:val="1"/>
                <w:rtl w:val="0"/>
              </w:rPr>
              <w:t xml:space="preserve">17 Jan 2024 start date</w:t>
            </w:r>
            <w:r w:rsidDel="00000000" w:rsidR="00000000" w:rsidRPr="00000000">
              <w:rPr>
                <w:rtl w:val="0"/>
              </w:rPr>
              <w:t xml:space="preserve">.</w:t>
            </w:r>
          </w:p>
        </w:tc>
      </w:tr>
      <w:tr>
        <w:trPr>
          <w:cantSplit w:val="0"/>
          <w:trHeight w:val="3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Narrative adjustment – emphasise </w:t>
            </w:r>
            <w:r w:rsidDel="00000000" w:rsidR="00000000" w:rsidRPr="00000000">
              <w:rPr>
                <w:b w:val="1"/>
                <w:rtl w:val="0"/>
              </w:rPr>
              <w:t xml:space="preserve">executive‑level knowledge &amp; deception</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i w:val="1"/>
                <w:rtl w:val="0"/>
              </w:rPr>
              <w:t xml:space="preserve">Master Case File – Storyline § IV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Link Fehr assurances to broader fraud theme (“corporate practice of paper‑compliance masking real withdrawal”).</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5qcvo1her2po" w:id="4"/>
      <w:bookmarkEnd w:id="4"/>
      <w:r w:rsidDel="00000000" w:rsidR="00000000" w:rsidRPr="00000000">
        <w:rPr>
          <w:b w:val="1"/>
          <w:color w:val="000000"/>
          <w:sz w:val="26"/>
          <w:szCs w:val="26"/>
          <w:rtl w:val="0"/>
        </w:rPr>
        <w:t xml:space="preserve">Bottom‑Line Advice</w:t>
      </w:r>
    </w:p>
    <w:p w:rsidR="00000000" w:rsidDel="00000000" w:rsidP="00000000" w:rsidRDefault="00000000" w:rsidRPr="00000000" w14:paraId="0000003C">
      <w:pPr>
        <w:spacing w:after="360" w:before="360" w:lineRule="auto"/>
        <w:rPr/>
      </w:pPr>
      <w:r w:rsidDel="00000000" w:rsidR="00000000" w:rsidRPr="00000000">
        <w:rPr>
          <w:rtl w:val="0"/>
        </w:rPr>
        <w:t xml:space="preserve">Susan Fehr’s 31 Jan 2024 email is a </w:t>
      </w:r>
      <w:r w:rsidDel="00000000" w:rsidR="00000000" w:rsidRPr="00000000">
        <w:rPr>
          <w:b w:val="1"/>
          <w:rtl w:val="0"/>
        </w:rPr>
        <w:t xml:space="preserve">linchpin document</w:t>
      </w:r>
      <w:r w:rsidDel="00000000" w:rsidR="00000000" w:rsidRPr="00000000">
        <w:rPr>
          <w:rtl w:val="0"/>
        </w:rPr>
        <w:t xml:space="preserve">: it squarely shows senior‑management knowledge and a deliberate attempt to neutralise a tenant complaint while Form 8 was still pending. Treat this communication as:</w:t>
      </w:r>
    </w:p>
    <w:p w:rsidR="00000000" w:rsidDel="00000000" w:rsidP="00000000" w:rsidRDefault="00000000" w:rsidRPr="00000000" w14:paraId="0000003D">
      <w:pPr>
        <w:numPr>
          <w:ilvl w:val="0"/>
          <w:numId w:val="1"/>
        </w:numPr>
        <w:spacing w:after="0" w:afterAutospacing="0" w:before="360" w:lineRule="auto"/>
        <w:ind w:left="720" w:hanging="360"/>
      </w:pPr>
      <w:r w:rsidDel="00000000" w:rsidR="00000000" w:rsidRPr="00000000">
        <w:rPr>
          <w:b w:val="1"/>
          <w:rtl w:val="0"/>
        </w:rPr>
        <w:t xml:space="preserve">Evidence of intent</w:t>
      </w:r>
      <w:r w:rsidDel="00000000" w:rsidR="00000000" w:rsidRPr="00000000">
        <w:rPr>
          <w:rtl w:val="0"/>
        </w:rPr>
        <w:t xml:space="preserve"> – vital for the criminal fraud theory.</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rtl w:val="0"/>
        </w:rPr>
        <w:t xml:space="preserve">Trigger for s. 154 administrative penalties</w:t>
      </w:r>
      <w:r w:rsidDel="00000000" w:rsidR="00000000" w:rsidRPr="00000000">
        <w:rPr>
          <w:rtl w:val="0"/>
        </w:rPr>
        <w:t xml:space="preserve"> – Fehr provided misleading info directly to the Branch.</w:t>
        <w:br w:type="textWrapping"/>
      </w:r>
    </w:p>
    <w:p w:rsidR="00000000" w:rsidDel="00000000" w:rsidP="00000000" w:rsidRDefault="00000000" w:rsidRPr="00000000" w14:paraId="0000003F">
      <w:pPr>
        <w:numPr>
          <w:ilvl w:val="0"/>
          <w:numId w:val="1"/>
        </w:numPr>
        <w:spacing w:after="360" w:before="0" w:beforeAutospacing="0" w:lineRule="auto"/>
        <w:ind w:left="720" w:hanging="360"/>
      </w:pPr>
      <w:r w:rsidDel="00000000" w:rsidR="00000000" w:rsidRPr="00000000">
        <w:rPr>
          <w:b w:val="1"/>
          <w:rtl w:val="0"/>
        </w:rPr>
        <w:t xml:space="preserve">Ground to vary WD2024‑001539</w:t>
      </w:r>
      <w:r w:rsidDel="00000000" w:rsidR="00000000" w:rsidRPr="00000000">
        <w:rPr>
          <w:rtl w:val="0"/>
        </w:rPr>
        <w:t xml:space="preserve"> – supports your successful request for retroactive credits and inclusion of Kathryn, Julie/Kodi, and Daniel.</w:t>
        <w:br w:type="textWrapping"/>
      </w:r>
    </w:p>
    <w:p w:rsidR="00000000" w:rsidDel="00000000" w:rsidP="00000000" w:rsidRDefault="00000000" w:rsidRPr="00000000" w14:paraId="00000040">
      <w:pPr>
        <w:spacing w:after="360" w:before="360" w:lineRule="auto"/>
        <w:rPr/>
      </w:pPr>
      <w:r w:rsidDel="00000000" w:rsidR="00000000" w:rsidRPr="00000000">
        <w:rPr>
          <w:rtl w:val="0"/>
        </w:rPr>
        <w:t xml:space="preserve">Leverage it aggressively in every forum—RTC, Director, Ombudsman, RCMP—to demonstrate a pattern of systemic deception reaching the general‑manager level.</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