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A78049"/>
          <w:sz w:val="22"/>
          <w:szCs w:val="22"/>
        </w:rPr>
        <w:t xml:space="preserve">My Defender Will &amp; Trust</w:t>
      </w:r>
    </w:p>
    <w:p>
      <w:pPr>
        <w:pStyle w:val="Title"/>
        <w:spacing w:after="40"/>
      </w:pPr>
      <w:r>
        <w:t xml:space="preserve">Couples (Household) Testing Guide</w:t>
      </w:r>
    </w:p>
    <w:p>
      <w:pPr>
        <w:spacing w:after="200"/>
      </w:pPr>
      <w:r>
        <w:rPr>
          <w:i/>
          <w:iCs/>
          <w:color w:val="555555"/>
        </w:rPr>
        <w:t xml:space="preserve">Pre-launch testing for Donovan · 4 August 2026</w:t>
      </w:r>
    </w:p>
    <w:p>
      <w:pPr>
        <w:pStyle w:val="Heading1"/>
        <w:spacing w:after="120" w:before="260"/>
      </w:pPr>
      <w:r>
        <w:t xml:space="preserve">What's new</w:t>
      </w:r>
    </w:p>
    <w:p>
      <w:pPr>
        <w:spacing w:after="120"/>
      </w:pPr>
      <w:r>
        <w:t xml:space="preserve">The couples option is now live for testing. When someone chooses “my spouse or partner and me,” they start a household and invite their partner by email. The partner creates their own account with their own login and owns their own documents — their will, power of attorney, healthcare directive and HIPAA authorisation are theirs to reach, never locked inside the other person’s account. Anything genuinely joint, such as a trust, is shared between the two of you. Neither person can change or delete the other’s documents.</w:t>
      </w:r>
    </w:p>
    <w:p>
      <w:pPr>
        <w:spacing w:after="120"/>
      </w:pPr>
      <w:r>
        <w:rPr>
          <w:b/>
          <w:bCs/>
        </w:rPr>
        <w:t xml:space="preserve">Test site: </w:t>
      </w:r>
      <w:r>
        <w:rPr>
          <w:color w:val="1155CC"/>
        </w:rPr>
        <w:t xml:space="preserve">https://my-defender-will-trust.vercel.app</w:t>
      </w:r>
    </w:p>
    <w:p>
      <w:pPr>
        <w:pStyle w:val="Heading1"/>
        <w:spacing w:after="120" w:before="260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test access code from Dave (card payment is off during this phase, so a code is how you get 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Two email addresses you control — one for each person. The second can be any inbox you can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Use two separate browser windows: a normal window for Person A, and a private/incognito window for Person B. That keeps the two logins from clashing.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About 30–40 minutes. The interview saves as you go, so you can stop and resume.</w:t>
      </w:r>
    </w:p>
    <w:p>
      <w:pPr>
        <w:pStyle w:val="Heading1"/>
        <w:spacing w:after="120" w:before="260"/>
      </w:pPr>
      <w:r>
        <w:t xml:space="preserve">What is NOT wired up yet — don’t file these as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Paying by card. All checkout buttons are disabled — use your access code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Email invitations. The invite email is not sent yet, so you’ll use the Copy link button on the invite screen. That is expected.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PDFs and “documents ready” emails. You’ll get Word (DOCX) downloads; no PDF, and no email is actually delivered even if the screen says 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Draft documents. Every generated document is a draft, stamped “ATTORNEY REVIEW REQUIRED.” Review the flow, layout and wording structure — not the final legal language.</w:t>
      </w:r>
    </w:p>
    <w:p>
      <w:pPr>
        <w:pBdr>
          <w:bottom w:val="single" w:color="CCCCCC" w:sz="6" w:space="6"/>
        </w:pBdr>
        <w:spacing w:after="160"/>
      </w:pPr>
    </w:p>
    <w:p>
      <w:pPr>
        <w:pStyle w:val="Heading1"/>
        <w:spacing w:after="120" w:before="260"/>
      </w:pPr>
      <w:r>
        <w:t xml:space="preserve">The walkthrough</w:t>
      </w:r>
    </w:p>
    <w:p>
      <w:pPr>
        <w:spacing w:after="120"/>
      </w:pPr>
      <w:r>
        <w:rPr>
          <w:i/>
          <w:iCs/>
          <w:color w:val="555555"/>
        </w:rPr>
        <w:t xml:space="preserve">Do this as two people. “Person A” is the buyer; “Person B” is the spouse or partner being invited.</w:t>
      </w:r>
    </w:p>
    <w:p>
      <w:pPr>
        <w:spacing w:after="80" w:before="140"/>
      </w:pPr>
      <w:r>
        <w:rPr>
          <w:b/>
          <w:bCs/>
          <w:color w:val="0A2040"/>
        </w:rPr>
        <w:t xml:space="preserve">Step 1 — </w:t>
      </w:r>
      <w:r>
        <w:rPr>
          <w:b/>
          <w:bCs/>
        </w:rPr>
        <w:t xml:space="preserve">Person A: start a plan.</w:t>
      </w:r>
      <w:r>
        <w:t xml:space="preserve">  In your normal window, redeem your access code, then start a Will or a Trust. On the “About you” step, choose “My spouse or partner and me.”</w:t>
      </w:r>
    </w:p>
    <w:p>
      <w:pPr>
        <w:spacing w:after="80" w:before="140"/>
      </w:pPr>
      <w:r>
        <w:rPr>
          <w:b/>
          <w:bCs/>
          <w:color w:val="0A2040"/>
        </w:rPr>
        <w:t xml:space="preserve">Step 2 — </w:t>
      </w:r>
      <w:r>
        <w:rPr>
          <w:b/>
          <w:bCs/>
        </w:rPr>
        <w:t xml:space="preserve">Person A: open the invite.</w:t>
      </w:r>
      <w:r>
        <w:t xml:space="preserve">  Continue to the “Generate your documents” step and click “Invite your partner” (it’s also on your documents page as “Manage household”).</w:t>
      </w:r>
    </w:p>
    <w:p>
      <w:pPr>
        <w:spacing w:after="80" w:before="140"/>
      </w:pPr>
      <w:r>
        <w:rPr>
          <w:b/>
          <w:bCs/>
          <w:color w:val="0A2040"/>
        </w:rPr>
        <w:t xml:space="preserve">Step 3 — </w:t>
      </w:r>
      <w:r>
        <w:rPr>
          <w:b/>
          <w:bCs/>
        </w:rPr>
        <w:t xml:space="preserve">Person A: copy the link.</w:t>
      </w:r>
      <w:r>
        <w:t xml:space="preserve">  Enter Person B’s email and create the invitation. Because email isn’t connected, click Copy link.</w:t>
      </w:r>
    </w:p>
    <w:p>
      <w:pPr>
        <w:spacing w:after="80" w:before="140"/>
      </w:pPr>
      <w:r>
        <w:rPr>
          <w:b/>
          <w:bCs/>
          <w:color w:val="0A2040"/>
        </w:rPr>
        <w:t xml:space="preserve">Step 4 — </w:t>
      </w:r>
      <w:r>
        <w:rPr>
          <w:b/>
          <w:bCs/>
        </w:rPr>
        <w:t xml:space="preserve">Person B: open the link.</w:t>
      </w:r>
      <w:r>
        <w:t xml:space="preserve">  Paste that link into a separate private/incognito window. You’ll see “You’ve been invited to a household plan.”</w:t>
      </w:r>
    </w:p>
    <w:p>
      <w:pPr>
        <w:spacing w:after="80" w:before="140"/>
      </w:pPr>
      <w:r>
        <w:rPr>
          <w:b/>
          <w:bCs/>
          <w:color w:val="0A2040"/>
        </w:rPr>
        <w:t xml:space="preserve">Step 5 — </w:t>
      </w:r>
      <w:r>
        <w:rPr>
          <w:b/>
          <w:bCs/>
        </w:rPr>
        <w:t xml:space="preserve">Person B: create your own account.</w:t>
      </w:r>
      <w:r>
        <w:t xml:space="preserve">  Choose “Create my account,” sign up with B’s own email and password, and you’ll return to the invite. Click “Join the household.”</w:t>
      </w:r>
    </w:p>
    <w:p>
      <w:pPr>
        <w:spacing w:after="80" w:before="140"/>
      </w:pPr>
      <w:r>
        <w:rPr>
          <w:b/>
          <w:bCs/>
          <w:color w:val="0A2040"/>
        </w:rPr>
        <w:t xml:space="preserve">Step 6 — </w:t>
      </w:r>
      <w:r>
        <w:rPr>
          <w:b/>
          <w:bCs/>
        </w:rPr>
        <w:t xml:space="preserve">Person A: finish and generate.</w:t>
      </w:r>
      <w:r>
        <w:t xml:space="preserve">  Back in A’s window, complete the rest of the interview and generate the documents.</w:t>
      </w:r>
    </w:p>
    <w:p>
      <w:pPr>
        <w:spacing w:after="80" w:before="140"/>
      </w:pPr>
      <w:r>
        <w:rPr>
          <w:b/>
          <w:bCs/>
          <w:color w:val="0A2040"/>
        </w:rPr>
        <w:t xml:space="preserve">Step 7 — </w:t>
      </w:r>
      <w:r>
        <w:rPr>
          <w:b/>
          <w:bCs/>
        </w:rPr>
        <w:t xml:space="preserve">Both: check what each of you sees.</w:t>
      </w:r>
      <w:r>
        <w:t xml:space="preserve">  Log in as each person separately (A in the normal window, B in the private window) and confirm the results in the checklist below.</w:t>
      </w:r>
    </w:p>
    <w:p>
      <w:pPr>
        <w:pStyle w:val="Heading1"/>
        <w:spacing w:after="120" w:before="260"/>
      </w:pPr>
      <w:r>
        <w:t xml:space="preserve">What a passing test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shd w:fill="0A2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confirm</w:t>
            </w:r>
          </w:p>
        </w:tc>
        <w:tc>
          <w:tcPr>
            <w:tcW w:type="dxa" w:w="2300"/>
            <w:shd w:fill="0A2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Pass? / notes</w:t>
            </w:r>
          </w:p>
        </w:tc>
      </w:tr>
      <w:tr>
        <w:tc>
          <w:tcPr>
            <w:tcW w:type="dxa" w:w="70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Person A sees their own will, power of attorney, healthcare directive and HIPAA authorisation.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Person B sees their OWN will, power of attorney, healthcare directive and HIPAA authorisation (not A’s).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On a Trust plan, BOTH people see the joint trust under “Shared with your household.”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Neither person can see the other’s private documents.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Neither person has any button that edits or deletes the other person’s documents.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individual (“Just me”) flow still works exactly as before.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0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Each person’s documents show the correct signing instructions for their state.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  <w:spacing w:after="120" w:before="260"/>
      </w:pPr>
      <w:r>
        <w:t xml:space="preserve">Also worth trying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Ask Dave to remove one person’s access, then confirm the OTHER person can still reach their own documents — neither depends on the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Try to accept an invitation you already used, or accept your own invitation — both should be refused with a clear message, not an error page.</w:t>
      </w:r>
    </w:p>
    <w:p>
      <w:pPr>
        <w:pStyle w:val="Heading1"/>
        <w:spacing w:after="120" w:before="260"/>
      </w:pPr>
      <w:r>
        <w:t xml:space="preserve">Two things to tell Dave immediately (don’t just log them)</w:t>
      </w:r>
    </w:p>
    <w:p>
      <w:pPr>
        <w:spacing w:after="120"/>
      </w:pPr>
      <w:r>
        <w:t xml:space="preserve">These usually mean a server setting is wrong, not that a feature is unfinished: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You’re sent to the plan/pricing page even though you redeemed a code and previously had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Generating documents shows an error mentioning “DISCLAIMER_VERSION.”</w:t>
      </w:r>
    </w:p>
    <w:p>
      <w:pPr>
        <w:pStyle w:val="Heading1"/>
        <w:spacing w:after="120" w:before="260"/>
      </w:pPr>
      <w:r>
        <w:t xml:space="preserve">How to report anything else</w:t>
      </w:r>
    </w:p>
    <w:p>
      <w:pPr>
        <w:spacing w:after="120"/>
      </w:pPr>
      <w:r>
        <w:t xml:space="preserve">For anything outside the “not wired up yet” list that seems broken, send Dave the page address (URL), what you did, and what you expected — a screenshot helps. The site is intentionally hidden from Google during this phase; that’s correct, not a bug.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0A2040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A2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Couples (Household) Testing Guide</dc:title>
  <dc:creator>My Defender Will &amp; Trust</dc:creator>
  <cp:lastModifiedBy>Un-named</cp:lastModifiedBy>
  <cp:revision>1</cp:revision>
  <dcterms:created xsi:type="dcterms:W3CDTF">2026-08-04T16:28:53.969Z</dcterms:created>
  <dcterms:modified xsi:type="dcterms:W3CDTF">2026-08-04T16:28:53.970Z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