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92C46"/>
          <w:sz w:val="28"/>
          <w:szCs w:val="28"/>
        </w:rPr>
        <w:t xml:space="preserve">MY DEFENDER WILL &amp; TRUST</w:t>
      </w:r>
    </w:p>
    <w:p>
      <w:pPr>
        <w:pBdr>
          <w:bottom w:val="single" w:color="192C46" w:sz="14" w:space="5"/>
        </w:pBdr>
        <w:spacing w:after="240"/>
      </w:pPr>
      <w:r>
        <w:rPr>
          <w:rFonts w:ascii="Calibri" w:cs="Calibri" w:eastAsia="Calibri" w:hAnsi="Calibri"/>
          <w:color w:val="5A6472"/>
          <w:sz w:val="20"/>
          <w:szCs w:val="20"/>
        </w:rPr>
        <w:t xml:space="preserve">Legal Review Checklist — everything requiring counsel sign-off before launch</w:t>
      </w:r>
    </w:p>
    <w:p>
      <w:pPr>
        <w:spacing w:after="120" w:line="260"/>
      </w:pPr>
      <w:r>
        <w:rPr>
          <w:rFonts w:ascii="Calibri" w:cs="Calibri" w:eastAsia="Calibri" w:hAnsi="Calibri"/>
          <w:i w:val="false"/>
          <w:iCs w:val="false"/>
          <w:color w:val="1A2230"/>
          <w:sz w:val="19"/>
          <w:szCs w:val="19"/>
        </w:rPr>
        <w:t xml:space="preserve">This checklist covers a self-help legal document platform that produces a state-compliant Last Will &amp; Testament or Revocable Living Trust, each with a durable financial power of attorney, a healthcare directive and a HIPAA authorisation. It is functionally complete and in internal testing. It has not processed a live payment and is not publicly indexed. Nothing ships until the items below are cleared.</w:t>
      </w:r>
    </w:p>
    <w:p>
      <w:pPr>
        <w:spacing w:after="120" w:line="260"/>
      </w:pPr>
      <w:r>
        <w:rPr>
          <w:rFonts w:ascii="Calibri" w:cs="Calibri" w:eastAsia="Calibri" w:hAnsi="Calibri"/>
          <w:i w:val="false"/>
          <w:iCs w:val="false"/>
          <w:color w:val="1A2230"/>
          <w:sz w:val="19"/>
          <w:szCs w:val="19"/>
        </w:rPr>
        <w:t xml:space="preserve">Every generated document currently carries placeholder clause text marked [ATTORNEY REVIEW REQUIRED]. All 51 seeded jurisdictions carry needs_review = true and are not approved for use. These are deliberate safeguards, not oversights.</w:t>
      </w:r>
    </w:p>
    <w:p>
      <w:pPr>
        <w:pBdr>
          <w:left w:val="single" w:color="8A6B2E" w:sz="16" w:space="10"/>
        </w:pBdr>
        <w:spacing w:after="140" w:before="60" w:line="260"/>
        <w:ind w:left="160" w:right="160"/>
      </w:pPr>
      <w:r>
        <w:rPr>
          <w:rFonts w:ascii="Calibri" w:cs="Calibri" w:eastAsia="Calibri" w:hAnsi="Calibri"/>
          <w:b/>
          <w:bCs/>
          <w:color w:val="8A6B2E"/>
          <w:sz w:val="19"/>
          <w:szCs w:val="19"/>
        </w:rPr>
        <w:t xml:space="preserve">How to use this document. </w:t>
      </w:r>
      <w:r>
        <w:rPr>
          <w:rFonts w:ascii="Calibri" w:cs="Calibri" w:eastAsia="Calibri" w:hAnsi="Calibri"/>
          <w:color w:val="1A2230"/>
          <w:sz w:val="19"/>
          <w:szCs w:val="19"/>
        </w:rPr>
        <w:t xml:space="preserve">Items are grouped A to H. Section A blocks all revenue. Section B blocks each state individually. Sections C, D and H carry the highest regulatory exposure. Where an item names a file, that is where the text or logic lives in the codebase and where approved language will be placed.</w:t>
      </w:r>
    </w:p>
    <w:p>
      <w:pPr>
        <w:spacing w:after="120" w:line="260"/>
      </w:pPr>
      <w:r>
        <w:rPr>
          <w:rFonts w:ascii="Calibri" w:cs="Calibri" w:eastAsia="Calibri" w:hAnsi="Calibri"/>
          <w:i/>
          <w:iCs/>
          <w:color w:val="5A6472"/>
          <w:sz w:val="17"/>
          <w:szCs w:val="17"/>
        </w:rPr>
        <w:t xml:space="preserve">Prepared for outside counsel by the product team. The underlying build specification and per-state research notes can be supplied in full on request.</w:t>
      </w:r>
    </w:p>
    <w:p>
      <w:pPr>
        <w:keepNext/>
        <w:keepLines/>
        <w:pBdr>
          <w:bottom w:val="single" w:color="8A6B2E" w:sz="8" w:space="3"/>
        </w:pBdr>
        <w:spacing w:after="80" w:before="320"/>
      </w:pPr>
      <w:r>
        <w:rPr>
          <w:rFonts w:ascii="Cambria" w:cs="Cambria" w:eastAsia="Cambria" w:hAnsi="Cambria"/>
          <w:b/>
          <w:bCs/>
          <w:color w:val="8A6B2E"/>
          <w:sz w:val="24"/>
          <w:szCs w:val="24"/>
        </w:rPr>
        <w:t xml:space="preserve">A   </w:t>
      </w:r>
      <w:r>
        <w:rPr>
          <w:rFonts w:ascii="Cambria" w:cs="Cambria" w:eastAsia="Cambria" w:hAnsi="Cambria"/>
          <w:b/>
          <w:bCs/>
          <w:color w:val="192C46"/>
          <w:sz w:val="24"/>
          <w:szCs w:val="24"/>
        </w:rPr>
        <w:t xml:space="preserve">Document content — clause-by-clause approval</w:t>
      </w:r>
    </w:p>
    <w:p>
      <w:pPr>
        <w:spacing w:after="120" w:line="260"/>
      </w:pPr>
      <w:r>
        <w:rPr>
          <w:rFonts w:ascii="Calibri" w:cs="Calibri" w:eastAsia="Calibri" w:hAnsi="Calibri"/>
          <w:i w:val="false"/>
          <w:iCs w:val="false"/>
          <w:color w:val="1A2230"/>
          <w:sz w:val="19"/>
          <w:szCs w:val="19"/>
        </w:rPr>
        <w:t xml:space="preserve">Every clause in every generated document is currently placeholder text carrying an [ATTORNEY REVIEW REQUIRED] marker. Nothing in this section can ship until it is replaced with approved language. The platform assembles documents programmatically from a clause library, so what needs approving is the clause text AND the conditions under which each clause appears.</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Last Will &amp; Testament — full clause set</w:t>
            </w:r>
          </w:p>
        </w:tc>
        <w:tc>
          <w:tcPr>
            <w:tcW w:type="dxa" w:w="2520"/>
            <w:tcMar>
              <w:top w:type="dxa" w:w="70"/>
              <w:left w:type="dxa" w:w="100"/>
              <w:bottom w:type="dxa" w:w="70"/>
              <w:right w:type="dxa" w:w="100"/>
            </w:tcMar>
          </w:tcPr>
          <w:p>
            <w:pPr>
              <w:spacing w:after="0" w:line="250"/>
            </w:pPr>
            <w:hyperlink r:id="rHl1">
              <w:r>
                <w:rPr>
                  <w:rFonts w:ascii="Calibri" w:cs="Calibri" w:eastAsia="Calibri" w:hAnsi="Calibri"/>
                  <w:b w:val="false"/>
                  <w:bCs w:val="false"/>
                  <w:color w:val="0563C1"/>
                  <w:u w:val="single"/>
                  <w:sz w:val="15"/>
                  <w:szCs w:val="15"/>
                </w:rPr>
                <w:t xml:space="preserve">src/lib/documents/will.ts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or replace every clause, and confirm the conditions that include or omit each one.</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Revocable living trust</w:t>
            </w:r>
          </w:p>
        </w:tc>
        <w:tc>
          <w:tcPr>
            <w:tcW w:type="dxa" w:w="2520"/>
            <w:shd w:fill="F4F6F9" w:color="auto" w:val="clear"/>
            <w:tcMar>
              <w:top w:type="dxa" w:w="70"/>
              <w:left w:type="dxa" w:w="100"/>
              <w:bottom w:type="dxa" w:w="70"/>
              <w:right w:type="dxa" w:w="100"/>
            </w:tcMar>
          </w:tcPr>
          <w:p>
            <w:pPr>
              <w:spacing w:after="0" w:line="250"/>
            </w:pPr>
            <w:hyperlink r:id="rHl2">
              <w:r>
                <w:rPr>
                  <w:rFonts w:ascii="Calibri" w:cs="Calibri" w:eastAsia="Calibri" w:hAnsi="Calibri"/>
                  <w:b w:val="false"/>
                  <w:bCs w:val="false"/>
                  <w:color w:val="0563C1"/>
                  <w:u w:val="single"/>
                  <w:sz w:val="15"/>
                  <w:szCs w:val="15"/>
                </w:rPr>
                <w:t xml:space="preserve">src/lib/documents/trust.ts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the clause set including revocability, trustee powers and successor trustee provisions.</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Pour-over will</w:t>
            </w:r>
          </w:p>
        </w:tc>
        <w:tc>
          <w:tcPr>
            <w:tcW w:type="dxa" w:w="2520"/>
            <w:tcMar>
              <w:top w:type="dxa" w:w="70"/>
              <w:left w:type="dxa" w:w="100"/>
              <w:bottom w:type="dxa" w:w="70"/>
              <w:right w:type="dxa" w:w="100"/>
            </w:tcMar>
          </w:tcPr>
          <w:p>
            <w:pPr>
              <w:spacing w:after="0" w:line="250"/>
            </w:pPr>
            <w:hyperlink r:id="rHl2">
              <w:r>
                <w:rPr>
                  <w:rFonts w:ascii="Calibri" w:cs="Calibri" w:eastAsia="Calibri" w:hAnsi="Calibri"/>
                  <w:b w:val="false"/>
                  <w:bCs w:val="false"/>
                  <w:color w:val="0563C1"/>
                  <w:u w:val="single"/>
                  <w:sz w:val="15"/>
                  <w:szCs w:val="15"/>
                </w:rPr>
                <w:t xml:space="preserve">src/lib/documents/trust.ts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confirm the interaction with the trust.</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Durable financial power of attorney</w:t>
            </w:r>
          </w:p>
        </w:tc>
        <w:tc>
          <w:tcPr>
            <w:tcW w:type="dxa" w:w="2520"/>
            <w:shd w:fill="F4F6F9" w:color="auto" w:val="clear"/>
            <w:tcMar>
              <w:top w:type="dxa" w:w="70"/>
              <w:left w:type="dxa" w:w="100"/>
              <w:bottom w:type="dxa" w:w="70"/>
              <w:right w:type="dxa" w:w="100"/>
            </w:tcMar>
          </w:tcPr>
          <w:p>
            <w:pPr>
              <w:spacing w:after="0" w:line="250"/>
            </w:pPr>
            <w:hyperlink r:id="rHl3">
              <w:r>
                <w:rPr>
                  <w:rFonts w:ascii="Calibri" w:cs="Calibri" w:eastAsia="Calibri" w:hAnsi="Calibri"/>
                  <w:b w:val="false"/>
                  <w:bCs w:val="false"/>
                  <w:color w:val="0563C1"/>
                  <w:u w:val="single"/>
                  <w:sz w:val="15"/>
                  <w:szCs w:val="15"/>
                </w:rPr>
                <w:t xml:space="preserve">src/lib/documents/ancillary.ts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See A8 — statutory forms may be mandatory.</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Healthcare directive / living will</w:t>
            </w:r>
          </w:p>
        </w:tc>
        <w:tc>
          <w:tcPr>
            <w:tcW w:type="dxa" w:w="2520"/>
            <w:tcMar>
              <w:top w:type="dxa" w:w="70"/>
              <w:left w:type="dxa" w:w="100"/>
              <w:bottom w:type="dxa" w:w="70"/>
              <w:right w:type="dxa" w:w="100"/>
            </w:tcMar>
          </w:tcPr>
          <w:p>
            <w:pPr>
              <w:spacing w:after="0" w:line="250"/>
            </w:pPr>
            <w:hyperlink r:id="rHl3">
              <w:r>
                <w:rPr>
                  <w:rFonts w:ascii="Calibri" w:cs="Calibri" w:eastAsia="Calibri" w:hAnsi="Calibri"/>
                  <w:b w:val="false"/>
                  <w:bCs w:val="false"/>
                  <w:color w:val="0563C1"/>
                  <w:u w:val="single"/>
                  <w:sz w:val="15"/>
                  <w:szCs w:val="15"/>
                </w:rPr>
                <w:t xml:space="preserve">src/lib/documents/ancillary.ts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See A8.</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HIPAA authorisation</w:t>
            </w:r>
          </w:p>
        </w:tc>
        <w:tc>
          <w:tcPr>
            <w:tcW w:type="dxa" w:w="2520"/>
            <w:shd w:fill="F4F6F9" w:color="auto" w:val="clear"/>
            <w:tcMar>
              <w:top w:type="dxa" w:w="70"/>
              <w:left w:type="dxa" w:w="100"/>
              <w:bottom w:type="dxa" w:w="70"/>
              <w:right w:type="dxa" w:w="100"/>
            </w:tcMar>
          </w:tcPr>
          <w:p>
            <w:pPr>
              <w:spacing w:after="0" w:line="250"/>
            </w:pPr>
            <w:hyperlink r:id="rHl3">
              <w:r>
                <w:rPr>
                  <w:rFonts w:ascii="Calibri" w:cs="Calibri" w:eastAsia="Calibri" w:hAnsi="Calibri"/>
                  <w:b w:val="false"/>
                  <w:bCs w:val="false"/>
                  <w:color w:val="0563C1"/>
                  <w:u w:val="single"/>
                  <w:sz w:val="15"/>
                  <w:szCs w:val="15"/>
                </w:rPr>
                <w:t xml:space="preserve">src/lib/documents/ancillary.ts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A7</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Self-proving affidavit</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clause library</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For 29 states the text is now reproduced VERBATIM from that state’s own published statute, with the citation, the source URL and the date retrieved, and is automatically re-checked against the source (see B8) — so the question for these is whether reproducing the statutory form is the right approach, not whether the wording is faithful. For the remaining jurisdictions see B2. Note Texas prints two forms and we generate § 251.1045 (simultaneous execution) rather than § 251.104 (affidavit annexed after the fact) — confirm that is the right choice, here and in every state that offers both.</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A8</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Statutory ancillary forms</w:t>
            </w:r>
          </w:p>
          <w:p>
            <w:pPr>
              <w:spacing w:after="0" w:line="250"/>
            </w:pPr>
            <w:r>
              <w:rPr>
                <w:rFonts w:ascii="Calibri" w:cs="Calibri" w:eastAsia="Calibri" w:hAnsi="Calibri"/>
                <w:b w:val="false"/>
                <w:bCs w:val="false"/>
                <w:color w:val="1A2230"/>
                <w:sz w:val="17"/>
                <w:szCs w:val="17"/>
              </w:rPr>
              <w:t xml:space="preserve">The code emits a general placeholder wherever a state publishes its own statutory POA, healthcare or HIPAA form.</w:t>
            </w:r>
          </w:p>
        </w:tc>
        <w:tc>
          <w:tcPr>
            <w:tcW w:type="dxa" w:w="2520"/>
            <w:shd w:fill="F4F6F9" w:color="auto" w:val="clear"/>
            <w:tcMar>
              <w:top w:type="dxa" w:w="70"/>
              <w:left w:type="dxa" w:w="100"/>
              <w:bottom w:type="dxa" w:w="70"/>
              <w:right w:type="dxa" w:w="100"/>
            </w:tcMar>
          </w:tcPr>
          <w:p>
            <w:pPr>
              <w:spacing w:after="0" w:line="250"/>
            </w:pPr>
            <w:hyperlink r:id="rHl3">
              <w:r>
                <w:rPr>
                  <w:rFonts w:ascii="Calibri" w:cs="Calibri" w:eastAsia="Calibri" w:hAnsi="Calibri"/>
                  <w:b w:val="false"/>
                  <w:bCs w:val="false"/>
                  <w:color w:val="0563C1"/>
                  <w:u w:val="single"/>
                  <w:sz w:val="15"/>
                  <w:szCs w:val="15"/>
                </w:rPr>
                <w:t xml:space="preserve">src/lib/documents/ancillary.ts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Identify every state that mandates a statutory form and supply the verbatim text for each.</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A9</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Special provisions</w:t>
            </w:r>
          </w:p>
          <w:p>
            <w:pPr>
              <w:spacing w:after="0" w:line="250"/>
            </w:pPr>
            <w:r>
              <w:rPr>
                <w:rFonts w:ascii="Calibri" w:cs="Calibri" w:eastAsia="Calibri" w:hAnsi="Calibri"/>
                <w:b w:val="false"/>
                <w:bCs w:val="false"/>
                <w:color w:val="1A2230"/>
                <w:sz w:val="17"/>
                <w:szCs w:val="17"/>
              </w:rPr>
              <w:t xml:space="preserve">Minor’s trust age, pet care paragraph, digital assets authority.</w:t>
            </w:r>
          </w:p>
        </w:tc>
        <w:tc>
          <w:tcPr>
            <w:tcW w:type="dxa" w:w="2520"/>
            <w:tcMar>
              <w:top w:type="dxa" w:w="70"/>
              <w:left w:type="dxa" w:w="100"/>
              <w:bottom w:type="dxa" w:w="70"/>
              <w:right w:type="dxa" w:w="100"/>
            </w:tcMar>
          </w:tcPr>
          <w:p>
            <w:pPr>
              <w:spacing w:after="0" w:line="250"/>
            </w:pPr>
            <w:hyperlink r:id="rHl1">
              <w:r>
                <w:rPr>
                  <w:rFonts w:ascii="Calibri" w:cs="Calibri" w:eastAsia="Calibri" w:hAnsi="Calibri"/>
                  <w:b w:val="false"/>
                  <w:bCs w:val="false"/>
                  <w:color w:val="0563C1"/>
                  <w:u w:val="single"/>
                  <w:sz w:val="15"/>
                  <w:szCs w:val="15"/>
                </w:rPr>
                <w:t xml:space="preserve">src/lib/documents/will.ts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each; confirm the digital assets clause interacts correctly with F1.</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A10</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Couples / mirror documents</w:t>
            </w:r>
          </w:p>
          <w:p>
            <w:pPr>
              <w:spacing w:after="0" w:line="250"/>
            </w:pPr>
            <w:r>
              <w:rPr>
                <w:rFonts w:ascii="Calibri" w:cs="Calibri" w:eastAsia="Calibri" w:hAnsi="Calibri"/>
                <w:b w:val="false"/>
                <w:bCs w:val="false"/>
                <w:color w:val="1A2230"/>
                <w:sz w:val="17"/>
                <w:szCs w:val="17"/>
              </w:rPr>
              <w:t xml:space="preserve">Reciprocal wills, reciprocal directives and one joint trust naming both spouses. Generation is built and works.</w:t>
            </w:r>
          </w:p>
        </w:tc>
        <w:tc>
          <w:tcPr>
            <w:tcW w:type="dxa" w:w="2520"/>
            <w:shd w:fill="F4F6F9" w:color="auto" w:val="clear"/>
            <w:tcMar>
              <w:top w:type="dxa" w:w="70"/>
              <w:left w:type="dxa" w:w="100"/>
              <w:bottom w:type="dxa" w:w="70"/>
              <w:right w:type="dxa" w:w="100"/>
            </w:tcMar>
          </w:tcPr>
          <w:p>
            <w:pPr>
              <w:spacing w:after="0" w:line="250"/>
            </w:pPr>
            <w:hyperlink r:id="rHl4">
              <w:r>
                <w:rPr>
                  <w:rFonts w:ascii="Calibri" w:cs="Calibri" w:eastAsia="Calibri" w:hAnsi="Calibri"/>
                  <w:b w:val="false"/>
                  <w:bCs w:val="false"/>
                  <w:color w:val="0563C1"/>
                  <w:u w:val="single"/>
                  <w:sz w:val="15"/>
                  <w:szCs w:val="15"/>
                </w:rPr>
                <w:t xml:space="preserve">src/lib/documents/couples.ts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the mirroring approach and the joint trust language. NOTE: this tier is now ON SALE — the two-account household model shipped (Aug 2026), so each spouse holds their own login and document set. See F6.</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A11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Production document footer</w:t>
            </w:r>
          </w:p>
          <w:p>
            <w:pPr>
              <w:spacing w:after="0" w:line="250"/>
            </w:pPr>
            <w:r>
              <w:rPr>
                <w:rFonts w:ascii="Calibri" w:cs="Calibri" w:eastAsia="Calibri" w:hAnsi="Calibri"/>
                <w:b w:val="false"/>
                <w:bCs w:val="false"/>
                <w:color w:val="1A2230"/>
                <w:sz w:val="17"/>
                <w:szCs w:val="17"/>
              </w:rPr>
              <w:t xml:space="preserve">Every generated page currently reads “DRAFT — [ATTORNEY REVIEW REQUIRED] — not legal advice”.</w:t>
            </w:r>
          </w:p>
        </w:tc>
        <w:tc>
          <w:tcPr>
            <w:tcW w:type="dxa" w:w="2520"/>
            <w:tcMar>
              <w:top w:type="dxa" w:w="70"/>
              <w:left w:type="dxa" w:w="100"/>
              <w:bottom w:type="dxa" w:w="70"/>
              <w:right w:type="dxa" w:w="100"/>
            </w:tcMar>
          </w:tcPr>
          <w:p>
            <w:pPr>
              <w:spacing w:after="0" w:line="250"/>
            </w:pPr>
            <w:hyperlink r:id="rHl5">
              <w:r>
                <w:rPr>
                  <w:rFonts w:ascii="Calibri" w:cs="Calibri" w:eastAsia="Calibri" w:hAnsi="Calibri"/>
                  <w:b w:val="false"/>
                  <w:bCs w:val="false"/>
                  <w:color w:val="0563C1"/>
                  <w:u w:val="single"/>
                  <w:sz w:val="15"/>
                  <w:szCs w:val="15"/>
                </w:rPr>
                <w:t xml:space="preserve">src/lib/documents/docx.ts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Supply the production footer for executed and unexecuted output.</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A12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Execution instructions</w:t>
            </w:r>
          </w:p>
          <w:p>
            <w:pPr>
              <w:spacing w:after="0" w:line="250"/>
            </w:pPr>
            <w:r>
              <w:rPr>
                <w:rFonts w:ascii="Calibri" w:cs="Calibri" w:eastAsia="Calibri" w:hAnsi="Calibri"/>
                <w:b w:val="false"/>
                <w:bCs w:val="false"/>
                <w:color w:val="1A2230"/>
                <w:sz w:val="17"/>
                <w:szCs w:val="17"/>
              </w:rPr>
              <w:t xml:space="preserve">Per-state signing guidance issued with each document.</w:t>
            </w:r>
          </w:p>
        </w:tc>
        <w:tc>
          <w:tcPr>
            <w:tcW w:type="dxa" w:w="2520"/>
            <w:shd w:fill="F4F6F9" w:color="auto" w:val="clear"/>
            <w:tcMar>
              <w:top w:type="dxa" w:w="70"/>
              <w:left w:type="dxa" w:w="100"/>
              <w:bottom w:type="dxa" w:w="70"/>
              <w:right w:type="dxa" w:w="100"/>
            </w:tcMar>
          </w:tcPr>
          <w:p>
            <w:pPr>
              <w:spacing w:after="0" w:line="250"/>
            </w:pPr>
            <w:hyperlink r:id="rHl6">
              <w:r>
                <w:rPr>
                  <w:rFonts w:ascii="Calibri" w:cs="Calibri" w:eastAsia="Calibri" w:hAnsi="Calibri"/>
                  <w:b w:val="false"/>
                  <w:bCs w:val="false"/>
                  <w:color w:val="0563C1"/>
                  <w:u w:val="single"/>
                  <w:sz w:val="15"/>
                  <w:szCs w:val="15"/>
                </w:rPr>
                <w:t xml:space="preserve">src/lib/documents/execution-instructions.ts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the wording per state.</w:t>
            </w:r>
          </w:p>
        </w:tc>
      </w:tr>
    </w:tbl>
    <w:p>
      <w:pPr>
        <w:keepNext/>
        <w:keepLines/>
        <w:pBdr>
          <w:bottom w:val="single" w:color="8A6B2E" w:sz="8" w:space="3"/>
        </w:pBdr>
        <w:spacing w:after="80" w:before="320"/>
      </w:pPr>
      <w:r>
        <w:rPr>
          <w:rFonts w:ascii="Cambria" w:cs="Cambria" w:eastAsia="Cambria" w:hAnsi="Cambria"/>
          <w:b/>
          <w:bCs/>
          <w:color w:val="8A6B2E"/>
          <w:sz w:val="24"/>
          <w:szCs w:val="24"/>
        </w:rPr>
        <w:t xml:space="preserve">B   </w:t>
      </w:r>
      <w:r>
        <w:rPr>
          <w:rFonts w:ascii="Cambria" w:cs="Cambria" w:eastAsia="Cambria" w:hAnsi="Cambria"/>
          <w:b/>
          <w:bCs/>
          <w:color w:val="192C46"/>
          <w:sz w:val="24"/>
          <w:szCs w:val="24"/>
        </w:rPr>
        <w:t xml:space="preserve">Per-state compliance</w:t>
      </w:r>
    </w:p>
    <w:p>
      <w:pPr>
        <w:spacing w:after="120" w:line="260"/>
      </w:pPr>
      <w:r>
        <w:rPr>
          <w:rFonts w:ascii="Calibri" w:cs="Calibri" w:eastAsia="Calibri" w:hAnsi="Calibri"/>
          <w:i w:val="false"/>
          <w:iCs w:val="false"/>
          <w:color w:val="1A2230"/>
          <w:sz w:val="19"/>
          <w:szCs w:val="19"/>
        </w:rPr>
        <w:t xml:space="preserve">The platform is data-driven: all execution rules live in a state_rules table, and a state cannot go live until its active flag is set. That flag is an attorney decision and must never be set by a developer.</w:t>
      </w:r>
    </w:p>
    <w:p>
      <w:pPr>
        <w:pBdr>
          <w:left w:val="single" w:color="8C2F1E" w:sz="16" w:space="10"/>
        </w:pBdr>
        <w:spacing w:after="140" w:before="60" w:line="260"/>
        <w:ind w:left="160" w:right="160"/>
      </w:pPr>
      <w:r>
        <w:rPr>
          <w:rFonts w:ascii="Calibri" w:cs="Calibri" w:eastAsia="Calibri" w:hAnsi="Calibri"/>
          <w:b/>
          <w:bCs/>
          <w:color w:val="8C2F1E"/>
          <w:sz w:val="19"/>
          <w:szCs w:val="19"/>
        </w:rPr>
        <w:t xml:space="preserve">Critical. </w:t>
      </w:r>
      <w:r>
        <w:rPr>
          <w:rFonts w:ascii="Calibri" w:cs="Calibri" w:eastAsia="Calibri" w:hAnsi="Calibri"/>
          <w:color w:val="1A2230"/>
          <w:sz w:val="19"/>
          <w:szCs w:val="19"/>
        </w:rPr>
        <w:t xml:space="preserve">Every one of the 51 seeded jurisdictions currently carries needs_review = true and qa_approved = false. Each row records a citation and a checked_at date from desk research that has NOT been verified by counsel. Treat those citations as unverified in the strong sense: capture is the first step that actually tests a citation against the published code, and of the two it has tested so far, one was wrong (ND § 30.1-08-03 is “Holographic will”; corrected to § 30.1-08-04) and one had been wrongly condemned on the strength of a misleading section heading (WV § 41-5-15 is correct after all).</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Execution formalities, all 51 jurisdictions</w:t>
            </w:r>
          </w:p>
          <w:p>
            <w:pPr>
              <w:spacing w:after="0" w:line="250"/>
            </w:pPr>
            <w:r>
              <w:rPr>
                <w:rFonts w:ascii="Calibri" w:cs="Calibri" w:eastAsia="Calibri" w:hAnsi="Calibri"/>
                <w:b w:val="false"/>
                <w:bCs w:val="false"/>
                <w:color w:val="1A2230"/>
                <w:sz w:val="17"/>
                <w:szCs w:val="17"/>
              </w:rPr>
              <w:t xml:space="preserve">Witness count, notarisation, signature-at-end, witness age and competency.</w:t>
            </w:r>
          </w:p>
        </w:tc>
        <w:tc>
          <w:tcPr>
            <w:tcW w:type="dxa" w:w="2520"/>
            <w:tcMar>
              <w:top w:type="dxa" w:w="70"/>
              <w:left w:type="dxa" w:w="100"/>
              <w:bottom w:type="dxa" w:w="70"/>
              <w:right w:type="dxa" w:w="100"/>
            </w:tcMar>
          </w:tcPr>
          <w:p>
            <w:pPr>
              <w:spacing w:after="0" w:line="250"/>
            </w:pPr>
            <w:hyperlink r:id="rHl16">
              <w:r>
                <w:rPr>
                  <w:rFonts w:ascii="Calibri" w:cs="Calibri" w:eastAsia="Calibri" w:hAnsi="Calibri"/>
                  <w:b w:val="false"/>
                  <w:bCs w:val="false"/>
                  <w:color w:val="0563C1"/>
                  <w:u w:val="single"/>
                  <w:sz w:val="15"/>
                  <w:szCs w:val="15"/>
                </w:rPr>
                <w:t xml:space="preserve">supabase/seed.sql</w:t>
              </w:r>
            </w:hyperlink>
            <w:r>
              <w:rPr>
                <w:rFonts w:ascii="Calibri" w:cs="Calibri" w:eastAsia="Calibri" w:hAnsi="Calibri"/>
                <w:b w:val="false"/>
                <w:bCs w:val="false"/>
                <w:color w:val="5A6472"/>
                <w:sz w:val="15"/>
                <w:szCs w:val="15"/>
              </w:rPr>
              <w:t xml:space="preserve">; migration </w:t>
            </w:r>
            <w:hyperlink r:id="rHl23">
              <w:r>
                <w:rPr>
                  <w:rFonts w:ascii="Calibri" w:cs="Calibri" w:eastAsia="Calibri" w:hAnsi="Calibri"/>
                  <w:b w:val="false"/>
                  <w:bCs w:val="false"/>
                  <w:color w:val="0563C1"/>
                  <w:u w:val="single"/>
                  <w:sz w:val="15"/>
                  <w:szCs w:val="15"/>
                </w:rPr>
                <w:t xml:space="preserve">20260712000011_state_qa.sql</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Verify each state, then authorise qa_approved and active per state.</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Self-proving affidavit exceptions</w:t>
            </w:r>
          </w:p>
          <w:p>
            <w:pPr>
              <w:spacing w:after="0" w:line="250"/>
            </w:pPr>
            <w:r>
              <w:rPr>
                <w:rFonts w:ascii="Calibri" w:cs="Calibri" w:eastAsia="Calibri" w:hAnsi="Calibri"/>
                <w:b w:val="false"/>
                <w:bCs w:val="false"/>
                <w:color w:val="1A2230"/>
                <w:sz w:val="17"/>
                <w:szCs w:val="17"/>
              </w:rPr>
              <w:t xml:space="preserve">Verbatim statutory capture (see B8) has now replaced the earlier desk research here, and the picture is more differentiated than “California, Ohio, DC”. TEN states prescribe no affidavit form at all, but do allow proof by witness affidavit: CA, CT, IL, NH, NY, OR, RI, VT, WA and WV. For these we cannot reproduce a statutory form, so the wording must come from you. THREE jurisdictions may offer no paper-will self-proving mechanism whatsoever, for two different reasons: DC (§ 18-908) and MD (§ 4-102(c)–(d)) prescribe affidavit forms only for ELECTRONIC or remotely-witnessed wills, so a paper will appears to fall through the gap; OHIO has no affidavit provision at all — ORC ch. 2107 contains not one occurrence of “affidavit” — apparently because § 2107.18 lets the probate court admit a will “if it appears from the face of the will”, taking witness testimony only at its discretion. WEST VIRGINIA needs specific attention: § 41-5-15 permits a witness affidavit but prescribes no form AND provides that it “shall not be admissible in evidence in any case in which there is a contest over the will” — i.e. it fails precisely when a self-proving affidavit is most valuable.</w:t>
            </w:r>
          </w:p>
        </w:tc>
        <w:tc>
          <w:tcPr>
            <w:tcW w:type="dxa" w:w="2520"/>
            <w:shd w:fill="F4F6F9" w:color="auto" w:val="clear"/>
            <w:tcMar>
              <w:top w:type="dxa" w:w="70"/>
              <w:left w:type="dxa" w:w="100"/>
              <w:bottom w:type="dxa" w:w="70"/>
              <w:right w:type="dxa" w:w="100"/>
            </w:tcMar>
          </w:tcPr>
          <w:p>
            <w:pPr>
              <w:spacing w:after="0" w:line="250"/>
            </w:pPr>
            <w:hyperlink r:id="rHl7">
              <w:r>
                <w:rPr>
                  <w:rFonts w:ascii="Calibri" w:cs="Calibri" w:eastAsia="Calibri" w:hAnsi="Calibri"/>
                  <w:b w:val="false"/>
                  <w:bCs w:val="false"/>
                  <w:color w:val="0563C1"/>
                  <w:u w:val="single"/>
                  <w:sz w:val="15"/>
                  <w:szCs w:val="15"/>
                </w:rPr>
                <w:t xml:space="preserve">docs/STATE_RULES_QA.md</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Four questions. (1) Confirm the ten no-form states and supply the affidavit wording we should use in each. (2) Confirm that DC, MD and Ohio offer no paper-will self-proving route, and tell us what the execution instructions for those three should say instead. (3) Advise what, if anything, a West Virginia customer should be told about the contest limitation. (4) Identify any further exceptions we have not found.</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Community property treatment</w:t>
            </w:r>
          </w:p>
          <w:p>
            <w:pPr>
              <w:spacing w:after="0" w:line="250"/>
            </w:pPr>
            <w:r>
              <w:rPr>
                <w:rFonts w:ascii="Calibri" w:cs="Calibri" w:eastAsia="Calibri" w:hAnsi="Calibri"/>
                <w:b w:val="false"/>
                <w:bCs w:val="false"/>
                <w:color w:val="1A2230"/>
                <w:sz w:val="17"/>
                <w:szCs w:val="17"/>
              </w:rPr>
              <w:t xml:space="preserve">Affects trust and will language in nine states.</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state_rules config</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the list and the language it triggers.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Excluded states</w:t>
            </w:r>
          </w:p>
          <w:p>
            <w:pPr>
              <w:spacing w:after="0" w:line="250"/>
            </w:pPr>
            <w:r>
              <w:rPr>
                <w:rFonts w:ascii="Calibri" w:cs="Calibri" w:eastAsia="Calibri" w:hAnsi="Calibri"/>
                <w:b w:val="false"/>
                <w:bCs w:val="false"/>
                <w:color w:val="1A2230"/>
                <w:sz w:val="17"/>
                <w:szCs w:val="17"/>
              </w:rPr>
              <w:t xml:space="preserve">Louisiana, Texas, North Carolina, Missouri and Ohio are currently switched off. Their statutes have nevertheless now been researched and captured (except Louisiana — see B5), so clearing an exclusion is a configuration change rather than a fresh research project.</w:t>
            </w:r>
          </w:p>
        </w:tc>
        <w:tc>
          <w:tcPr>
            <w:tcW w:type="dxa" w:w="2520"/>
            <w:shd w:fill="F4F6F9" w:color="auto" w:val="clear"/>
            <w:tcMar>
              <w:top w:type="dxa" w:w="70"/>
              <w:left w:type="dxa" w:w="100"/>
              <w:bottom w:type="dxa" w:w="70"/>
              <w:right w:type="dxa" w:w="100"/>
            </w:tcMar>
          </w:tcPr>
          <w:p>
            <w:pPr>
              <w:spacing w:after="0" w:line="250"/>
            </w:pPr>
            <w:hyperlink r:id="rHl16">
              <w:r>
                <w:rPr>
                  <w:rFonts w:ascii="Calibri" w:cs="Calibri" w:eastAsia="Calibri" w:hAnsi="Calibri"/>
                  <w:b w:val="false"/>
                  <w:bCs w:val="false"/>
                  <w:color w:val="0563C1"/>
                  <w:u w:val="single"/>
                  <w:sz w:val="15"/>
                  <w:szCs w:val="15"/>
                </w:rPr>
                <w:t xml:space="preserve">supabase/seed.sql</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each exclusion or clear it. Texas alone is roughly 9% of the US population.</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Louisiana</w:t>
            </w:r>
          </w:p>
          <w:p>
            <w:pPr>
              <w:spacing w:after="0" w:line="250"/>
            </w:pPr>
            <w:r>
              <w:rPr>
                <w:rFonts w:ascii="Calibri" w:cs="Calibri" w:eastAsia="Calibri" w:hAnsi="Calibri"/>
                <w:b w:val="false"/>
                <w:bCs w:val="false"/>
                <w:color w:val="1A2230"/>
                <w:sz w:val="17"/>
                <w:szCs w:val="17"/>
              </w:rPr>
              <w:t xml:space="preserve">Civil law jurisdiction, forced heirship, distinct notarial will forms.</w:t>
            </w:r>
          </w:p>
        </w:tc>
        <w:tc>
          <w:tcPr>
            <w:tcW w:type="dxa" w:w="2520"/>
            <w:tcMar>
              <w:top w:type="dxa" w:w="70"/>
              <w:left w:type="dxa" w:w="100"/>
              <w:bottom w:type="dxa" w:w="70"/>
              <w:right w:type="dxa" w:w="100"/>
            </w:tcMar>
          </w:tcPr>
          <w:p>
            <w:pPr>
              <w:spacing w:after="0" w:line="250"/>
            </w:pPr>
            <w:hyperlink r:id="rHl16">
              <w:r>
                <w:rPr>
                  <w:rFonts w:ascii="Calibri" w:cs="Calibri" w:eastAsia="Calibri" w:hAnsi="Calibri"/>
                  <w:b w:val="false"/>
                  <w:bCs w:val="false"/>
                  <w:color w:val="0563C1"/>
                  <w:u w:val="single"/>
                  <w:sz w:val="15"/>
                  <w:szCs w:val="15"/>
                </w:rPr>
                <w:t xml:space="preserve">supabase/seed.sql</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 whether to build a Louisiana template set or exclude it permanently. Louisiana has deliberately been left out of the statutory-capture pipeline: its civil-law formalities differ enough that forcing them through the same machinery would produce something misleading. It is the one jurisdiction with no captured statute.</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Electronic wills</w:t>
            </w:r>
          </w:p>
          <w:p>
            <w:pPr>
              <w:spacing w:after="0" w:line="250"/>
            </w:pPr>
            <w:r>
              <w:rPr>
                <w:rFonts w:ascii="Calibri" w:cs="Calibri" w:eastAsia="Calibri" w:hAnsi="Calibri"/>
                <w:b w:val="false"/>
                <w:bCs w:val="false"/>
                <w:color w:val="1A2230"/>
                <w:sz w:val="17"/>
                <w:szCs w:val="17"/>
              </w:rPr>
              <w:t xml:space="preserve">Seeded as not permitted anywhere, with wet signature as the launch position.</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state_rules config</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and flag any state where an e-will statute now applies.</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B7</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Template approval workflow</w:t>
            </w:r>
          </w:p>
          <w:p>
            <w:pPr>
              <w:spacing w:after="0" w:line="250"/>
            </w:pPr>
            <w:r>
              <w:rPr>
                <w:rFonts w:ascii="Calibri" w:cs="Calibri" w:eastAsia="Calibri" w:hAnsi="Calibri"/>
                <w:b w:val="false"/>
                <w:bCs w:val="false"/>
                <w:color w:val="1A2230"/>
                <w:sz w:val="17"/>
                <w:szCs w:val="17"/>
              </w:rPr>
              <w:t xml:space="preserve">Seven document_templates rows are currently approved = false. The admin approval action is the attorney’s gate.</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admin approval workflow</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the approval record captures what it needs to (who approved, when, which version).</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B8</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Provenance of the statutory text we reproduce</w:t>
            </w:r>
          </w:p>
          <w:p>
            <w:pPr>
              <w:spacing w:after="0" w:line="250"/>
            </w:pPr>
            <w:r>
              <w:rPr>
                <w:rFonts w:ascii="Calibri" w:cs="Calibri" w:eastAsia="Calibri" w:hAnsi="Calibri"/>
                <w:b w:val="false"/>
                <w:bCs w:val="false"/>
                <w:color w:val="1A2230"/>
                <w:sz w:val="17"/>
                <w:szCs w:val="17"/>
              </w:rPr>
              <w:t xml:space="preserve">Where a state prescribes a form, we reproduce that state’s own published statute verbatim rather than paraphrasing it, and a test fails the build if the generated text ever drifts from the captured source. Each capture records the citation, the official source URL, the date retrieved and a content hash, so an amendment shows up as a change. Sources are the states’ own publishers only — never a commercial database, whose annotations are copyrighted. STATUS: 42 of a target 50 jurisdictions captured, 29 with verbatim form text. Outstanding: AL, AR, GA, IN, MS, NM, TN and NJ. This section is therefore NOT yet complete and should not be treated as a final list.</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docs/STATUTE_SOURCES.md; docs/CLAUSE_RESEARCH_METHOD.md; docs/statutes/</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that reproducing a state’s prescribed form verbatim is the right approach, and that our framing is accurate: each form is reproduced from that state’s own published statute, cited to the section with the date retrieved, and automatically verified against the source — this is desk research by a non-lawyer, NOT legal review, and we do not claim the documents are compliant or current. Please also confirm whether the after-the-fact variant should be offered in the states that print two forms.</w:t>
            </w:r>
          </w:p>
        </w:tc>
      </w:tr>
    </w:tbl>
    <w:p>
      <w:pPr>
        <w:keepNext/>
        <w:keepLines/>
        <w:pBdr>
          <w:bottom w:val="single" w:color="8A6B2E" w:sz="8" w:space="3"/>
        </w:pBdr>
        <w:spacing w:after="80" w:before="320"/>
      </w:pPr>
      <w:r>
        <w:rPr>
          <w:rFonts w:ascii="Cambria" w:cs="Cambria" w:eastAsia="Cambria" w:hAnsi="Cambria"/>
          <w:b/>
          <w:bCs/>
          <w:color w:val="8A6B2E"/>
          <w:sz w:val="24"/>
          <w:szCs w:val="24"/>
        </w:rPr>
        <w:t xml:space="preserve">C   </w:t>
      </w:r>
      <w:r>
        <w:rPr>
          <w:rFonts w:ascii="Cambria" w:cs="Cambria" w:eastAsia="Cambria" w:hAnsi="Cambria"/>
          <w:b/>
          <w:bCs/>
          <w:color w:val="192C46"/>
          <w:sz w:val="24"/>
          <w:szCs w:val="24"/>
        </w:rPr>
        <w:t xml:space="preserve">Unauthorised practice of law</w:t>
      </w:r>
    </w:p>
    <w:p>
      <w:pPr>
        <w:spacing w:after="120" w:line="260"/>
      </w:pPr>
      <w:r>
        <w:rPr>
          <w:rFonts w:ascii="Calibri" w:cs="Calibri" w:eastAsia="Calibri" w:hAnsi="Calibri"/>
          <w:i w:val="false"/>
          <w:iCs w:val="false"/>
          <w:color w:val="1A2230"/>
          <w:sz w:val="19"/>
          <w:szCs w:val="19"/>
        </w:rPr>
        <w:t xml:space="preserve">The product is positioned as self-help document preparation: not a law firm, no legal advice, no attorney-client relationship. That posture is built into the interface, but it has never been reviewed as a whole.</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C1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UPL review of the entire product flow</w:t>
            </w:r>
          </w:p>
          <w:p>
            <w:pPr>
              <w:spacing w:after="0" w:line="250"/>
            </w:pPr>
            <w:r>
              <w:rPr>
                <w:rFonts w:ascii="Calibri" w:cs="Calibri" w:eastAsia="Calibri" w:hAnsi="Calibri"/>
                <w:b w:val="false"/>
                <w:bCs w:val="false"/>
                <w:color w:val="1A2230"/>
                <w:sz w:val="17"/>
                <w:szCs w:val="17"/>
              </w:rPr>
              <w:t xml:space="preserve">From landing page through interview, generation, delivery and support.</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whole product</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 written opinion per launch state.</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C2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Explainer copy neutrality</w:t>
            </w:r>
          </w:p>
          <w:p>
            <w:pPr>
              <w:spacing w:after="0" w:line="250"/>
            </w:pPr>
            <w:r>
              <w:rPr>
                <w:rFonts w:ascii="Calibri" w:cs="Calibri" w:eastAsia="Calibri" w:hAnsi="Calibri"/>
                <w:b w:val="false"/>
                <w:bCs w:val="false"/>
                <w:color w:val="1A2230"/>
                <w:sz w:val="17"/>
                <w:szCs w:val="17"/>
              </w:rPr>
              <w:t xml:space="preserve">Every “what this means” string must be educational, never “you should choose X”.</w:t>
            </w:r>
          </w:p>
        </w:tc>
        <w:tc>
          <w:tcPr>
            <w:tcW w:type="dxa" w:w="2520"/>
            <w:shd w:fill="F4F6F9" w:color="auto" w:val="clear"/>
            <w:tcMar>
              <w:top w:type="dxa" w:w="70"/>
              <w:left w:type="dxa" w:w="100"/>
              <w:bottom w:type="dxa" w:w="70"/>
              <w:right w:type="dxa" w:w="100"/>
            </w:tcMar>
          </w:tcPr>
          <w:p>
            <w:pPr>
              <w:spacing w:after="0" w:line="250"/>
            </w:pPr>
            <w:hyperlink r:id="rHl17">
              <w:r>
                <w:rPr>
                  <w:rFonts w:ascii="Calibri" w:cs="Calibri" w:eastAsia="Calibri" w:hAnsi="Calibri"/>
                  <w:b w:val="false"/>
                  <w:bCs w:val="false"/>
                  <w:color w:val="0563C1"/>
                  <w:u w:val="single"/>
                  <w:sz w:val="15"/>
                  <w:szCs w:val="15"/>
                </w:rPr>
                <w:t xml:space="preserve">src/components/interview</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Review all explainer text.</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C3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Complexity triggers</w:t>
            </w:r>
          </w:p>
          <w:p>
            <w:pPr>
              <w:spacing w:after="0" w:line="250"/>
            </w:pPr>
            <w:r>
              <w:rPr>
                <w:rFonts w:ascii="Calibri" w:cs="Calibri" w:eastAsia="Calibri" w:hAnsi="Calibri"/>
                <w:b w:val="false"/>
                <w:bCs w:val="false"/>
                <w:color w:val="1A2230"/>
                <w:sz w:val="17"/>
                <w:szCs w:val="17"/>
              </w:rPr>
              <w:t xml:space="preserve">Business ownership, trusts and international assets should raise an attorney-review interstitial.</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interview logic</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the trigger list is adequate and the wording is right.</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C4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Find-an-attorney referrals</w:t>
            </w:r>
          </w:p>
          <w:p>
            <w:pPr>
              <w:spacing w:after="0" w:line="250"/>
            </w:pPr>
            <w:r>
              <w:rPr>
                <w:rFonts w:ascii="Calibri" w:cs="Calibri" w:eastAsia="Calibri" w:hAnsi="Calibri"/>
                <w:b w:val="false"/>
                <w:bCs w:val="false"/>
                <w:color w:val="1A2230"/>
                <w:sz w:val="17"/>
                <w:szCs w:val="17"/>
              </w:rPr>
              <w:t xml:space="preserve">State bar referral listings with an ABA fallback.</w:t>
            </w:r>
          </w:p>
        </w:tc>
        <w:tc>
          <w:tcPr>
            <w:tcW w:type="dxa" w:w="2520"/>
            <w:shd w:fill="F4F6F9" w:color="auto" w:val="clear"/>
            <w:tcMar>
              <w:top w:type="dxa" w:w="70"/>
              <w:left w:type="dxa" w:w="100"/>
              <w:bottom w:type="dxa" w:w="70"/>
              <w:right w:type="dxa" w:w="100"/>
            </w:tcMar>
          </w:tcPr>
          <w:p>
            <w:pPr>
              <w:spacing w:after="0" w:line="250"/>
            </w:pPr>
            <w:hyperlink r:id="rHl8">
              <w:r>
                <w:rPr>
                  <w:rFonts w:ascii="Calibri" w:cs="Calibri" w:eastAsia="Calibri" w:hAnsi="Calibri"/>
                  <w:b w:val="false"/>
                  <w:bCs w:val="false"/>
                  <w:color w:val="0563C1"/>
                  <w:u w:val="single"/>
                  <w:sz w:val="15"/>
                  <w:szCs w:val="15"/>
                </w:rPr>
                <w:t xml:space="preserve">src/lib/attorney-referrals.ts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referral presentation is permissible in each launch state.</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C5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Partner and affiliate channel</w:t>
            </w:r>
          </w:p>
          <w:p>
            <w:pPr>
              <w:spacing w:after="0" w:line="250"/>
            </w:pPr>
            <w:r>
              <w:rPr>
                <w:rFonts w:ascii="Calibri" w:cs="Calibri" w:eastAsia="Calibri" w:hAnsi="Calibri"/>
                <w:b w:val="false"/>
                <w:bCs w:val="false"/>
                <w:color w:val="1A2230"/>
                <w:sz w:val="17"/>
                <w:szCs w:val="17"/>
              </w:rPr>
              <w:t xml:space="preserve">Access codes are distributed by affiliated companies — law firms and a tax resolution client base — some at a commission or discount.</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access codes; partner tools</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that distributing a legal-adjacent product through these channels, at a commission, is permissible in each launch state. Fee-splitting and referral-fee rules vary and some states prohibit paying for legal referrals.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C6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Credibility claims</w:t>
            </w:r>
          </w:p>
          <w:p>
            <w:pPr>
              <w:spacing w:after="0" w:line="250"/>
            </w:pPr>
            <w:r>
              <w:rPr>
                <w:rFonts w:ascii="Calibri" w:cs="Calibri" w:eastAsia="Calibri" w:hAnsi="Calibri"/>
                <w:b w:val="false"/>
                <w:bCs w:val="false"/>
                <w:color w:val="1A2230"/>
                <w:sz w:val="17"/>
                <w:szCs w:val="17"/>
              </w:rPr>
              <w:t xml:space="preserve">Review every marketing claim about document quality, and any suggestion of attorney involvement or equivalence.</w:t>
            </w:r>
          </w:p>
        </w:tc>
        <w:tc>
          <w:tcPr>
            <w:tcW w:type="dxa" w:w="2520"/>
            <w:shd w:fill="F4F6F9" w:color="auto" w:val="clear"/>
            <w:tcMar>
              <w:top w:type="dxa" w:w="70"/>
              <w:left w:type="dxa" w:w="100"/>
              <w:bottom w:type="dxa" w:w="70"/>
              <w:right w:type="dxa" w:w="100"/>
            </w:tcMar>
          </w:tcPr>
          <w:p>
            <w:pPr>
              <w:spacing w:after="0" w:line="250"/>
            </w:pPr>
            <w:hyperlink r:id="rHl22">
              <w:r>
                <w:rPr>
                  <w:rFonts w:ascii="Calibri" w:cs="Calibri" w:eastAsia="Calibri" w:hAnsi="Calibri"/>
                  <w:b w:val="false"/>
                  <w:bCs w:val="false"/>
                  <w:color w:val="0563C1"/>
                  <w:u w:val="single"/>
                  <w:sz w:val="15"/>
                  <w:szCs w:val="15"/>
                </w:rPr>
                <w:t xml:space="preserve">docs/MARKETING_GUIDE.md</w:t>
              </w:r>
            </w:hyperlink>
            <w:r>
              <w:rPr>
                <w:rFonts w:ascii="Calibri" w:cs="Calibri" w:eastAsia="Calibri" w:hAnsi="Calibri"/>
                <w:b w:val="false"/>
                <w:bCs w:val="false"/>
                <w:color w:val="5A6472"/>
                <w:sz w:val="15"/>
                <w:szCs w:val="15"/>
              </w:rPr>
              <w:t xml:space="preserve">; marketing pages</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or revise. These are the highest-risk claims in the copy.</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C7</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Support boundaries</w:t>
            </w:r>
          </w:p>
          <w:p>
            <w:pPr>
              <w:spacing w:after="0" w:line="250"/>
            </w:pPr>
            <w:r>
              <w:rPr>
                <w:rFonts w:ascii="Calibri" w:cs="Calibri" w:eastAsia="Calibri" w:hAnsi="Calibri"/>
                <w:b w:val="false"/>
                <w:bCs w:val="false"/>
                <w:color w:val="1A2230"/>
                <w:sz w:val="17"/>
                <w:szCs w:val="17"/>
              </w:rPr>
              <w:t xml:space="preserve">What the support channel may and may not answer once real customers ask “which should I choose?”.</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Supply a scripted boundary and an escalation rule.</w:t>
            </w:r>
          </w:p>
        </w:tc>
      </w:tr>
    </w:tbl>
    <w:p>
      <w:r>
        <w:br w:type="page"/>
      </w:r>
    </w:p>
    <w:p>
      <w:pPr>
        <w:keepNext/>
        <w:keepLines/>
        <w:pBdr>
          <w:bottom w:val="single" w:color="8A6B2E" w:sz="8" w:space="3"/>
        </w:pBdr>
        <w:spacing w:after="80" w:before="320"/>
      </w:pPr>
      <w:r>
        <w:rPr>
          <w:rFonts w:ascii="Cambria" w:cs="Cambria" w:eastAsia="Cambria" w:hAnsi="Cambria"/>
          <w:b/>
          <w:bCs/>
          <w:color w:val="8A6B2E"/>
          <w:sz w:val="24"/>
          <w:szCs w:val="24"/>
        </w:rPr>
        <w:t xml:space="preserve">D   </w:t>
      </w:r>
      <w:r>
        <w:rPr>
          <w:rFonts w:ascii="Cambria" w:cs="Cambria" w:eastAsia="Cambria" w:hAnsi="Cambria"/>
          <w:b/>
          <w:bCs/>
          <w:color w:val="192C46"/>
          <w:sz w:val="24"/>
          <w:szCs w:val="24"/>
        </w:rPr>
        <w:t xml:space="preserve">Disclaimers, terms and policies</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D1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Self-help disclaimers</w:t>
            </w:r>
          </w:p>
          <w:p>
            <w:pPr>
              <w:spacing w:after="0" w:line="250"/>
            </w:pPr>
            <w:r>
              <w:rPr>
                <w:rFonts w:ascii="Calibri" w:cs="Calibri" w:eastAsia="Calibri" w:hAnsi="Calibri"/>
                <w:b w:val="false"/>
                <w:bCs w:val="false"/>
                <w:color w:val="1A2230"/>
                <w:sz w:val="17"/>
                <w:szCs w:val="17"/>
              </w:rPr>
              <w:t xml:space="preserve">Five exported strings, all placeholder: full and short disclaimer, generation acknowledgment label, attorney-review recommendation.</w:t>
            </w:r>
          </w:p>
        </w:tc>
        <w:tc>
          <w:tcPr>
            <w:tcW w:type="dxa" w:w="2520"/>
            <w:tcMar>
              <w:top w:type="dxa" w:w="70"/>
              <w:left w:type="dxa" w:w="100"/>
              <w:bottom w:type="dxa" w:w="70"/>
              <w:right w:type="dxa" w:w="100"/>
            </w:tcMar>
          </w:tcPr>
          <w:p>
            <w:pPr>
              <w:spacing w:after="0" w:line="250"/>
            </w:pPr>
            <w:hyperlink r:id="rHl9">
              <w:r>
                <w:rPr>
                  <w:rFonts w:ascii="Calibri" w:cs="Calibri" w:eastAsia="Calibri" w:hAnsi="Calibri"/>
                  <w:b w:val="false"/>
                  <w:bCs w:val="false"/>
                  <w:color w:val="0563C1"/>
                  <w:u w:val="single"/>
                  <w:sz w:val="15"/>
                  <w:szCs w:val="15"/>
                </w:rPr>
                <w:t xml:space="preserve">src/lib/legal.ts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Supply the final wording for each.</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D2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Disclaimer version tracking</w:t>
            </w:r>
          </w:p>
          <w:p>
            <w:pPr>
              <w:spacing w:after="0" w:line="250"/>
            </w:pPr>
            <w:r>
              <w:rPr>
                <w:rFonts w:ascii="Calibri" w:cs="Calibri" w:eastAsia="Calibri" w:hAnsi="Calibri"/>
                <w:b w:val="false"/>
                <w:bCs w:val="false"/>
                <w:color w:val="1A2230"/>
                <w:sz w:val="17"/>
                <w:szCs w:val="17"/>
              </w:rPr>
              <w:t xml:space="preserve">DISCLAIMER_VERSION now reads from the environment and resolves to “unapproved-placeholder” until set; generation refuses to run in production without an approved value. Every consent record written during the test phase carries the placeholder.</w:t>
            </w:r>
          </w:p>
        </w:tc>
        <w:tc>
          <w:tcPr>
            <w:tcW w:type="dxa" w:w="2520"/>
            <w:shd w:fill="F4F6F9" w:color="auto" w:val="clear"/>
            <w:tcMar>
              <w:top w:type="dxa" w:w="70"/>
              <w:left w:type="dxa" w:w="100"/>
              <w:bottom w:type="dxa" w:w="70"/>
              <w:right w:type="dxa" w:w="100"/>
            </w:tcMar>
          </w:tcPr>
          <w:p>
            <w:pPr>
              <w:spacing w:after="0" w:line="250"/>
            </w:pPr>
            <w:hyperlink r:id="rHl9">
              <w:r>
                <w:rPr>
                  <w:rFonts w:ascii="Calibri" w:cs="Calibri" w:eastAsia="Calibri" w:hAnsi="Calibri"/>
                  <w:b w:val="false"/>
                  <w:bCs w:val="false"/>
                  <w:color w:val="0563C1"/>
                  <w:u w:val="single"/>
                  <w:sz w:val="15"/>
                  <w:szCs w:val="15"/>
                </w:rPr>
                <w:t xml:space="preserve">src/lib/legal.ts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Supply the version string to use, and advise whether test-phase consent records should be purged.</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D3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Terms of Service</w:t>
            </w:r>
          </w:p>
          <w:p>
            <w:pPr>
              <w:spacing w:after="0" w:line="250"/>
            </w:pPr>
            <w:r>
              <w:rPr>
                <w:rFonts w:ascii="Calibri" w:cs="Calibri" w:eastAsia="Calibri" w:hAnsi="Calibri"/>
                <w:b w:val="false"/>
                <w:bCs w:val="false"/>
                <w:color w:val="1A2230"/>
                <w:sz w:val="17"/>
                <w:szCs w:val="17"/>
              </w:rPr>
              <w:t xml:space="preserve">Currently a placeholder page.</w:t>
            </w:r>
          </w:p>
        </w:tc>
        <w:tc>
          <w:tcPr>
            <w:tcW w:type="dxa" w:w="2520"/>
            <w:tcMar>
              <w:top w:type="dxa" w:w="70"/>
              <w:left w:type="dxa" w:w="100"/>
              <w:bottom w:type="dxa" w:w="70"/>
              <w:right w:type="dxa" w:w="100"/>
            </w:tcMar>
          </w:tcPr>
          <w:p>
            <w:pPr>
              <w:spacing w:after="0" w:line="250"/>
            </w:pPr>
            <w:hyperlink r:id="rHl18">
              <w:r>
                <w:rPr>
                  <w:rFonts w:ascii="Calibri" w:cs="Calibri" w:eastAsia="Calibri" w:hAnsi="Calibri"/>
                  <w:b w:val="false"/>
                  <w:bCs w:val="false"/>
                  <w:color w:val="0563C1"/>
                  <w:u w:val="single"/>
                  <w:sz w:val="15"/>
                  <w:szCs w:val="15"/>
                </w:rPr>
                <w:t xml:space="preserve">src/app/(marketing)/terms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Draft. Include limitation of liability, arbitration, venue and class waiver.</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D4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Privacy Policy</w:t>
            </w:r>
          </w:p>
          <w:p>
            <w:pPr>
              <w:spacing w:after="0" w:line="250"/>
            </w:pPr>
            <w:r>
              <w:rPr>
                <w:rFonts w:ascii="Calibri" w:cs="Calibri" w:eastAsia="Calibri" w:hAnsi="Calibri"/>
                <w:b w:val="false"/>
                <w:bCs w:val="false"/>
                <w:color w:val="1A2230"/>
                <w:sz w:val="17"/>
                <w:szCs w:val="17"/>
              </w:rPr>
              <w:t xml:space="preserve">Currently a placeholder page.</w:t>
            </w:r>
          </w:p>
        </w:tc>
        <w:tc>
          <w:tcPr>
            <w:tcW w:type="dxa" w:w="2520"/>
            <w:shd w:fill="F4F6F9" w:color="auto" w:val="clear"/>
            <w:tcMar>
              <w:top w:type="dxa" w:w="70"/>
              <w:left w:type="dxa" w:w="100"/>
              <w:bottom w:type="dxa" w:w="70"/>
              <w:right w:type="dxa" w:w="100"/>
            </w:tcMar>
          </w:tcPr>
          <w:p>
            <w:pPr>
              <w:spacing w:after="0" w:line="250"/>
            </w:pPr>
            <w:hyperlink r:id="rHl19">
              <w:r>
                <w:rPr>
                  <w:rFonts w:ascii="Calibri" w:cs="Calibri" w:eastAsia="Calibri" w:hAnsi="Calibri"/>
                  <w:b w:val="false"/>
                  <w:bCs w:val="false"/>
                  <w:color w:val="0563C1"/>
                  <w:u w:val="single"/>
                  <w:sz w:val="15"/>
                  <w:szCs w:val="15"/>
                </w:rPr>
                <w:t xml:space="preserve">src/app/(marketing)/privacy</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Draft, covering retention, deletion and third-party processors.</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D5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Disclaimer placement</w:t>
            </w:r>
          </w:p>
          <w:p>
            <w:pPr>
              <w:spacing w:after="0" w:line="250"/>
            </w:pPr>
            <w:r>
              <w:rPr>
                <w:rFonts w:ascii="Calibri" w:cs="Calibri" w:eastAsia="Calibri" w:hAnsi="Calibri"/>
                <w:b w:val="false"/>
                <w:bCs w:val="false"/>
                <w:color w:val="1A2230"/>
                <w:sz w:val="17"/>
                <w:szCs w:val="17"/>
              </w:rPr>
              <w:t xml:space="preserve">Shown at signup, in the interview footer, and at the generation gate, where affirmative acknowledgment is logged to disclaimer_acknowledgments.</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multiple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each placement and that the acknowledgment is legally adequate.</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D6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Refund policy</w:t>
            </w:r>
          </w:p>
          <w:p>
            <w:pPr>
              <w:spacing w:after="0" w:line="250"/>
            </w:pPr>
            <w:r>
              <w:rPr>
                <w:rFonts w:ascii="Calibri" w:cs="Calibri" w:eastAsia="Calibri" w:hAnsi="Calibri"/>
                <w:b w:val="false"/>
                <w:bCs w:val="false"/>
                <w:color w:val="1A2230"/>
                <w:sz w:val="17"/>
                <w:szCs w:val="17"/>
              </w:rPr>
              <w:t xml:space="preserve">Not yet written. The code now revokes the entitlement automatically on a full refund or a chargeback, and deliberately leaves it intact on a partial refund.</w:t>
            </w:r>
          </w:p>
        </w:tc>
        <w:tc>
          <w:tcPr>
            <w:tcW w:type="dxa" w:w="2520"/>
            <w:shd w:fill="F4F6F9" w:color="auto" w:val="clear"/>
            <w:tcMar>
              <w:top w:type="dxa" w:w="70"/>
              <w:left w:type="dxa" w:w="100"/>
              <w:bottom w:type="dxa" w:w="70"/>
              <w:right w:type="dxa" w:w="100"/>
            </w:tcMar>
          </w:tcPr>
          <w:p>
            <w:pPr>
              <w:spacing w:after="0" w:line="250"/>
            </w:pPr>
            <w:hyperlink r:id="rHl10">
              <w:r>
                <w:rPr>
                  <w:rFonts w:ascii="Calibri" w:cs="Calibri" w:eastAsia="Calibri" w:hAnsi="Calibri"/>
                  <w:b w:val="false"/>
                  <w:bCs w:val="false"/>
                  <w:color w:val="0563C1"/>
                  <w:u w:val="single"/>
                  <w:sz w:val="15"/>
                  <w:szCs w:val="15"/>
                </w:rPr>
                <w:t xml:space="preserve">src/lib/stripe/webhook.ts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Draft, and confirm that automatic revocation on refund is the right posture for a document the customer may already have executed.</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D7</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Advertising claims</w:t>
            </w:r>
          </w:p>
          <w:p>
            <w:pPr>
              <w:spacing w:after="0" w:line="250"/>
            </w:pPr>
            <w:r>
              <w:rPr>
                <w:rFonts w:ascii="Calibri" w:cs="Calibri" w:eastAsia="Calibri" w:hAnsi="Calibri"/>
                <w:b w:val="false"/>
                <w:bCs w:val="false"/>
                <w:color w:val="1A2230"/>
                <w:sz w:val="17"/>
                <w:szCs w:val="17"/>
              </w:rPr>
              <w:t xml:space="preserve">No guarantee of legal outcome; any pricing comparison against attorney fees.</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marketing pages</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Review all comparative and outcome claims.</w:t>
            </w:r>
          </w:p>
        </w:tc>
      </w:tr>
    </w:tbl>
    <w:p>
      <w:pPr>
        <w:keepNext/>
        <w:keepLines/>
        <w:pBdr>
          <w:bottom w:val="single" w:color="8A6B2E" w:sz="8" w:space="3"/>
        </w:pBdr>
        <w:spacing w:after="80" w:before="320"/>
      </w:pPr>
      <w:r>
        <w:rPr>
          <w:rFonts w:ascii="Cambria" w:cs="Cambria" w:eastAsia="Cambria" w:hAnsi="Cambria"/>
          <w:b/>
          <w:bCs/>
          <w:color w:val="8A6B2E"/>
          <w:sz w:val="24"/>
          <w:szCs w:val="24"/>
        </w:rPr>
        <w:t xml:space="preserve">E   </w:t>
      </w:r>
      <w:r>
        <w:rPr>
          <w:rFonts w:ascii="Cambria" w:cs="Cambria" w:eastAsia="Cambria" w:hAnsi="Cambria"/>
          <w:b/>
          <w:bCs/>
          <w:color w:val="192C46"/>
          <w:sz w:val="24"/>
          <w:szCs w:val="24"/>
        </w:rPr>
        <w:t xml:space="preserve">Data protection and privacy</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E1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California privacy law</w:t>
            </w:r>
          </w:p>
          <w:p>
            <w:pPr>
              <w:spacing w:after="0" w:line="250"/>
            </w:pPr>
            <w:r>
              <w:rPr>
                <w:rFonts w:ascii="Calibri" w:cs="Calibri" w:eastAsia="Calibri" w:hAnsi="Calibri"/>
                <w:b w:val="false"/>
                <w:bCs w:val="false"/>
                <w:color w:val="1A2230"/>
                <w:sz w:val="17"/>
                <w:szCs w:val="17"/>
              </w:rPr>
              <w:t xml:space="preserve">California is a launch state; the product collects detailed financial and family data.</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whole product</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CCPA/CPRA obligations and required disclosures.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E2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Retention schedule</w:t>
            </w:r>
          </w:p>
          <w:p>
            <w:pPr>
              <w:spacing w:after="0" w:line="250"/>
            </w:pPr>
            <w:r>
              <w:rPr>
                <w:rFonts w:ascii="Calibri" w:cs="Calibri" w:eastAsia="Calibri" w:hAnsi="Calibri"/>
                <w:b w:val="false"/>
                <w:bCs w:val="false"/>
                <w:color w:val="1A2230"/>
                <w:sz w:val="17"/>
                <w:szCs w:val="17"/>
              </w:rPr>
              <w:t xml:space="preserve">Executed documents are intended to be retained seven years.</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storage policy</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the period, and set policy for drafts and abandoned interviews.</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E3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Account deletion</w:t>
            </w:r>
          </w:p>
          <w:p>
            <w:pPr>
              <w:spacing w:after="0" w:line="250"/>
            </w:pPr>
            <w:r>
              <w:rPr>
                <w:rFonts w:ascii="Calibri" w:cs="Calibri" w:eastAsia="Calibri" w:hAnsi="Calibri"/>
                <w:b w:val="false"/>
                <w:bCs w:val="false"/>
                <w:color w:val="1A2230"/>
                <w:sz w:val="17"/>
                <w:szCs w:val="17"/>
              </w:rPr>
              <w:t xml:space="preserve">A user-initiated deletion purges storage objects and cascades database rows. audit_log rows survive with the user reference set to null.</w:t>
            </w:r>
          </w:p>
        </w:tc>
        <w:tc>
          <w:tcPr>
            <w:tcW w:type="dxa" w:w="2520"/>
            <w:tcMar>
              <w:top w:type="dxa" w:w="70"/>
              <w:left w:type="dxa" w:w="100"/>
              <w:bottom w:type="dxa" w:w="70"/>
              <w:right w:type="dxa" w:w="100"/>
            </w:tcMar>
          </w:tcPr>
          <w:p>
            <w:pPr>
              <w:spacing w:after="0" w:line="250"/>
            </w:pPr>
            <w:hyperlink r:id="rHl11">
              <w:r>
                <w:rPr>
                  <w:rFonts w:ascii="Calibri" w:cs="Calibri" w:eastAsia="Calibri" w:hAnsi="Calibri"/>
                  <w:b w:val="false"/>
                  <w:bCs w:val="false"/>
                  <w:color w:val="0563C1"/>
                  <w:u w:val="single"/>
                  <w:sz w:val="15"/>
                  <w:szCs w:val="15"/>
                </w:rPr>
                <w:t xml:space="preserve">src/lib/account/actions.ts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what must survive deletion, that retaining it is lawful, and whether an anonymised audit row is sufficient.</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E4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Data export</w:t>
            </w:r>
          </w:p>
          <w:p>
            <w:pPr>
              <w:spacing w:after="0" w:line="250"/>
            </w:pPr>
            <w:r>
              <w:rPr>
                <w:rFonts w:ascii="Calibri" w:cs="Calibri" w:eastAsia="Calibri" w:hAnsi="Calibri"/>
                <w:b w:val="false"/>
                <w:bCs w:val="false"/>
                <w:color w:val="1A2230"/>
                <w:sz w:val="17"/>
                <w:szCs w:val="17"/>
              </w:rPr>
              <w:t xml:space="preserve">Customers can download every generated document and vault file as a single archive, with no entitlement or membership check.</w:t>
            </w:r>
          </w:p>
        </w:tc>
        <w:tc>
          <w:tcPr>
            <w:tcW w:type="dxa" w:w="2520"/>
            <w:shd w:fill="F4F6F9" w:color="auto" w:val="clear"/>
            <w:tcMar>
              <w:top w:type="dxa" w:w="70"/>
              <w:left w:type="dxa" w:w="100"/>
              <w:bottom w:type="dxa" w:w="70"/>
              <w:right w:type="dxa" w:w="100"/>
            </w:tcMar>
          </w:tcPr>
          <w:p>
            <w:pPr>
              <w:spacing w:after="0" w:line="250"/>
            </w:pPr>
            <w:hyperlink r:id="rHl20">
              <w:r>
                <w:rPr>
                  <w:rFonts w:ascii="Calibri" w:cs="Calibri" w:eastAsia="Calibri" w:hAnsi="Calibri"/>
                  <w:b w:val="false"/>
                  <w:bCs w:val="false"/>
                  <w:color w:val="0563C1"/>
                  <w:u w:val="single"/>
                  <w:sz w:val="15"/>
                  <w:szCs w:val="15"/>
                </w:rPr>
                <w:t xml:space="preserve">src/app/(app)/account/export</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this satisfies any access/portability obligation, and that no authorisation gate is required.</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E5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CRM integration</w:t>
            </w:r>
          </w:p>
          <w:p>
            <w:pPr>
              <w:spacing w:after="0" w:line="250"/>
            </w:pPr>
            <w:r>
              <w:rPr>
                <w:rFonts w:ascii="Calibri" w:cs="Calibri" w:eastAsia="Calibri" w:hAnsi="Calibri"/>
                <w:b w:val="false"/>
                <w:bCs w:val="false"/>
                <w:color w:val="1A2230"/>
                <w:sz w:val="17"/>
                <w:szCs w:val="17"/>
              </w:rPr>
              <w:t xml:space="preserve">A Salesforce integration is planned. Contact and commercial fields only; document contents never leave the platform.</w:t>
            </w:r>
          </w:p>
        </w:tc>
        <w:tc>
          <w:tcPr>
            <w:tcW w:type="dxa" w:w="2520"/>
            <w:tcMar>
              <w:top w:type="dxa" w:w="70"/>
              <w:left w:type="dxa" w:w="100"/>
              <w:bottom w:type="dxa" w:w="70"/>
              <w:right w:type="dxa" w:w="100"/>
            </w:tcMar>
          </w:tcPr>
          <w:p>
            <w:pPr>
              <w:spacing w:after="0" w:line="250"/>
            </w:pPr>
            <w:hyperlink r:id="rHl12">
              <w:r>
                <w:rPr>
                  <w:rFonts w:ascii="Calibri" w:cs="Calibri" w:eastAsia="Calibri" w:hAnsi="Calibri"/>
                  <w:b w:val="false"/>
                  <w:bCs w:val="false"/>
                  <w:color w:val="0563C1"/>
                  <w:u w:val="single"/>
                  <w:sz w:val="15"/>
                  <w:szCs w:val="15"/>
                </w:rPr>
                <w:t xml:space="preserve">docs/CRM_SALESFORCE_PLAN.md</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Must be disclosed in the privacy policy before it ships.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E6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Breach notification</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obligations and the required response process.</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E7</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Third-party processors</w:t>
            </w:r>
          </w:p>
          <w:p>
            <w:pPr>
              <w:spacing w:after="0" w:line="250"/>
            </w:pPr>
            <w:r>
              <w:rPr>
                <w:rFonts w:ascii="Calibri" w:cs="Calibri" w:eastAsia="Calibri" w:hAnsi="Calibri"/>
                <w:b w:val="false"/>
                <w:bCs w:val="false"/>
                <w:color w:val="1A2230"/>
                <w:sz w:val="17"/>
                <w:szCs w:val="17"/>
              </w:rPr>
              <w:t xml:space="preserve">Supabase (database and storage), Stripe (payments), Resend (email), and a PDF conversion service.</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infrastructure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each is named in the privacy policy and that any required data processing terms are in place.</w:t>
            </w:r>
          </w:p>
        </w:tc>
      </w:tr>
    </w:tbl>
    <w:p>
      <w:pPr>
        <w:keepNext/>
        <w:keepLines/>
        <w:pBdr>
          <w:bottom w:val="single" w:color="8A6B2E" w:sz="8" w:space="3"/>
        </w:pBdr>
        <w:spacing w:after="80" w:before="320"/>
      </w:pPr>
      <w:r>
        <w:rPr>
          <w:rFonts w:ascii="Cambria" w:cs="Cambria" w:eastAsia="Cambria" w:hAnsi="Cambria"/>
          <w:b/>
          <w:bCs/>
          <w:color w:val="8A6B2E"/>
          <w:sz w:val="24"/>
          <w:szCs w:val="24"/>
        </w:rPr>
        <w:t xml:space="preserve">F   </w:t>
      </w:r>
      <w:r>
        <w:rPr>
          <w:rFonts w:ascii="Cambria" w:cs="Cambria" w:eastAsia="Cambria" w:hAnsi="Cambria"/>
          <w:b/>
          <w:bCs/>
          <w:color w:val="192C46"/>
          <w:sz w:val="24"/>
          <w:szCs w:val="24"/>
        </w:rPr>
        <w:t xml:space="preserve">Access, fiduciaries and death</w:t>
      </w:r>
    </w:p>
    <w:p>
      <w:pPr>
        <w:spacing w:after="120" w:line="260"/>
      </w:pPr>
      <w:r>
        <w:rPr>
          <w:rFonts w:ascii="Calibri" w:cs="Calibri" w:eastAsia="Calibri" w:hAnsi="Calibri"/>
          <w:i w:val="false"/>
          <w:iCs w:val="false"/>
          <w:color w:val="1A2230"/>
          <w:sz w:val="19"/>
          <w:szCs w:val="19"/>
        </w:rPr>
        <w:t xml:space="preserve">Who can reach a document, and when. This is the area with the least precedent, because an estate plan is reached for at exactly the moment its owner cannot authorise access.</w:t>
      </w:r>
    </w:p>
    <w:p>
      <w:pPr>
        <w:pBdr>
          <w:left w:val="single" w:color="8A6B2E" w:sz="16" w:space="10"/>
        </w:pBdr>
        <w:spacing w:after="140" w:before="60" w:line="260"/>
        <w:ind w:left="160" w:right="160"/>
      </w:pPr>
      <w:r>
        <w:rPr>
          <w:rFonts w:ascii="Calibri" w:cs="Calibri" w:eastAsia="Calibri" w:hAnsi="Calibri"/>
          <w:b/>
          <w:bCs/>
          <w:color w:val="8A6B2E"/>
          <w:sz w:val="19"/>
          <w:szCs w:val="19"/>
        </w:rPr>
        <w:t xml:space="preserve">Note for counsel. </w:t>
      </w:r>
      <w:r>
        <w:rPr>
          <w:rFonts w:ascii="Calibri" w:cs="Calibri" w:eastAsia="Calibri" w:hAnsi="Calibri"/>
          <w:color w:val="1A2230"/>
          <w:sz w:val="19"/>
          <w:szCs w:val="19"/>
        </w:rPr>
        <w:t xml:space="preserve">Under the Revised Uniform Fiduciary Access to Digital Assets Act, adopted in some form by more than 40 states, an online tool designation made inside a platform ranks ABOVE instructions in a will for access to that account. A designation made in this product would therefore outrank the customer’s own will — both an opportunity and a conflict risk.</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No legacy contact designation exists yet</w:t>
            </w:r>
          </w:p>
          <w:p>
            <w:pPr>
              <w:spacing w:after="0" w:line="250"/>
            </w:pPr>
            <w:r>
              <w:rPr>
                <w:rFonts w:ascii="Calibri" w:cs="Calibri" w:eastAsia="Calibri" w:hAnsi="Calibri"/>
                <w:b w:val="false"/>
                <w:bCs w:val="false"/>
                <w:color w:val="1A2230"/>
                <w:sz w:val="17"/>
                <w:szCs w:val="17"/>
              </w:rPr>
              <w:t xml:space="preserve">There is currently no way for a customer to name who may reach their account after death. Documents are owner-only, resolved through row-level security.</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proposed</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 whether an in-app designation should be built, and if so approve the designation language and its scope as a RUFADAA online tool.</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Release process on death</w:t>
            </w:r>
          </w:p>
          <w:p>
            <w:pPr>
              <w:spacing w:after="0" w:line="250"/>
            </w:pPr>
            <w:r>
              <w:rPr>
                <w:rFonts w:ascii="Calibri" w:cs="Calibri" w:eastAsia="Calibri" w:hAnsi="Calibri"/>
                <w:b w:val="false"/>
                <w:bCs w:val="false"/>
                <w:color w:val="1A2230"/>
                <w:sz w:val="17"/>
                <w:szCs w:val="17"/>
              </w:rPr>
              <w:t xml:space="preserve">No process exists. Today a surviving family member has no route to a document held in the deceased’s account.</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proposed</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Specify acceptable documentation, who verifies it, and the records to retain.</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Named-person notifications</w:t>
            </w:r>
          </w:p>
          <w:p>
            <w:pPr>
              <w:spacing w:after="0" w:line="250"/>
            </w:pPr>
            <w:r>
              <w:rPr>
                <w:rFonts w:ascii="Calibri" w:cs="Calibri" w:eastAsia="Calibri" w:hAnsi="Calibri"/>
                <w:b w:val="false"/>
                <w:bCs w:val="false"/>
                <w:color w:val="1A2230"/>
                <w:sz w:val="17"/>
                <w:szCs w:val="17"/>
              </w:rPr>
              <w:t xml:space="preserve">Telling an executor, healthcare agent or guardian that they have been named would disclose the existence and contents of an estate plan. Nothing is currently sent.</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proposed</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Approve any wording, and confirm whether per-person consent is required. Default is to send nothing.</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Time-critical access</w:t>
            </w:r>
          </w:p>
          <w:p>
            <w:pPr>
              <w:spacing w:after="0" w:line="250"/>
            </w:pPr>
            <w:r>
              <w:rPr>
                <w:rFonts w:ascii="Calibri" w:cs="Calibri" w:eastAsia="Calibri" w:hAnsi="Calibri"/>
                <w:b w:val="false"/>
                <w:bCs w:val="false"/>
                <w:color w:val="1A2230"/>
                <w:sz w:val="17"/>
                <w:szCs w:val="17"/>
              </w:rPr>
              <w:t xml:space="preserve">A healthcare agent may need the directive within minutes. There is no mechanism to give it to them.</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proposed</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 whether a share-on-consent mechanism is permissible and how it should be worded.</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Ownership is permanent</w:t>
            </w:r>
          </w:p>
          <w:p>
            <w:pPr>
              <w:spacing w:after="0" w:line="250"/>
            </w:pPr>
            <w:r>
              <w:rPr>
                <w:rFonts w:ascii="Calibri" w:cs="Calibri" w:eastAsia="Calibri" w:hAnsi="Calibri"/>
                <w:b w:val="false"/>
                <w:bCs w:val="false"/>
                <w:color w:val="1A2230"/>
                <w:sz w:val="17"/>
                <w:szCs w:val="17"/>
              </w:rPr>
              <w:t xml:space="preserve">Will and Trust are one-time purchases. Access is now recorded as a grant with no expiry, so it cannot lapse; only a refund or chargeback revokes it. Generated documents remain downloadable regardless.</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migration </w:t>
            </w:r>
            <w:hyperlink r:id="rHl24">
              <w:r>
                <w:rPr>
                  <w:rFonts w:ascii="Calibri" w:cs="Calibri" w:eastAsia="Calibri" w:hAnsi="Calibri"/>
                  <w:b w:val="false"/>
                  <w:bCs w:val="false"/>
                  <w:color w:val="0563C1"/>
                  <w:u w:val="single"/>
                  <w:sz w:val="15"/>
                  <w:szCs w:val="15"/>
                </w:rPr>
                <w:t xml:space="preserve">20260712000014</w:t>
              </w:r>
            </w:hyperlink>
            <w:r>
              <w:rPr>
                <w:rFonts w:ascii="Calibri" w:cs="Calibri" w:eastAsia="Calibri" w:hAnsi="Calibri"/>
                <w:b w:val="false"/>
                <w:bCs w:val="false"/>
                <w:color w:val="5A6472"/>
                <w:sz w:val="15"/>
                <w:szCs w:val="15"/>
              </w:rPr>
              <w:t xml:space="preserve">; </w:t>
            </w:r>
            <w:hyperlink r:id="rHl25">
              <w:r>
                <w:rPr>
                  <w:rFonts w:ascii="Calibri" w:cs="Calibri" w:eastAsia="Calibri" w:hAnsi="Calibri"/>
                  <w:b w:val="false"/>
                  <w:bCs w:val="false"/>
                  <w:color w:val="0563C1"/>
                  <w:u w:val="single"/>
                  <w:sz w:val="15"/>
                  <w:szCs w:val="15"/>
                </w:rPr>
                <w:t xml:space="preserve">src/lib/entitlements.ts</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this is the right posture, and that a customer must retain access to an executed document they paid for.</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Couples: two accounts, one shared household</w:t>
            </w:r>
          </w:p>
          <w:p>
            <w:pPr>
              <w:spacing w:after="0" w:line="250"/>
            </w:pPr>
            <w:r>
              <w:rPr>
                <w:rFonts w:ascii="Calibri" w:cs="Calibri" w:eastAsia="Calibri" w:hAnsi="Calibri"/>
                <w:b w:val="false"/>
                <w:bCs w:val="false"/>
                <w:color w:val="1A2230"/>
                <w:sz w:val="17"/>
                <w:szCs w:val="17"/>
              </w:rPr>
              <w:t xml:space="preserve">The tier is now OPEN. The two-account household model shipped (migrations 15–16; docs/HOUSEHOLD_WORK_ORDER.md): each spouse creates their own login and owns their own document set, and the joint trust is shared across the household — so if the account holder dies, the survivor can still reach the will that names them. That was the exact gap that had kept the tier closed.</w:t>
            </w:r>
          </w:p>
        </w:tc>
        <w:tc>
          <w:tcPr>
            <w:tcW w:type="dxa" w:w="2520"/>
            <w:shd w:fill="F4F6F9" w:color="auto" w:val="clear"/>
            <w:tcMar>
              <w:top w:type="dxa" w:w="70"/>
              <w:left w:type="dxa" w:w="100"/>
              <w:bottom w:type="dxa" w:w="70"/>
              <w:right w:type="dxa" w:w="100"/>
            </w:tcMar>
          </w:tcPr>
          <w:p>
            <w:pPr>
              <w:spacing w:after="0" w:line="250"/>
            </w:pPr>
            <w:hyperlink r:id="rHl13">
              <w:r>
                <w:rPr>
                  <w:rFonts w:ascii="Calibri" w:cs="Calibri" w:eastAsia="Calibri" w:hAnsi="Calibri"/>
                  <w:b w:val="false"/>
                  <w:bCs w:val="false"/>
                  <w:color w:val="0563C1"/>
                  <w:u w:val="single"/>
                  <w:sz w:val="15"/>
                  <w:szCs w:val="15"/>
                </w:rPr>
                <w:t xml:space="preserve">src/lib/features.ts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The tier has reopened on the two-account household model. Approve the joint-trust sharing and the mirroring approach (see A10), confirm the model adequately guarantees each spouse’s independent, permanent access to their own documents, and advise on the risk of any single-account couples sale taken during the earlier phase (see G5).</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F7</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Vault access after a membership lapses</w:t>
            </w:r>
          </w:p>
          <w:p>
            <w:pPr>
              <w:spacing w:after="0" w:line="250"/>
            </w:pPr>
            <w:r>
              <w:rPr>
                <w:rFonts w:ascii="Calibri" w:cs="Calibri" w:eastAsia="Calibri" w:hAnsi="Calibri"/>
                <w:b w:val="false"/>
                <w:bCs w:val="false"/>
                <w:color w:val="1A2230"/>
                <w:sz w:val="17"/>
                <w:szCs w:val="17"/>
              </w:rPr>
              <w:t xml:space="preserve">Members upload their own documents. Uploading now requires an active membership; downloading and exporting do not, and remain available permanently.</w:t>
            </w:r>
          </w:p>
        </w:tc>
        <w:tc>
          <w:tcPr>
            <w:tcW w:type="dxa" w:w="2520"/>
            <w:tcMar>
              <w:top w:type="dxa" w:w="70"/>
              <w:left w:type="dxa" w:w="100"/>
              <w:bottom w:type="dxa" w:w="70"/>
              <w:right w:type="dxa" w:w="100"/>
            </w:tcMar>
          </w:tcPr>
          <w:p>
            <w:pPr>
              <w:spacing w:after="0" w:line="250"/>
            </w:pPr>
            <w:hyperlink r:id="rHl21">
              <w:r>
                <w:rPr>
                  <w:rFonts w:ascii="Calibri" w:cs="Calibri" w:eastAsia="Calibri" w:hAnsi="Calibri"/>
                  <w:b w:val="false"/>
                  <w:bCs w:val="false"/>
                  <w:color w:val="0563C1"/>
                  <w:u w:val="single"/>
                  <w:sz w:val="15"/>
                  <w:szCs w:val="15"/>
                </w:rPr>
                <w:t xml:space="preserve">src/app/(app)/vault</w:t>
              </w:r>
            </w:hyperlink>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adequacy, and flag any consumer-protection concern with restricting a customer’s access to their own uploads.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F8</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Staff access to customer records</w:t>
            </w:r>
          </w:p>
          <w:p>
            <w:pPr>
              <w:spacing w:after="0" w:line="250"/>
            </w:pPr>
            <w:r>
              <w:rPr>
                <w:rFonts w:ascii="Calibri" w:cs="Calibri" w:eastAsia="Calibri" w:hAnsi="Calibri"/>
                <w:b w:val="false"/>
                <w:bCs w:val="false"/>
                <w:color w:val="1A2230"/>
                <w:sz w:val="17"/>
                <w:szCs w:val="17"/>
              </w:rPr>
              <w:t xml:space="preserve">Roles are user, reviewer and admin. reviewer is intended as the attorney role. Admin views of customer documents are not currently audited.</w:t>
            </w:r>
          </w:p>
        </w:tc>
        <w:tc>
          <w:tcPr>
            <w:tcW w:type="dxa" w:w="2520"/>
            <w:shd w:fill="F4F6F9" w:color="auto" w:val="clear"/>
            <w:tcMar>
              <w:top w:type="dxa" w:w="70"/>
              <w:left w:type="dxa" w:w="100"/>
              <w:bottom w:type="dxa" w:w="70"/>
              <w:right w:type="dxa" w:w="100"/>
            </w:tcMar>
          </w:tcPr>
          <w:p>
            <w:pPr>
              <w:spacing w:after="0" w:line="250"/>
            </w:pPr>
            <w:hyperlink r:id="rHl14">
              <w:r>
                <w:rPr>
                  <w:rFonts w:ascii="Calibri" w:cs="Calibri" w:eastAsia="Calibri" w:hAnsi="Calibri"/>
                  <w:b w:val="false"/>
                  <w:bCs w:val="false"/>
                  <w:color w:val="0563C1"/>
                  <w:u w:val="single"/>
                  <w:sz w:val="15"/>
                  <w:szCs w:val="15"/>
                </w:rPr>
                <w:t xml:space="preserve">src/lib/auth/role.ts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 what an attorney reviewer may see, and whether any staff view of a customer document must be logged.</w:t>
            </w:r>
          </w:p>
        </w:tc>
      </w:tr>
    </w:tbl>
    <w:p>
      <w:r>
        <w:br w:type="page"/>
      </w:r>
    </w:p>
    <w:p>
      <w:pPr>
        <w:keepNext/>
        <w:keepLines/>
        <w:pBdr>
          <w:bottom w:val="single" w:color="8A6B2E" w:sz="8" w:space="3"/>
        </w:pBdr>
        <w:spacing w:after="80" w:before="320"/>
      </w:pPr>
      <w:r>
        <w:rPr>
          <w:rFonts w:ascii="Cambria" w:cs="Cambria" w:eastAsia="Cambria" w:hAnsi="Cambria"/>
          <w:b/>
          <w:bCs/>
          <w:color w:val="8A6B2E"/>
          <w:sz w:val="24"/>
          <w:szCs w:val="24"/>
        </w:rPr>
        <w:t xml:space="preserve">G   </w:t>
      </w:r>
      <w:r>
        <w:rPr>
          <w:rFonts w:ascii="Cambria" w:cs="Cambria" w:eastAsia="Cambria" w:hAnsi="Cambria"/>
          <w:b/>
          <w:bCs/>
          <w:color w:val="192C46"/>
          <w:sz w:val="24"/>
          <w:szCs w:val="24"/>
        </w:rPr>
        <w:t xml:space="preserve">Commerce and consumer protection</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G1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Auto-renewing membership</w:t>
            </w:r>
          </w:p>
          <w:p>
            <w:pPr>
              <w:spacing w:after="0" w:line="250"/>
            </w:pPr>
            <w:r>
              <w:rPr>
                <w:rFonts w:ascii="Calibri" w:cs="Calibri" w:eastAsia="Calibri" w:hAnsi="Calibri"/>
                <w:b w:val="false"/>
                <w:bCs w:val="false"/>
                <w:color w:val="1A2230"/>
                <w:sz w:val="17"/>
                <w:szCs w:val="17"/>
              </w:rPr>
              <w:t xml:space="preserve">The annual membership renews automatically.</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pricing; Stripe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California’s automatic renewal law imposes strict disclosure, affirmative consent and cancellation requirements. Confirm compliance.</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G2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Published pricing</w:t>
            </w:r>
          </w:p>
          <w:p>
            <w:pPr>
              <w:spacing w:after="0" w:line="250"/>
            </w:pPr>
            <w:r>
              <w:rPr>
                <w:rFonts w:ascii="Calibri" w:cs="Calibri" w:eastAsia="Calibri" w:hAnsi="Calibri"/>
                <w:b w:val="false"/>
                <w:bCs w:val="false"/>
                <w:color w:val="1A2230"/>
                <w:sz w:val="17"/>
                <w:szCs w:val="17"/>
              </w:rPr>
              <w:t xml:space="preserve">Prices are set in code and carry an owner-approval requirement.</w:t>
            </w:r>
          </w:p>
        </w:tc>
        <w:tc>
          <w:tcPr>
            <w:tcW w:type="dxa" w:w="2520"/>
            <w:shd w:fill="F4F6F9" w:color="auto" w:val="clear"/>
            <w:tcMar>
              <w:top w:type="dxa" w:w="70"/>
              <w:left w:type="dxa" w:w="100"/>
              <w:bottom w:type="dxa" w:w="70"/>
              <w:right w:type="dxa" w:w="100"/>
            </w:tcMar>
          </w:tcPr>
          <w:p>
            <w:pPr>
              <w:spacing w:after="0" w:line="250"/>
            </w:pPr>
            <w:hyperlink r:id="rHl15">
              <w:r>
                <w:rPr>
                  <w:rFonts w:ascii="Calibri" w:cs="Calibri" w:eastAsia="Calibri" w:hAnsi="Calibri"/>
                  <w:b w:val="false"/>
                  <w:bCs w:val="false"/>
                  <w:color w:val="0563C1"/>
                  <w:u w:val="single"/>
                  <w:sz w:val="15"/>
                  <w:szCs w:val="15"/>
                </w:rPr>
                <w:t xml:space="preserve">src/lib/pricing.ts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any obligation to honour a published price for a period.</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G3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Partner discount and comp codes</w:t>
            </w:r>
          </w:p>
          <w:p>
            <w:pPr>
              <w:spacing w:after="0" w:line="250"/>
            </w:pPr>
            <w:r>
              <w:rPr>
                <w:rFonts w:ascii="Calibri" w:cs="Calibri" w:eastAsia="Calibri" w:hAnsi="Calibri"/>
                <w:b w:val="false"/>
                <w:bCs w:val="false"/>
                <w:color w:val="1A2230"/>
                <w:sz w:val="17"/>
                <w:szCs w:val="17"/>
              </w:rPr>
              <w:t xml:space="preserve">Codes range from a percentage discount to 100% comp, which grants the product outright.</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access codes; partner tools</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that a routinely discounted list price is defensible, and that a comp grant creates no different obligation.</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G4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Refunds and chargebacks</w:t>
            </w:r>
          </w:p>
          <w:p>
            <w:pPr>
              <w:spacing w:after="0" w:line="250"/>
            </w:pPr>
            <w:r>
              <w:rPr>
                <w:rFonts w:ascii="Calibri" w:cs="Calibri" w:eastAsia="Calibri" w:hAnsi="Calibri"/>
                <w:b w:val="false"/>
                <w:bCs w:val="false"/>
                <w:color w:val="1A2230"/>
                <w:sz w:val="17"/>
                <w:szCs w:val="17"/>
              </w:rPr>
              <w:t xml:space="preserve">A full refund or a chargeback now revokes the entitlement automatically; a partial refund does not.</w:t>
            </w:r>
          </w:p>
        </w:tc>
        <w:tc>
          <w:tcPr>
            <w:tcW w:type="dxa" w:w="2520"/>
            <w:shd w:fill="F4F6F9" w:color="auto" w:val="clear"/>
            <w:tcMar>
              <w:top w:type="dxa" w:w="70"/>
              <w:left w:type="dxa" w:w="100"/>
              <w:bottom w:type="dxa" w:w="70"/>
              <w:right w:type="dxa" w:w="100"/>
            </w:tcMar>
          </w:tcPr>
          <w:p>
            <w:pPr>
              <w:spacing w:after="0" w:line="250"/>
            </w:pPr>
            <w:hyperlink r:id="rHl10">
              <w:r>
                <w:rPr>
                  <w:rFonts w:ascii="Calibri" w:cs="Calibri" w:eastAsia="Calibri" w:hAnsi="Calibri"/>
                  <w:b w:val="false"/>
                  <w:bCs w:val="false"/>
                  <w:color w:val="0563C1"/>
                  <w:u w:val="single"/>
                  <w:sz w:val="15"/>
                  <w:szCs w:val="15"/>
                </w:rPr>
                <w:t xml:space="preserve">src/lib/stripe/webhook.ts</w:t>
              </w:r>
            </w:hyperlink>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Align the published policy with this behaviour, and advise on a customer who has already executed the document.</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G5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Couples pricing during the test phase</w:t>
            </w:r>
          </w:p>
          <w:p>
            <w:pPr>
              <w:spacing w:after="0" w:line="250"/>
            </w:pPr>
            <w:r>
              <w:rPr>
                <w:rFonts w:ascii="Calibri" w:cs="Calibri" w:eastAsia="Calibri" w:hAnsi="Calibri"/>
                <w:b w:val="false"/>
                <w:bCs w:val="false"/>
                <w:color w:val="1A2230"/>
                <w:sz w:val="17"/>
                <w:szCs w:val="17"/>
              </w:rPr>
              <w:t xml:space="preserve">During an earlier single-account phase of testing, couples pricing was briefly live. If any couples purchase was taken then, both spouses’ documents sat in one account. The tier has since reopened on the two-account household model, which does not have this problem.</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 on remediation if any such single-account sale exists.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G6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Membership perks as inducements</w:t>
            </w:r>
          </w:p>
          <w:p>
            <w:pPr>
              <w:spacing w:after="0" w:line="250"/>
            </w:pPr>
            <w:r>
              <w:rPr>
                <w:rFonts w:ascii="Calibri" w:cs="Calibri" w:eastAsia="Calibri" w:hAnsi="Calibri"/>
                <w:b w:val="false"/>
                <w:bCs w:val="false"/>
                <w:color w:val="1A2230"/>
                <w:sz w:val="17"/>
                <w:szCs w:val="17"/>
              </w:rPr>
              <w:t xml:space="preserve">Unlimited updates, vault, annual checkup and funding tracker.</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membership perks</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the perk descriptions are not promises the business cannot keep.</w:t>
            </w:r>
          </w:p>
        </w:tc>
      </w:tr>
    </w:tbl>
    <w:p>
      <w:pPr>
        <w:keepNext/>
        <w:keepLines/>
        <w:pBdr>
          <w:bottom w:val="single" w:color="8A6B2E" w:sz="8" w:space="3"/>
        </w:pBdr>
        <w:spacing w:after="80" w:before="320"/>
      </w:pPr>
      <w:r>
        <w:rPr>
          <w:rFonts w:ascii="Cambria" w:cs="Cambria" w:eastAsia="Cambria" w:hAnsi="Cambria"/>
          <w:b/>
          <w:bCs/>
          <w:color w:val="8A6B2E"/>
          <w:sz w:val="24"/>
          <w:szCs w:val="24"/>
        </w:rPr>
        <w:t xml:space="preserve">H   </w:t>
      </w:r>
      <w:r>
        <w:rPr>
          <w:rFonts w:ascii="Cambria" w:cs="Cambria" w:eastAsia="Cambria" w:hAnsi="Cambria"/>
          <w:b/>
          <w:bCs/>
          <w:color w:val="192C46"/>
          <w:sz w:val="24"/>
          <w:szCs w:val="24"/>
        </w:rPr>
        <w:t xml:space="preserve">Entity, registration and insurance</w:t>
      </w:r>
    </w:p>
    <w:p>
      <w:pPr>
        <w:pBdr>
          <w:left w:val="single" w:color="8C2F1E" w:sz="16" w:space="10"/>
        </w:pBdr>
        <w:spacing w:after="140" w:before="60" w:line="260"/>
        <w:ind w:left="160" w:right="160"/>
      </w:pPr>
      <w:r>
        <w:rPr>
          <w:rFonts w:ascii="Calibri" w:cs="Calibri" w:eastAsia="Calibri" w:hAnsi="Calibri"/>
          <w:b/>
          <w:bCs/>
          <w:color w:val="8C2F1E"/>
          <w:sz w:val="19"/>
          <w:szCs w:val="19"/>
        </w:rPr>
        <w:t xml:space="preserve">Please advise specifically on this. </w:t>
      </w:r>
      <w:r>
        <w:rPr>
          <w:rFonts w:ascii="Calibri" w:cs="Calibri" w:eastAsia="Calibri" w:hAnsi="Calibri"/>
          <w:color w:val="1A2230"/>
          <w:sz w:val="19"/>
          <w:szCs w:val="19"/>
        </w:rPr>
        <w:t xml:space="preserve">Several states regulate non-attorney legal document preparation directly. California registers and bonds Legal Document Assistants; Arizona operates a certified Legal Document Preparer programme. Confirm whether registration, bonding or disclosure obligations attach to this business, and in which states.</w:t>
      </w:r>
    </w:p>
    <w:tbl>
      <w:tblPr>
        <w:tblW w:type="dxa" w:w="9360"/>
        <w:tblBorders>
          <w:top w:val="single" w:color="D8DDE3" w:sz="4"/>
          <w:left w:val="single" w:color="D8DDE3" w:sz="4"/>
          <w:bottom w:val="single" w:color="D8DDE3" w:sz="4"/>
          <w:right w:val="single" w:color="D8DDE3" w:sz="4"/>
          <w:insideH w:val="single" w:color="D8DDE3" w:sz="3"/>
          <w:insideV w:val="single" w:color="D8DDE3" w:sz="3"/>
        </w:tblBorders>
      </w:tblPr>
      <w:tblGrid>
        <w:gridCol w:w="640"/>
        <w:gridCol w:w="3180"/>
        <w:gridCol w:w="2520"/>
        <w:gridCol w:w="3020"/>
      </w:tblGrid>
      <w:tr>
        <w:trPr>
          <w:cantSplit/>
          <w:tblHeader/>
        </w:trPr>
        <w:tc>
          <w:tcPr>
            <w:tcW w:type="dxa" w:w="64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t>
            </w:r>
          </w:p>
        </w:tc>
        <w:tc>
          <w:tcPr>
            <w:tcW w:type="dxa" w:w="318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Item</w:t>
            </w:r>
          </w:p>
        </w:tc>
        <w:tc>
          <w:tcPr>
            <w:tcW w:type="dxa" w:w="25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Where it lives</w:t>
            </w:r>
          </w:p>
        </w:tc>
        <w:tc>
          <w:tcPr>
            <w:tcW w:type="dxa" w:w="3020"/>
            <w:shd w:fill="192C46" w:color="auto" w:val="clear"/>
            <w:tcMar>
              <w:top w:type="dxa" w:w="70"/>
              <w:left w:type="dxa" w:w="100"/>
              <w:bottom w:type="dxa" w:w="70"/>
              <w:right w:type="dxa" w:w="100"/>
            </w:tcMar>
          </w:tcPr>
          <w:p>
            <w:pPr>
              <w:spacing w:after="0" w:line="250"/>
            </w:pPr>
            <w:r>
              <w:rPr>
                <w:rFonts w:ascii="Calibri" w:cs="Calibri" w:eastAsia="Calibri" w:hAnsi="Calibri"/>
                <w:b/>
                <w:bCs/>
                <w:color w:val="FFFFFF"/>
                <w:sz w:val="16"/>
                <w:szCs w:val="16"/>
              </w:rPr>
              <w:t xml:space="preserve">What we need from you</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H1</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Document preparer registration</w:t>
            </w:r>
          </w:p>
          <w:p>
            <w:pPr>
              <w:spacing w:after="0" w:line="250"/>
            </w:pPr>
            <w:r>
              <w:rPr>
                <w:rFonts w:ascii="Calibri" w:cs="Calibri" w:eastAsia="Calibri" w:hAnsi="Calibri"/>
                <w:b w:val="false"/>
                <w:bCs w:val="false"/>
                <w:color w:val="1A2230"/>
                <w:sz w:val="17"/>
                <w:szCs w:val="17"/>
              </w:rPr>
              <w:t xml:space="preserve">Applies in several states, including likely launch states.</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whether registration or bonding is required, and where.</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H2</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Contracting entity</w:t>
            </w:r>
          </w:p>
          <w:p>
            <w:pPr>
              <w:spacing w:after="0" w:line="250"/>
            </w:pPr>
            <w:r>
              <w:rPr>
                <w:rFonts w:ascii="Calibri" w:cs="Calibri" w:eastAsia="Calibri" w:hAnsi="Calibri"/>
                <w:b w:val="false"/>
                <w:bCs w:val="false"/>
                <w:color w:val="1A2230"/>
                <w:sz w:val="17"/>
                <w:szCs w:val="17"/>
              </w:rPr>
              <w:t xml:space="preserve">Confirm which entity contracts with customers and appears in the terms.</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H3</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Professional liability insurance</w:t>
            </w:r>
          </w:p>
          <w:p>
            <w:pPr>
              <w:spacing w:after="0" w:line="250"/>
            </w:pPr>
            <w:r>
              <w:rPr>
                <w:rFonts w:ascii="Calibri" w:cs="Calibri" w:eastAsia="Calibri" w:hAnsi="Calibri"/>
                <w:b w:val="false"/>
                <w:bCs w:val="false"/>
                <w:color w:val="1A2230"/>
                <w:sz w:val="17"/>
                <w:szCs w:val="17"/>
              </w:rPr>
              <w:t xml:space="preserve">Errors and omissions cover for a document preparation service.</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 on necessity and appropriate limits.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H4</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Limitation of liability</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Terms of Service</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Draft, with arbitration, venue and class waiver as appropriate.</w:t>
            </w:r>
          </w:p>
        </w:tc>
      </w:tr>
      <w:tr>
        <w:trPr>
          <w:cantSplit/>
        </w:trPr>
        <w:tc>
          <w:tcPr>
            <w:tcW w:type="dxa" w:w="640"/>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H5</w:t>
            </w:r>
          </w:p>
        </w:tc>
        <w:tc>
          <w:tcPr>
            <w:tcW w:type="dxa" w:w="318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Trademark and brand</w:t>
            </w:r>
          </w:p>
          <w:p>
            <w:pPr>
              <w:spacing w:after="0" w:line="250"/>
            </w:pPr>
            <w:r>
              <w:rPr>
                <w:rFonts w:ascii="Calibri" w:cs="Calibri" w:eastAsia="Calibri" w:hAnsi="Calibri"/>
                <w:b w:val="false"/>
                <w:bCs w:val="false"/>
                <w:color w:val="1A2230"/>
                <w:sz w:val="17"/>
                <w:szCs w:val="17"/>
              </w:rPr>
              <w:t xml:space="preserve">“My Defender” and the Will &amp; Trust sub-brand.</w:t>
            </w:r>
          </w:p>
        </w:tc>
        <w:tc>
          <w:tcPr>
            <w:tcW w:type="dxa" w:w="2520"/>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Advise on clearance and on conflict risk with existing users of similar names.</w:t>
            </w:r>
          </w:p>
        </w:tc>
      </w:tr>
      <w:tr>
        <w:trPr>
          <w:cantSplit/>
        </w:trPr>
        <w:tc>
          <w:tcPr>
            <w:tcW w:type="dxa" w:w="640"/>
            <w:shd w:fill="F4F6F9" w:color="auto" w:val="clear"/>
            <w:tcMar>
              <w:top w:type="dxa" w:w="70"/>
              <w:left w:type="dxa" w:w="100"/>
              <w:bottom w:type="dxa" w:w="70"/>
              <w:right w:type="dxa" w:w="100"/>
            </w:tcMar>
          </w:tcPr>
          <w:p>
            <w:pPr>
              <w:spacing w:after="0" w:line="250"/>
            </w:pPr>
            <w:r>
              <w:rPr>
                <w:rFonts w:ascii="Calibri" w:cs="Calibri" w:eastAsia="Calibri" w:hAnsi="Calibri"/>
                <w:b/>
                <w:bCs/>
                <w:color w:val="5A6472"/>
                <w:sz w:val="16"/>
                <w:szCs w:val="16"/>
              </w:rPr>
              <w:t xml:space="preserve">H6</w:t>
            </w:r>
          </w:p>
        </w:tc>
        <w:tc>
          <w:tcPr>
            <w:tcW w:type="dxa" w:w="318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Shared codebase lineage</w:t>
            </w:r>
          </w:p>
          <w:p>
            <w:pPr>
              <w:spacing w:after="0" w:line="250"/>
            </w:pPr>
            <w:r>
              <w:rPr>
                <w:rFonts w:ascii="Calibri" w:cs="Calibri" w:eastAsia="Calibri" w:hAnsi="Calibri"/>
                <w:b w:val="false"/>
                <w:bCs w:val="false"/>
                <w:color w:val="1A2230"/>
                <w:sz w:val="17"/>
                <w:szCs w:val="17"/>
              </w:rPr>
              <w:t xml:space="preserve">A separate business under different ownership runs a branded fork of this codebase. The two are operationally isolated: separate git remotes, databases, payment accounts and customer records.</w:t>
            </w:r>
          </w:p>
        </w:tc>
        <w:tc>
          <w:tcPr>
            <w:tcW w:type="dxa" w:w="25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5A6472"/>
                <w:sz w:val="15"/>
                <w:szCs w:val="15"/>
              </w:rPr>
              <w:t xml:space="preserve">—</w:t>
            </w:r>
          </w:p>
        </w:tc>
        <w:tc>
          <w:tcPr>
            <w:tcW w:type="dxa" w:w="3020"/>
            <w:shd w:fill="F4F6F9" w:color="auto" w:val="clear"/>
            <w:tcMar>
              <w:top w:type="dxa" w:w="70"/>
              <w:left w:type="dxa" w:w="100"/>
              <w:bottom w:type="dxa" w:w="70"/>
              <w:right w:type="dxa" w:w="100"/>
            </w:tcMar>
          </w:tcPr>
          <w:p>
            <w:pPr>
              <w:spacing w:after="0" w:line="250"/>
            </w:pPr>
            <w:r>
              <w:rPr>
                <w:rFonts w:ascii="Calibri" w:cs="Calibri" w:eastAsia="Calibri" w:hAnsi="Calibri"/>
                <w:b w:val="false"/>
                <w:bCs w:val="false"/>
                <w:color w:val="1A2230"/>
                <w:sz w:val="17"/>
                <w:szCs w:val="17"/>
              </w:rPr>
              <w:t xml:space="preserve">Confirm no cross-liability or IP entanglement, and advise whether anything should be documented between the two.</w:t>
            </w:r>
          </w:p>
        </w:tc>
      </w:tr>
    </w:tbl>
    <w:p>
      <w:pPr>
        <w:pBdr>
          <w:top w:val="single" w:color="D8DDE3" w:sz="4" w:space="8"/>
        </w:pBdr>
        <w:spacing w:before="320"/>
      </w:pPr>
      <w:r>
        <w:rPr>
          <w:rFonts w:ascii="Calibri" w:cs="Calibri" w:eastAsia="Calibri" w:hAnsi="Calibri"/>
          <w:i/>
          <w:iCs/>
          <w:color w:val="5A6472"/>
          <w:sz w:val="16"/>
          <w:szCs w:val="16"/>
        </w:rPr>
        <w:t xml:space="preserve">This checklist was prepared by the product team to scope the legal review. It is not legal advice and does not purport to identify every applicable obligation. Additions from counsel are expected and welcome.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2"/>
        <w:sz w:val="15"/>
        <w:szCs w:val="15"/>
      </w:rPr>
      <w:t xml:space="preserve">My Defender Will &amp; Trust — Legal Review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Hl1" Type="http://schemas.openxmlformats.org/officeDocument/2006/relationships/hyperlink" Target="https://github.com/Evans4207/my-defender-will-trust/blob/f995cb1/src/lib/documents/will.ts" TargetMode="External"/><Relationship Id="rHl2" Type="http://schemas.openxmlformats.org/officeDocument/2006/relationships/hyperlink" Target="https://github.com/Evans4207/my-defender-will-trust/blob/f995cb1/src/lib/documents/trust.ts" TargetMode="External"/><Relationship Id="rHl3" Type="http://schemas.openxmlformats.org/officeDocument/2006/relationships/hyperlink" Target="https://github.com/Evans4207/my-defender-will-trust/blob/f995cb1/src/lib/documents/ancillary.ts" TargetMode="External"/><Relationship Id="rHl4" Type="http://schemas.openxmlformats.org/officeDocument/2006/relationships/hyperlink" Target="https://github.com/Evans4207/my-defender-will-trust/blob/f995cb1/src/lib/documents/couples.ts" TargetMode="External"/><Relationship Id="rHl5" Type="http://schemas.openxmlformats.org/officeDocument/2006/relationships/hyperlink" Target="https://github.com/Evans4207/my-defender-will-trust/blob/f995cb1/src/lib/documents/docx.ts" TargetMode="External"/><Relationship Id="rHl6" Type="http://schemas.openxmlformats.org/officeDocument/2006/relationships/hyperlink" Target="https://github.com/Evans4207/my-defender-will-trust/blob/f995cb1/src/lib/documents/execution-instructions.ts" TargetMode="External"/><Relationship Id="rHl7" Type="http://schemas.openxmlformats.org/officeDocument/2006/relationships/hyperlink" Target="https://github.com/Evans4207/my-defender-will-trust/blob/f995cb1/docs/STATE_RULES_QA.md" TargetMode="External"/><Relationship Id="rHl8" Type="http://schemas.openxmlformats.org/officeDocument/2006/relationships/hyperlink" Target="https://github.com/Evans4207/my-defender-will-trust/blob/f995cb1/src/lib/attorney-referrals.ts" TargetMode="External"/><Relationship Id="rHl9" Type="http://schemas.openxmlformats.org/officeDocument/2006/relationships/hyperlink" Target="https://github.com/Evans4207/my-defender-will-trust/blob/f995cb1/src/lib/legal.ts" TargetMode="External"/><Relationship Id="rHl10" Type="http://schemas.openxmlformats.org/officeDocument/2006/relationships/hyperlink" Target="https://github.com/Evans4207/my-defender-will-trust/blob/f995cb1/src/lib/stripe/webhook.ts" TargetMode="External"/><Relationship Id="rHl11" Type="http://schemas.openxmlformats.org/officeDocument/2006/relationships/hyperlink" Target="https://github.com/Evans4207/my-defender-will-trust/blob/f995cb1/src/lib/account/actions.ts" TargetMode="External"/><Relationship Id="rHl12" Type="http://schemas.openxmlformats.org/officeDocument/2006/relationships/hyperlink" Target="https://github.com/Evans4207/my-defender-will-trust/blob/f995cb1/docs/CRM_SALESFORCE_PLAN.md" TargetMode="External"/><Relationship Id="rHl13" Type="http://schemas.openxmlformats.org/officeDocument/2006/relationships/hyperlink" Target="https://github.com/Evans4207/my-defender-will-trust/blob/f995cb1/src/lib/features.ts" TargetMode="External"/><Relationship Id="rHl14" Type="http://schemas.openxmlformats.org/officeDocument/2006/relationships/hyperlink" Target="https://github.com/Evans4207/my-defender-will-trust/blob/f995cb1/src/lib/auth/role.ts" TargetMode="External"/><Relationship Id="rHl15" Type="http://schemas.openxmlformats.org/officeDocument/2006/relationships/hyperlink" Target="https://github.com/Evans4207/my-defender-will-trust/blob/f995cb1/src/lib/pricing.ts" TargetMode="External"/><Relationship Id="rHl16" Type="http://schemas.openxmlformats.org/officeDocument/2006/relationships/hyperlink" Target="https://github.com/Evans4207/my-defender-will-trust/blob/f995cb1/supabase/seed.sql" TargetMode="External"/><Relationship Id="rHl17" Type="http://schemas.openxmlformats.org/officeDocument/2006/relationships/hyperlink" Target="https://github.com/Evans4207/my-defender-will-trust/tree/f995cb1/src/components/interview" TargetMode="External"/><Relationship Id="rHl18" Type="http://schemas.openxmlformats.org/officeDocument/2006/relationships/hyperlink" Target="https://github.com/Evans4207/my-defender-will-trust/tree/f995cb1/src/app/%28marketing%29/terms" TargetMode="External"/><Relationship Id="rHl19" Type="http://schemas.openxmlformats.org/officeDocument/2006/relationships/hyperlink" Target="https://github.com/Evans4207/my-defender-will-trust/tree/f995cb1/src/app/%28marketing%29/privacy" TargetMode="External"/><Relationship Id="rHl20" Type="http://schemas.openxmlformats.org/officeDocument/2006/relationships/hyperlink" Target="https://github.com/Evans4207/my-defender-will-trust/tree/f995cb1/src/app/%28app%29/account/export" TargetMode="External"/><Relationship Id="rHl21" Type="http://schemas.openxmlformats.org/officeDocument/2006/relationships/hyperlink" Target="https://github.com/Evans4207/my-defender-will-trust/tree/f995cb1/src/app/%28app%29/vault" TargetMode="External"/><Relationship Id="rHl22" Type="http://schemas.openxmlformats.org/officeDocument/2006/relationships/hyperlink" Target="https://github.com/Evans4207/my-defender-will-trust/blob/f995cb1/docs/MARKETING_GUIDE.md" TargetMode="External"/><Relationship Id="rHl23" Type="http://schemas.openxmlformats.org/officeDocument/2006/relationships/hyperlink" Target="https://github.com/Evans4207/my-defender-will-trust/blob/f995cb1/supabase/migrations/20260712000011_state_qa.sql" TargetMode="External"/><Relationship Id="rHl24" Type="http://schemas.openxmlformats.org/officeDocument/2006/relationships/hyperlink" Target="https://github.com/Evans4207/my-defender-will-trust/blob/f995cb1/supabase/migrations/20260712000014_entitlement_grants.sql" TargetMode="External"/><Relationship Id="rHl25" Type="http://schemas.openxmlformats.org/officeDocument/2006/relationships/hyperlink" Target="https://github.com/Evans4207/my-defender-will-trust/blob/f995cb1/src/lib/entitlements.t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2026-07-29T23:23:18.839Z</dcterms:created>
  <dcterms:modified xsi:type="dcterms:W3CDTF">2026-07-29T23:23:18.839Z</dcterms:modified>
</cp:coreProperties>
</file>

<file path=docProps/custom.xml><?xml version="1.0" encoding="utf-8"?>
<Properties xmlns="http://schemas.openxmlformats.org/officeDocument/2006/custom-properties" xmlns:vt="http://schemas.openxmlformats.org/officeDocument/2006/docPropsVTypes"/>
</file>