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80" w:line="260"/>
      </w:pPr>
      <w:r>
        <w:rPr>
          <w:rFonts w:ascii="Calibri" w:cs="Calibri" w:eastAsia="Calibri" w:hAnsi="Calibri"/>
          <w:b/>
          <w:bCs/>
          <w:color w:val="192C46"/>
          <w:sz w:val="21"/>
          <w:szCs w:val="21"/>
        </w:rPr>
        <w:t xml:space="preserve">In plain English: what we have done, and what we are asking you to do</w:t>
      </w:r>
    </w:p>
    <w:p>
      <w:pPr>
        <w:spacing w:after="120" w:line="260"/>
      </w:pPr>
      <w:r>
        <w:rPr>
          <w:rFonts w:ascii="Calibri" w:cs="Calibri" w:eastAsia="Calibri" w:hAnsi="Calibri"/>
          <w:i w:val="false"/>
          <w:iCs w:val="false"/>
          <w:color w:val="1A2230"/>
          <w:sz w:val="19"/>
          <w:szCs w:val="19"/>
        </w:rPr>
        <w:t xml:space="preserve">We have built a website that lets an ordinary person create their own will or living trust without hiring a lawyer. The software is finished and we are testing it privately. It has never taken a payment, and the public cannot find it. Nothing is sold in any state until you approve that state.</w:t>
      </w:r>
    </w:p>
    <w:p>
      <w:pPr>
        <w:spacing w:after="120" w:line="260"/>
      </w:pPr>
      <w:r>
        <w:rPr>
          <w:rFonts w:ascii="Calibri" w:cs="Calibri" w:eastAsia="Calibri" w:hAnsi="Calibri"/>
          <w:i w:val="false"/>
          <w:iCs w:val="false"/>
          <w:color w:val="1A2230"/>
          <w:sz w:val="19"/>
          <w:szCs w:val="19"/>
        </w:rPr>
        <w:t xml:space="preserve">We have also done the legwork on the wording, so you are not starting from a blank page. The part of a will that matters most to a probate court is the self-proving affidavit — the sworn page that lets a will be accepted without tracking down the witnesses years later. For 34 states we have reproduced that state's own official form word for word, exactly as the state itself publishes it, and recorded the citation, the source web address and the date we read it; we can re-check at any time whether the state has since changed it. For 8 more states the law allows such an affidavit but never says what it should say, so we have written a first draft for you to correct — that wording is ours, not the law's, and it is not authoritative. For the remaining 9 jurisdictions we have deliberately written nothing, either because the official text is not obtainable to us or because the state may not offer this procedure at all. Each one is listed below with the reason.</w:t>
      </w:r>
    </w:p>
    <w:p>
      <w:pPr>
        <w:spacing w:after="120" w:line="260"/>
      </w:pPr>
      <w:r>
        <w:rPr>
          <w:rFonts w:ascii="Calibri" w:cs="Calibri" w:eastAsia="Calibri" w:hAnsi="Calibri"/>
          <w:i w:val="false"/>
          <w:iCs w:val="false"/>
          <w:color w:val="1A2230"/>
          <w:sz w:val="19"/>
          <w:szCs w:val="19"/>
        </w:rPr>
        <w:t xml:space="preserve">We are not lawyers. None of this is legal advice, and none of it has been legally reviewed — it is desk research by a product team, done so that you can review a draft instead of building one. What we are asking you for is exactly that review: please tell us what is wrong, what is missing, and which states we may switch on. Anywhere the product shows [ATTORNEY REVIEW REQUIRED], it is waiting on you. Until you sign off, every state stays marked “not approved” and nothing goes on sale.</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 A second extraction fault, fixed the same day, affected three more states: the bound marking the END of the prescribed form never matched, so the clause silently ran on past the form. Virginia’s affidavit was carrying operative statute, the amendment history and four paragraphs of the Virginia Law website (including a “Privacy Policy © Copyright Commonwealth of Virginia” line); Kansas was carrying two paragraphs addressed to the court rather than the signer; Delaware was carrying a session-law citation. All three now end at the officer’s capacity line. Any Virginia, Kansas or Delaware document generated before 7 Aug 2026 carries the old text. Please confirm the corrected extent of each of these three forms.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34 with verbatim form text and a further 8 carrying a DRAFTED affidavit for you to redline. REVIEW EFFORT, so the work can be scoped. Of the 51 jurisdictions in scope, 42 now come to you as a DOCUMENT TO REVIEW rather than an open question, in two tiers. TIER 1 — 34 states reproduce that state’s own prescribed statutory form verbatim, machine-checked against the captured statute; the questions are currency and whether we took the right excerpt: AK, AL, AZ, CO, DE, FL, HI, IA, ID, IN, KS, KY, MA, ME, MI, MN, MO, MT, NC, ND, NE, NH, NM, NV, OK, PA, RI, SC, SD, TX, UT, VA, WI, WY. (New Hampshire and Rhode Island joined this tier on 7 Aug 2026: both had been recorded as prescribing no form, and both in fact do — RSA 551:2-a(I) prints a sworn acknowledgment introduced by “shall be followed by ... as follows”, which reads MANDATORY rather than “substantially the following form”, and § 33-7-26(3) prints an express safe-harbour affidavit. Please confirm both readings.) TIER 2 — 8 states prescribe NO form, and now carry an affidavit DRAFTED BY A NON-LAWYER from the governing statute: CA, CT, IL, NY, OR, VT, WA, WV. None of that text is authoritative and none of it is reproduced from a statute; it is offered as a starting point to redline. For each we record the elements the statute requires and test that the draft covers them, which proves coverage but NOT sufficiency. Three of these carry limits you should weigh first: Vermont’s § 108 requires the sworn acknowledgment of the TESTATOR as well as the witnesses; West Virginia’s § 41-5-15 affidavit is inadmissible in any contested case, so it fails exactly when it would matter; and California is the weakest fit of all — Prob. Code § 8220 is a rule of evidence at probate, not a self-proving mechanism, so the threshold question is whether California documents should carry an affidavit at all or only a strong attestation clause with form DE-131 handled at probate. THE REMAINING 9 are still open questions rather than documents: 3 jurisdictions where we found NO paper-will self-proving mechanism at all and have deliberately NOT drafted one, because doing so would invent a procedure the legislature did not create — DC § 18-908 and MD § 4-102 prescribe forms only for electronic or remotely witnessed wills, and Ohio has no affidavit provision anywhere in ORC ch. 2107; 4 states whose official code is published only behind a CAPTCHA, where we need you to supply the form text from a subscription database — AR, GA, MS, TN; New Jersey, pending its official publisher coming back online; and Louisiana, whose civil-law execution formalities are deliberately outside this pipeline and need their own treatment.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f995cb1/src/lib/documents/will.ts" TargetMode="External"/><Relationship Id="rHl2" Type="http://schemas.openxmlformats.org/officeDocument/2006/relationships/hyperlink" Target="https://github.com/Evans4207/my-defender-will-trust/blob/f995cb1/src/lib/documents/trust.ts" TargetMode="External"/><Relationship Id="rHl3" Type="http://schemas.openxmlformats.org/officeDocument/2006/relationships/hyperlink" Target="https://github.com/Evans4207/my-defender-will-trust/blob/f995cb1/src/lib/documents/ancillary.ts" TargetMode="External"/><Relationship Id="rHl4" Type="http://schemas.openxmlformats.org/officeDocument/2006/relationships/hyperlink" Target="https://github.com/Evans4207/my-defender-will-trust/blob/f995cb1/src/lib/documents/couples.ts" TargetMode="External"/><Relationship Id="rHl5" Type="http://schemas.openxmlformats.org/officeDocument/2006/relationships/hyperlink" Target="https://github.com/Evans4207/my-defender-will-trust/blob/f995cb1/src/lib/documents/docx.ts" TargetMode="External"/><Relationship Id="rHl6" Type="http://schemas.openxmlformats.org/officeDocument/2006/relationships/hyperlink" Target="https://github.com/Evans4207/my-defender-will-trust/blob/f995cb1/src/lib/documents/execution-instructions.ts" TargetMode="External"/><Relationship Id="rHl7" Type="http://schemas.openxmlformats.org/officeDocument/2006/relationships/hyperlink" Target="https://github.com/Evans4207/my-defender-will-trust/blob/f995cb1/docs/STATE_RULES_QA.md" TargetMode="External"/><Relationship Id="rHl8" Type="http://schemas.openxmlformats.org/officeDocument/2006/relationships/hyperlink" Target="https://github.com/Evans4207/my-defender-will-trust/blob/f995cb1/src/lib/attorney-referrals.ts" TargetMode="External"/><Relationship Id="rHl9" Type="http://schemas.openxmlformats.org/officeDocument/2006/relationships/hyperlink" Target="https://github.com/Evans4207/my-defender-will-trust/blob/f995cb1/src/lib/legal.ts" TargetMode="External"/><Relationship Id="rHl10" Type="http://schemas.openxmlformats.org/officeDocument/2006/relationships/hyperlink" Target="https://github.com/Evans4207/my-defender-will-trust/blob/f995cb1/src/lib/stripe/webhook.ts" TargetMode="External"/><Relationship Id="rHl11" Type="http://schemas.openxmlformats.org/officeDocument/2006/relationships/hyperlink" Target="https://github.com/Evans4207/my-defender-will-trust/blob/f995cb1/src/lib/account/actions.ts" TargetMode="External"/><Relationship Id="rHl12" Type="http://schemas.openxmlformats.org/officeDocument/2006/relationships/hyperlink" Target="https://github.com/Evans4207/my-defender-will-trust/blob/f995cb1/docs/CRM_SALESFORCE_PLAN.md" TargetMode="External"/><Relationship Id="rHl13" Type="http://schemas.openxmlformats.org/officeDocument/2006/relationships/hyperlink" Target="https://github.com/Evans4207/my-defender-will-trust/blob/f995cb1/src/lib/features.ts" TargetMode="External"/><Relationship Id="rHl14" Type="http://schemas.openxmlformats.org/officeDocument/2006/relationships/hyperlink" Target="https://github.com/Evans4207/my-defender-will-trust/blob/f995cb1/src/lib/auth/role.ts" TargetMode="External"/><Relationship Id="rHl15" Type="http://schemas.openxmlformats.org/officeDocument/2006/relationships/hyperlink" Target="https://github.com/Evans4207/my-defender-will-trust/blob/f995cb1/src/lib/pricing.ts" TargetMode="External"/><Relationship Id="rHl16" Type="http://schemas.openxmlformats.org/officeDocument/2006/relationships/hyperlink" Target="https://github.com/Evans4207/my-defender-will-trust/blob/f995cb1/supabase/seed.sql" TargetMode="External"/><Relationship Id="rHl17" Type="http://schemas.openxmlformats.org/officeDocument/2006/relationships/hyperlink" Target="https://github.com/Evans4207/my-defender-will-trust/tree/f995cb1/src/components/interview" TargetMode="External"/><Relationship Id="rHl18" Type="http://schemas.openxmlformats.org/officeDocument/2006/relationships/hyperlink" Target="https://github.com/Evans4207/my-defender-will-trust/tree/f995cb1/src/app/%28marketing%29/terms" TargetMode="External"/><Relationship Id="rHl19" Type="http://schemas.openxmlformats.org/officeDocument/2006/relationships/hyperlink" Target="https://github.com/Evans4207/my-defender-will-trust/tree/f995cb1/src/app/%28marketing%29/privacy" TargetMode="External"/><Relationship Id="rHl20" Type="http://schemas.openxmlformats.org/officeDocument/2006/relationships/hyperlink" Target="https://github.com/Evans4207/my-defender-will-trust/tree/f995cb1/src/app/%28app%29/account/export" TargetMode="External"/><Relationship Id="rHl21" Type="http://schemas.openxmlformats.org/officeDocument/2006/relationships/hyperlink" Target="https://github.com/Evans4207/my-defender-will-trust/tree/f995cb1/src/app/%28app%29/vault" TargetMode="External"/><Relationship Id="rHl22" Type="http://schemas.openxmlformats.org/officeDocument/2006/relationships/hyperlink" Target="https://github.com/Evans4207/my-defender-will-trust/blob/f995cb1/docs/MARKETING_GUIDE.md" TargetMode="External"/><Relationship Id="rHl23" Type="http://schemas.openxmlformats.org/officeDocument/2006/relationships/hyperlink" Target="https://github.com/Evans4207/my-defender-will-trust/blob/f995cb1/supabase/migrations/20260712000011_state_qa.sql" TargetMode="External"/><Relationship Id="rHl24" Type="http://schemas.openxmlformats.org/officeDocument/2006/relationships/hyperlink" Target="https://github.com/Evans4207/my-defender-will-trust/blob/f995cb1/supabase/migrations/20260712000014_entitlement_grants.sql" TargetMode="External"/><Relationship Id="rHl25" Type="http://schemas.openxmlformats.org/officeDocument/2006/relationships/hyperlink" Target="https://github.com/Evans4207/my-defender-will-trust/blob/f995cb1/src/lib/entitlements.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