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92C46"/>
          <w:sz w:val="28"/>
          <w:szCs w:val="28"/>
        </w:rPr>
        <w:t xml:space="preserve">MY DEFENDER WILL &amp; TRUST</w:t>
      </w:r>
    </w:p>
    <w:p>
      <w:pPr>
        <w:pBdr>
          <w:bottom w:val="single" w:color="192C46" w:sz="14" w:space="5"/>
        </w:pBdr>
        <w:spacing w:after="240"/>
      </w:pPr>
      <w:r>
        <w:rPr>
          <w:rFonts w:ascii="Calibri" w:cs="Calibri" w:eastAsia="Calibri" w:hAnsi="Calibri"/>
          <w:color w:val="5A6472"/>
          <w:sz w:val="20"/>
          <w:szCs w:val="20"/>
        </w:rPr>
        <w:t xml:space="preserve">Legal Review Checklist — everything requiring counsel sign-off before launch</w:t>
      </w:r>
    </w:p>
    <w:p>
      <w:pPr>
        <w:spacing w:after="80" w:line="260"/>
      </w:pPr>
      <w:r>
        <w:rPr>
          <w:rFonts w:ascii="Calibri" w:cs="Calibri" w:eastAsia="Calibri" w:hAnsi="Calibri"/>
          <w:b/>
          <w:bCs/>
          <w:color w:val="192C46"/>
          <w:sz w:val="21"/>
          <w:szCs w:val="21"/>
        </w:rPr>
        <w:t xml:space="preserve">In plain English: what we have done, and what we are asking you to do</w:t>
      </w:r>
    </w:p>
    <w:p>
      <w:pPr>
        <w:spacing w:after="120" w:line="260"/>
      </w:pPr>
      <w:r>
        <w:rPr>
          <w:rFonts w:ascii="Calibri" w:cs="Calibri" w:eastAsia="Calibri" w:hAnsi="Calibri"/>
          <w:i w:val="false"/>
          <w:iCs w:val="false"/>
          <w:color w:val="1A2230"/>
          <w:sz w:val="19"/>
          <w:szCs w:val="19"/>
        </w:rPr>
        <w:t xml:space="preserve">We have built a website that lets an ordinary person create their own will or living trust without hiring a lawyer. The software is finished and we are testing it privately. It has never taken a payment, and the public cannot find it. Nothing is sold in any state until you approve that state.</w:t>
      </w:r>
    </w:p>
    <w:p>
      <w:pPr>
        <w:spacing w:after="120" w:line="260"/>
      </w:pPr>
      <w:r>
        <w:rPr>
          <w:rFonts w:ascii="Calibri" w:cs="Calibri" w:eastAsia="Calibri" w:hAnsi="Calibri"/>
          <w:i w:val="false"/>
          <w:iCs w:val="false"/>
          <w:color w:val="1A2230"/>
          <w:sz w:val="19"/>
          <w:szCs w:val="19"/>
        </w:rPr>
        <w:t xml:space="preserve">We have also done the legwork on the wording, so you are not starting from a blank page. The part of a will that matters most to a probate court is the self-proving affidavit — the sworn page that lets a will be accepted without tracking down the witnesses years later. For 34 states we have reproduced that state's own official form word for word, exactly as the state itself publishes it, and recorded the citation, the source web address and the date we read it; we can re-check at any time whether the state has since changed it. For 8 more states the law allows such an affidavit but never says what it should say, so we have written a first draft for you to correct — that wording is ours, not the law's, and it is not authoritative. For the remaining 9 jurisdictions we have deliberately written nothing, either because the official text is not obtainable to us or because the state may not offer this procedure at all. Each one is listed below with the reason.</w:t>
      </w:r>
    </w:p>
    <w:p>
      <w:pPr>
        <w:spacing w:after="120" w:line="260"/>
      </w:pPr>
      <w:r>
        <w:rPr>
          <w:rFonts w:ascii="Calibri" w:cs="Calibri" w:eastAsia="Calibri" w:hAnsi="Calibri"/>
          <w:i w:val="false"/>
          <w:iCs w:val="false"/>
          <w:color w:val="1A2230"/>
          <w:sz w:val="19"/>
          <w:szCs w:val="19"/>
        </w:rPr>
        <w:t xml:space="preserve">We are not lawyers. None of this is legal advice, and none of it has been legally reviewed — it is desk research by a product team, done so that you can review a draft instead of building one. What we are asking you for is exactly that review: please tell us what is wrong, what is missing, and which states we may switch on. Anywhere the product shows [ATTORNEY REVIEW REQUIRED], it is waiting on you. Until you sign off, every state stays marked “not approved” and nothing goes on sale.</w:t>
      </w:r>
    </w:p>
    <w:p>
      <w:pPr>
        <w:spacing w:after="200" w:line="260"/>
      </w:pPr>
      <w:r>
        <w:rPr>
          <w:rFonts w:ascii="Calibri" w:cs="Calibri" w:eastAsia="Calibri" w:hAnsi="Calibri"/>
          <w:i w:val="false"/>
          <w:iCs w:val="false"/>
          <w:color w:val="1A2230"/>
          <w:sz w:val="19"/>
          <w:szCs w:val="19"/>
        </w:rPr>
        <w:t xml:space="preserve">Working state by state? Open the companion index: </w:t>
      </w:r>
      <w:hyperlink r:id="rHlIndex">
        <w:r>
          <w:rPr>
            <w:rFonts w:ascii="Calibri" w:cs="Calibri" w:eastAsia="Calibri" w:hAnsi="Calibri"/>
            <w:b/>
            <w:bCs/>
            <w:color w:val="1155CC"/>
            <w:u w:val="single"/>
            <w:sz w:val="19"/>
            <w:szCs w:val="19"/>
          </w:rPr>
          <w:t xml:space="preserve">STATE_REVIEW_INDEX.md</w:t>
        </w:r>
      </w:hyperlink>
      <w:r>
        <w:rPr>
          <w:rFonts w:ascii="Calibri" w:cs="Calibri" w:eastAsia="Calibri" w:hAnsi="Calibri"/>
          <w:i w:val="false"/>
          <w:iCs w:val="false"/>
          <w:color w:val="1A2230"/>
          <w:sz w:val="19"/>
          <w:szCs w:val="19"/>
        </w:rPr>
        <w:t xml:space="preserve">. It lists all 51 jurisdictions with a live link straight to each state’s own official statute, the text we captured, the date we read it, and the wording we produced — so you can open a state and see everything about it in three clicks. Every file reference in this document is also a link into the code.</w:t>
      </w:r>
    </w:p>
    <w:p>
      <w:pPr>
        <w:spacing w:after="120" w:line="260"/>
      </w:pPr>
      <w:r>
        <w:rPr>
          <w:rFonts w:ascii="Calibri" w:cs="Calibri" w:eastAsia="Calibri" w:hAnsi="Calibri"/>
          <w:i w:val="false"/>
          <w:iCs w:val="false"/>
          <w:color w:val="1A2230"/>
          <w:sz w:val="19"/>
          <w:szCs w:val="19"/>
        </w:rPr>
        <w:t xml:space="preserve">This checklist covers a self-help legal document platform that produces a state-compliant Last Will &amp; Testament or Revocable Living Trust, each with a durable financial power of attorney, a healthcare directive and a HIPAA authorisation. It is functionally complete and in internal testing. It has not processed a live payment and is not publicly indexed. Nothing ships until the items below are cleared.</w:t>
      </w:r>
    </w:p>
    <w:p>
      <w:pPr>
        <w:spacing w:after="120" w:line="260"/>
      </w:pPr>
      <w:r>
        <w:rPr>
          <w:rFonts w:ascii="Calibri" w:cs="Calibri" w:eastAsia="Calibri" w:hAnsi="Calibri"/>
          <w:i w:val="false"/>
          <w:iCs w:val="false"/>
          <w:color w:val="1A2230"/>
          <w:sz w:val="19"/>
          <w:szCs w:val="19"/>
        </w:rPr>
        <w:t xml:space="preserve">Every generated document currently carries placeholder clause text marked [ATTORNEY REVIEW REQUIRED]. All 51 seeded jurisdictions carry needs_review = true and are not approved for use. These are deliberate safeguards, not oversights.</w:t>
      </w:r>
    </w:p>
    <w:p>
      <w:pPr>
        <w:pBdr>
          <w:left w:val="single" w:color="8A6B2E" w:sz="16" w:space="10"/>
        </w:pBdr>
        <w:spacing w:after="140" w:before="60" w:line="260"/>
        <w:ind w:left="160" w:right="160"/>
      </w:pPr>
      <w:r>
        <w:rPr>
          <w:rFonts w:ascii="Calibri" w:cs="Calibri" w:eastAsia="Calibri" w:hAnsi="Calibri"/>
          <w:b/>
          <w:bCs/>
          <w:color w:val="8A6B2E"/>
          <w:sz w:val="19"/>
          <w:szCs w:val="19"/>
        </w:rPr>
        <w:t xml:space="preserve">How to use this document. </w:t>
      </w:r>
      <w:r>
        <w:rPr>
          <w:rFonts w:ascii="Calibri" w:cs="Calibri" w:eastAsia="Calibri" w:hAnsi="Calibri"/>
          <w:color w:val="1A2230"/>
          <w:sz w:val="19"/>
          <w:szCs w:val="19"/>
        </w:rPr>
        <w:t xml:space="preserve">Items are grouped A to H. Section A blocks all revenue. Section B blocks each state individually. Sections C, D and H carry the highest regulatory exposure. Where an item names a file, that is where the text or logic lives in the codebase and where approved language will be placed.</w:t>
      </w:r>
    </w:p>
    <w:p>
      <w:pPr>
        <w:spacing w:after="120" w:line="260"/>
      </w:pPr>
      <w:r>
        <w:rPr>
          <w:rFonts w:ascii="Calibri" w:cs="Calibri" w:eastAsia="Calibri" w:hAnsi="Calibri"/>
          <w:i/>
          <w:iCs/>
          <w:color w:val="5A6472"/>
          <w:sz w:val="17"/>
          <w:szCs w:val="17"/>
        </w:rPr>
        <w:t xml:space="preserve">Prepared for outside counsel by the product team. The underlying build specification and per-state research notes can be supplied in full on request.</w:t>
      </w:r>
    </w:p>
    <w:p>
      <w:pPr>
        <w:keepNext/>
        <w:keepLines/>
        <w:pBdr>
          <w:bottom w:val="single" w:color="8A6B2E" w:sz="8" w:space="3"/>
        </w:pBdr>
        <w:spacing w:after="80" w:before="320"/>
      </w:pPr>
      <w:r>
        <w:rPr>
          <w:rFonts w:ascii="Cambria" w:cs="Cambria" w:eastAsia="Cambria" w:hAnsi="Cambria"/>
          <w:b/>
          <w:bCs/>
          <w:color w:val="8A6B2E"/>
          <w:sz w:val="24"/>
          <w:szCs w:val="24"/>
        </w:rPr>
        <w:t xml:space="preserve">A   </w:t>
      </w:r>
      <w:r>
        <w:rPr>
          <w:rFonts w:ascii="Cambria" w:cs="Cambria" w:eastAsia="Cambria" w:hAnsi="Cambria"/>
          <w:b/>
          <w:bCs/>
          <w:color w:val="192C46"/>
          <w:sz w:val="24"/>
          <w:szCs w:val="24"/>
        </w:rPr>
        <w:t xml:space="preserve">Document content — clause-by-clause approval</w:t>
      </w:r>
    </w:p>
    <w:p>
      <w:pPr>
        <w:spacing w:after="120" w:line="260"/>
      </w:pPr>
      <w:r>
        <w:rPr>
          <w:rFonts w:ascii="Calibri" w:cs="Calibri" w:eastAsia="Calibri" w:hAnsi="Calibri"/>
          <w:i w:val="false"/>
          <w:iCs w:val="false"/>
          <w:color w:val="1A2230"/>
          <w:sz w:val="19"/>
          <w:szCs w:val="19"/>
        </w:rPr>
        <w:t xml:space="preserve">Every clause in every generated document is currently placeholder text carrying an [ATTORNEY REVIEW REQUIRED] marker. Nothing in this section can ship until it is replaced with approved language. The platform assembles documents programmatically from a clause library, so what needs approving is the clause text AND the conditions under which each clause appears.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Last Will &amp; Testament — full clause set</w:t>
            </w:r>
          </w:p>
        </w:tc>
        <w:tc>
          <w:tcPr>
            <w:tcW w:type="dxa" w:w="2520"/>
            <w:tcMar>
              <w:top w:type="dxa" w:w="70"/>
              <w:left w:type="dxa" w:w="100"/>
              <w:bottom w:type="dxa" w:w="70"/>
              <w:right w:type="dxa" w:w="100"/>
            </w:tcMar>
          </w:tcPr>
          <w:p>
            <w:pPr>
              <w:spacing w:after="0" w:line="250"/>
            </w:pPr>
            <w:hyperlink r:id="rHl1">
              <w:r>
                <w:rPr>
                  <w:rFonts w:ascii="Calibri" w:cs="Calibri" w:eastAsia="Calibri" w:hAnsi="Calibri"/>
                  <w:b w:val="false"/>
                  <w:bCs w:val="false"/>
                  <w:color w:val="0563C1"/>
                  <w:u w:val="single"/>
                  <w:sz w:val="15"/>
                  <w:szCs w:val="15"/>
                </w:rPr>
                <w:t xml:space="preserve">src/lib/documents/will.ts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or replace every clause, and confirm the conditions that include or omit each one.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Revocable living trust</w:t>
            </w:r>
          </w:p>
        </w:tc>
        <w:tc>
          <w:tcPr>
            <w:tcW w:type="dxa" w:w="2520"/>
            <w:shd w:fill="F4F6F9" w:color="auto" w:val="clear"/>
            <w:tcMar>
              <w:top w:type="dxa" w:w="70"/>
              <w:left w:type="dxa" w:w="100"/>
              <w:bottom w:type="dxa" w:w="70"/>
              <w:right w:type="dxa" w:w="100"/>
            </w:tcMar>
          </w:tcPr>
          <w:p>
            <w:pPr>
              <w:spacing w:after="0" w:line="250"/>
            </w:pPr>
            <w:hyperlink r:id="rHl2">
              <w:r>
                <w:rPr>
                  <w:rFonts w:ascii="Calibri" w:cs="Calibri" w:eastAsia="Calibri" w:hAnsi="Calibri"/>
                  <w:b w:val="false"/>
                  <w:bCs w:val="false"/>
                  <w:color w:val="0563C1"/>
                  <w:u w:val="single"/>
                  <w:sz w:val="15"/>
                  <w:szCs w:val="15"/>
                </w:rPr>
                <w:t xml:space="preserve">src/lib/documents/trust.ts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clause set including revocability, trustee powers and successor trustee provisions.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Pour-over will</w:t>
            </w:r>
          </w:p>
        </w:tc>
        <w:tc>
          <w:tcPr>
            <w:tcW w:type="dxa" w:w="2520"/>
            <w:tcMar>
              <w:top w:type="dxa" w:w="70"/>
              <w:left w:type="dxa" w:w="100"/>
              <w:bottom w:type="dxa" w:w="70"/>
              <w:right w:type="dxa" w:w="100"/>
            </w:tcMar>
          </w:tcPr>
          <w:p>
            <w:pPr>
              <w:spacing w:after="0" w:line="250"/>
            </w:pPr>
            <w:hyperlink r:id="rHl2">
              <w:r>
                <w:rPr>
                  <w:rFonts w:ascii="Calibri" w:cs="Calibri" w:eastAsia="Calibri" w:hAnsi="Calibri"/>
                  <w:b w:val="false"/>
                  <w:bCs w:val="false"/>
                  <w:color w:val="0563C1"/>
                  <w:u w:val="single"/>
                  <w:sz w:val="15"/>
                  <w:szCs w:val="15"/>
                </w:rPr>
                <w:t xml:space="preserve">src/lib/documents/trust.ts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confirm the interaction with the trust.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Durable financial power of attorney</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See A8 — statutory forms may be mandatory.</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Healthcare directive / living will</w:t>
            </w:r>
          </w:p>
        </w:tc>
        <w:tc>
          <w:tcPr>
            <w:tcW w:type="dxa" w:w="2520"/>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See A8.</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HIPAA authorisation</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Self-proving affidavit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clause library</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For 32 states the text is now reproduced VERBATIM from that state’s own published statute, with the citation, the source URL and the date retrieved, and is automatically re-checked against the source (see B8) — so the question for these is whether reproducing the statutory form is the right approach, not whether the wording is faithful. For the remaining jurisdictions see B2. Note Texas prints two forms and we generate § 251.1045 (simultaneous execution) rather than § 251.104 (affidavit annexed after the fact) — confirm that is the right choice, here and in every state that offers both. Indiana splits its two forms on a different axis and needs its own answer: IC 29-1-5-3.1(c) is an ordinary in-person signing and (d) covers remote witnessing of separate paper counterparts — we generate (c). Indiana also requires NO notary at all: its clause is an unsworn declaration under the penalties for perjury, so an Indiana document must not print the notary block every other state’s form ends with. Please confirm both. Separately, an extraction fault fixed on 7 Aug 2026 had been adding Idaho’s after-the-fact form, and a line of statutory preamble, to Idaho’s clause — any Idaho document generated before that date carries it. A second extraction fault, fixed the same day, affected three more states: the bound marking the END of the prescribed form never matched, so the clause silently ran on past the form. Virginia’s affidavit was carrying operative statute, the amendment history and four paragraphs of the Virginia Law website (including a “Privacy Policy © Copyright Commonwealth of Virginia” line); Kansas was carrying two paragraphs addressed to the court rather than the signer; Delaware was carrying a session-law citation. All three now end at the officer’s capacity line. Any Virginia, Kansas or Delaware document generated before 7 Aug 2026 carries the old text. Please confirm the corrected extent of each of these three forms.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A8</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Statutory ancillary forms</w:t>
            </w:r>
          </w:p>
          <w:p>
            <w:pPr>
              <w:spacing w:after="0" w:line="250"/>
            </w:pPr>
            <w:r>
              <w:rPr>
                <w:rFonts w:ascii="Calibri" w:cs="Calibri" w:eastAsia="Calibri" w:hAnsi="Calibri"/>
                <w:b w:val="false"/>
                <w:bCs w:val="false"/>
                <w:color w:val="1A2230"/>
                <w:sz w:val="17"/>
                <w:szCs w:val="17"/>
              </w:rPr>
              <w:t xml:space="preserve">The code emits a general placeholder wherever a state publishes its own statutory POA, healthcare or HIPAA form.</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Identify every state that mandates a statutory form and supply the verbatim text for each.</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A9</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Special provisions</w:t>
            </w:r>
          </w:p>
          <w:p>
            <w:pPr>
              <w:spacing w:after="0" w:line="250"/>
            </w:pPr>
            <w:r>
              <w:rPr>
                <w:rFonts w:ascii="Calibri" w:cs="Calibri" w:eastAsia="Calibri" w:hAnsi="Calibri"/>
                <w:b w:val="false"/>
                <w:bCs w:val="false"/>
                <w:color w:val="1A2230"/>
                <w:sz w:val="17"/>
                <w:szCs w:val="17"/>
              </w:rPr>
              <w:t xml:space="preserve">Minor’s trust age, pet care paragraph, digital assets authority.</w:t>
            </w:r>
          </w:p>
        </w:tc>
        <w:tc>
          <w:tcPr>
            <w:tcW w:type="dxa" w:w="2520"/>
            <w:tcMar>
              <w:top w:type="dxa" w:w="70"/>
              <w:left w:type="dxa" w:w="100"/>
              <w:bottom w:type="dxa" w:w="70"/>
              <w:right w:type="dxa" w:w="100"/>
            </w:tcMar>
          </w:tcPr>
          <w:p>
            <w:pPr>
              <w:spacing w:after="0" w:line="250"/>
            </w:pPr>
            <w:hyperlink r:id="rHl1">
              <w:r>
                <w:rPr>
                  <w:rFonts w:ascii="Calibri" w:cs="Calibri" w:eastAsia="Calibri" w:hAnsi="Calibri"/>
                  <w:b w:val="false"/>
                  <w:bCs w:val="false"/>
                  <w:color w:val="0563C1"/>
                  <w:u w:val="single"/>
                  <w:sz w:val="15"/>
                  <w:szCs w:val="15"/>
                </w:rPr>
                <w:t xml:space="preserve">src/lib/documents/will.ts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each; confirm the digital assets clause interacts correctly with F1.</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A10</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 mirror documents</w:t>
            </w:r>
          </w:p>
          <w:p>
            <w:pPr>
              <w:spacing w:after="0" w:line="250"/>
            </w:pPr>
            <w:r>
              <w:rPr>
                <w:rFonts w:ascii="Calibri" w:cs="Calibri" w:eastAsia="Calibri" w:hAnsi="Calibri"/>
                <w:b w:val="false"/>
                <w:bCs w:val="false"/>
                <w:color w:val="1A2230"/>
                <w:sz w:val="17"/>
                <w:szCs w:val="17"/>
              </w:rPr>
              <w:t xml:space="preserve">Reciprocal wills, reciprocal directives and one joint trust naming both spouses. Generation is built and works.</w:t>
            </w:r>
          </w:p>
        </w:tc>
        <w:tc>
          <w:tcPr>
            <w:tcW w:type="dxa" w:w="2520"/>
            <w:shd w:fill="F4F6F9" w:color="auto" w:val="clear"/>
            <w:tcMar>
              <w:top w:type="dxa" w:w="70"/>
              <w:left w:type="dxa" w:w="100"/>
              <w:bottom w:type="dxa" w:w="70"/>
              <w:right w:type="dxa" w:w="100"/>
            </w:tcMar>
          </w:tcPr>
          <w:p>
            <w:pPr>
              <w:spacing w:after="0" w:line="250"/>
            </w:pPr>
            <w:hyperlink r:id="rHl4">
              <w:r>
                <w:rPr>
                  <w:rFonts w:ascii="Calibri" w:cs="Calibri" w:eastAsia="Calibri" w:hAnsi="Calibri"/>
                  <w:b w:val="false"/>
                  <w:bCs w:val="false"/>
                  <w:color w:val="0563C1"/>
                  <w:u w:val="single"/>
                  <w:sz w:val="15"/>
                  <w:szCs w:val="15"/>
                </w:rPr>
                <w:t xml:space="preserve">src/lib/documents/couples.ts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mirroring approach and the joint trust language. NOTE: this tier is now ON SALE — the two-account household model shipped (Aug 2026), so each spouse holds their own login and document set. See F6.</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Production document footer</w:t>
            </w:r>
          </w:p>
          <w:p>
            <w:pPr>
              <w:spacing w:after="0" w:line="250"/>
            </w:pPr>
            <w:r>
              <w:rPr>
                <w:rFonts w:ascii="Calibri" w:cs="Calibri" w:eastAsia="Calibri" w:hAnsi="Calibri"/>
                <w:b w:val="false"/>
                <w:bCs w:val="false"/>
                <w:color w:val="1A2230"/>
                <w:sz w:val="17"/>
                <w:szCs w:val="17"/>
              </w:rPr>
              <w:t xml:space="preserve">Every generated page currently reads “DRAFT — [ATTORNEY REVIEW REQUIRED] — not legal advice”.</w:t>
            </w:r>
          </w:p>
        </w:tc>
        <w:tc>
          <w:tcPr>
            <w:tcW w:type="dxa" w:w="2520"/>
            <w:tcMar>
              <w:top w:type="dxa" w:w="70"/>
              <w:left w:type="dxa" w:w="100"/>
              <w:bottom w:type="dxa" w:w="70"/>
              <w:right w:type="dxa" w:w="100"/>
            </w:tcMar>
          </w:tcPr>
          <w:p>
            <w:pPr>
              <w:spacing w:after="0" w:line="250"/>
            </w:pPr>
            <w:hyperlink r:id="rHl5">
              <w:r>
                <w:rPr>
                  <w:rFonts w:ascii="Calibri" w:cs="Calibri" w:eastAsia="Calibri" w:hAnsi="Calibri"/>
                  <w:b w:val="false"/>
                  <w:bCs w:val="false"/>
                  <w:color w:val="0563C1"/>
                  <w:u w:val="single"/>
                  <w:sz w:val="15"/>
                  <w:szCs w:val="15"/>
                </w:rPr>
                <w:t xml:space="preserve">src/lib/documents/docx.ts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production footer for executed and unexecuted output.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Execution instructions</w:t>
            </w:r>
          </w:p>
          <w:p>
            <w:pPr>
              <w:spacing w:after="0" w:line="250"/>
            </w:pPr>
            <w:r>
              <w:rPr>
                <w:rFonts w:ascii="Calibri" w:cs="Calibri" w:eastAsia="Calibri" w:hAnsi="Calibri"/>
                <w:b w:val="false"/>
                <w:bCs w:val="false"/>
                <w:color w:val="1A2230"/>
                <w:sz w:val="17"/>
                <w:szCs w:val="17"/>
              </w:rPr>
              <w:t xml:space="preserve">Per-state signing guidance issued with each document.</w:t>
            </w:r>
          </w:p>
        </w:tc>
        <w:tc>
          <w:tcPr>
            <w:tcW w:type="dxa" w:w="2520"/>
            <w:shd w:fill="F4F6F9" w:color="auto" w:val="clear"/>
            <w:tcMar>
              <w:top w:type="dxa" w:w="70"/>
              <w:left w:type="dxa" w:w="100"/>
              <w:bottom w:type="dxa" w:w="70"/>
              <w:right w:type="dxa" w:w="100"/>
            </w:tcMar>
          </w:tcPr>
          <w:p>
            <w:pPr>
              <w:spacing w:after="0" w:line="250"/>
            </w:pPr>
            <w:hyperlink r:id="rHl6">
              <w:r>
                <w:rPr>
                  <w:rFonts w:ascii="Calibri" w:cs="Calibri" w:eastAsia="Calibri" w:hAnsi="Calibri"/>
                  <w:b w:val="false"/>
                  <w:bCs w:val="false"/>
                  <w:color w:val="0563C1"/>
                  <w:u w:val="single"/>
                  <w:sz w:val="15"/>
                  <w:szCs w:val="15"/>
                </w:rPr>
                <w:t xml:space="preserve">src/lib/documents/execution-instructions.ts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wording per state.</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B   </w:t>
      </w:r>
      <w:r>
        <w:rPr>
          <w:rFonts w:ascii="Cambria" w:cs="Cambria" w:eastAsia="Cambria" w:hAnsi="Cambria"/>
          <w:b/>
          <w:bCs/>
          <w:color w:val="192C46"/>
          <w:sz w:val="24"/>
          <w:szCs w:val="24"/>
        </w:rPr>
        <w:t xml:space="preserve">Per-state compliance</w:t>
      </w:r>
    </w:p>
    <w:p>
      <w:pPr>
        <w:spacing w:after="120" w:line="260"/>
      </w:pPr>
      <w:r>
        <w:rPr>
          <w:rFonts w:ascii="Calibri" w:cs="Calibri" w:eastAsia="Calibri" w:hAnsi="Calibri"/>
          <w:i w:val="false"/>
          <w:iCs w:val="false"/>
          <w:color w:val="1A2230"/>
          <w:sz w:val="19"/>
          <w:szCs w:val="19"/>
        </w:rPr>
        <w:t xml:space="preserve">The platform is data-driven: all execution rules live in a state_rules table, and a state cannot go live until its active flag is set. That flag is an attorney decision and must never be set by a developer.</w:t>
      </w:r>
    </w:p>
    <w:p>
      <w:pPr>
        <w:pBdr>
          <w:left w:val="single" w:color="8C2F1E" w:sz="16" w:space="10"/>
        </w:pBdr>
        <w:spacing w:after="140" w:before="60" w:line="260"/>
        <w:ind w:left="160" w:right="160"/>
      </w:pPr>
      <w:r>
        <w:rPr>
          <w:rFonts w:ascii="Calibri" w:cs="Calibri" w:eastAsia="Calibri" w:hAnsi="Calibri"/>
          <w:b/>
          <w:bCs/>
          <w:color w:val="8C2F1E"/>
          <w:sz w:val="19"/>
          <w:szCs w:val="19"/>
        </w:rPr>
        <w:t xml:space="preserve">Critical. </w:t>
      </w:r>
      <w:r>
        <w:rPr>
          <w:rFonts w:ascii="Calibri" w:cs="Calibri" w:eastAsia="Calibri" w:hAnsi="Calibri"/>
          <w:color w:val="1A2230"/>
          <w:sz w:val="19"/>
          <w:szCs w:val="19"/>
        </w:rPr>
        <w:t xml:space="preserve">Every one of the 51 seeded jurisdictions currently carries needs_review = true and qa_approved = false. Each row records a citation and a checked_at date from desk research that has NOT been verified by counsel. Treat those citations as unverified in the strong sense: capture is the first step that actually tests a citation against the published code, and of the two it has tested so far, one was wrong (ND § 30.1-08-03 is “Holographic will”; corrected to § 30.1-08-04) and one had been wrongly condemned on the strength of a misleading section heading (WV § 41-5-15 is correct after all).</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Execution formalities, all 51 jurisdictions</w:t>
            </w:r>
          </w:p>
          <w:p>
            <w:pPr>
              <w:spacing w:after="0" w:line="250"/>
            </w:pPr>
            <w:r>
              <w:rPr>
                <w:rFonts w:ascii="Calibri" w:cs="Calibri" w:eastAsia="Calibri" w:hAnsi="Calibri"/>
                <w:b w:val="false"/>
                <w:bCs w:val="false"/>
                <w:color w:val="1A2230"/>
                <w:sz w:val="17"/>
                <w:szCs w:val="17"/>
              </w:rPr>
              <w:t xml:space="preserve">Witness count, notarisation, signature-at-end, witness age and competency.</w:t>
            </w:r>
          </w:p>
        </w:tc>
        <w:tc>
          <w:tcPr>
            <w:tcW w:type="dxa" w:w="2520"/>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r>
              <w:rPr>
                <w:rFonts w:ascii="Calibri" w:cs="Calibri" w:eastAsia="Calibri" w:hAnsi="Calibri"/>
                <w:b w:val="false"/>
                <w:bCs w:val="false"/>
                <w:color w:val="5A6472"/>
                <w:sz w:val="15"/>
                <w:szCs w:val="15"/>
              </w:rPr>
              <w:t xml:space="preserve">; migration </w:t>
            </w:r>
            <w:hyperlink r:id="rHl23">
              <w:r>
                <w:rPr>
                  <w:rFonts w:ascii="Calibri" w:cs="Calibri" w:eastAsia="Calibri" w:hAnsi="Calibri"/>
                  <w:b w:val="false"/>
                  <w:bCs w:val="false"/>
                  <w:color w:val="0563C1"/>
                  <w:u w:val="single"/>
                  <w:sz w:val="15"/>
                  <w:szCs w:val="15"/>
                </w:rPr>
                <w:t xml:space="preserve">20260712000011_state_qa.sql</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Verify each state, then authorise qa_approved and active per state.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Self-proving affidavit exceptions</w:t>
            </w:r>
          </w:p>
          <w:p>
            <w:pPr>
              <w:spacing w:after="0" w:line="250"/>
            </w:pPr>
            <w:r>
              <w:rPr>
                <w:rFonts w:ascii="Calibri" w:cs="Calibri" w:eastAsia="Calibri" w:hAnsi="Calibri"/>
                <w:b w:val="false"/>
                <w:bCs w:val="false"/>
                <w:color w:val="1A2230"/>
                <w:sz w:val="17"/>
                <w:szCs w:val="17"/>
              </w:rPr>
              <w:t xml:space="preserve">Verbatim statutory capture (see B8) has now replaced the earlier desk research here, and the picture is more differentiated than “California, Ohio, DC”. TEN states prescribe no affidavit form at all, but do allow proof by witness affidavit: CA, CT, IL, NH, NY, OR, RI, VT, WA and WV. For these we cannot reproduce a statutory form, so the wording must come from you. THREE jurisdictions may offer no paper-will self-proving mechanism whatsoever, for two different reasons: DC (§ 18-908) and MD (§ 4-102(c)–(d)) prescribe affidavit forms only for ELECTRONIC or remotely-witnessed wills, so a paper will appears to fall through the gap; OHIO has no affidavit provision at all — ORC ch. 2107 contains not one occurrence of “affidavit” — apparently because § 2107.18 lets the probate court admit a will “if it appears from the face of the will”, taking witness testimony only at its discretion. WEST VIRGINIA needs specific attention: § 41-5-15 permits a witness affidavit but prescribes no form AND provides that it “shall not be admissible in evidence in any case in which there is a contest over the will” — i.e. it fails precisely when a self-proving affidavit is most valuable.</w:t>
            </w:r>
          </w:p>
        </w:tc>
        <w:tc>
          <w:tcPr>
            <w:tcW w:type="dxa" w:w="2520"/>
            <w:shd w:fill="F4F6F9" w:color="auto" w:val="clear"/>
            <w:tcMar>
              <w:top w:type="dxa" w:w="70"/>
              <w:left w:type="dxa" w:w="100"/>
              <w:bottom w:type="dxa" w:w="70"/>
              <w:right w:type="dxa" w:w="100"/>
            </w:tcMar>
          </w:tcPr>
          <w:p>
            <w:pPr>
              <w:spacing w:after="0" w:line="250"/>
            </w:pPr>
            <w:hyperlink r:id="rHl7">
              <w:r>
                <w:rPr>
                  <w:rFonts w:ascii="Calibri" w:cs="Calibri" w:eastAsia="Calibri" w:hAnsi="Calibri"/>
                  <w:b w:val="false"/>
                  <w:bCs w:val="false"/>
                  <w:color w:val="0563C1"/>
                  <w:u w:val="single"/>
                  <w:sz w:val="15"/>
                  <w:szCs w:val="15"/>
                </w:rPr>
                <w:t xml:space="preserve">docs/STATE_RULES_QA.md</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Five questions. (1) Confirm the ten no-form states and supply the affidavit wording we should use in each. (2) Confirm that DC, MD and Ohio offer no paper-will self-proving route, and tell us what the execution instructions for those three should say instead. (3) Advise what, if anything, a West Virginia customer should be told about the contest limitation. (4) Identify any further exceptions we have not found. (5) FOUR states — Arkansas, Georgia, Mississippi and Tennessee — publish their official code only through a LexisNexis public-access site that blocks automated retrieval with a CAPTCHA, so we have been unable to capture their statutory forms by the method used everywhere else. Their citations are seeded (Ark. Code § 28-25-106, O.C.G.A. § 53-4-24, Miss. Code § 91-7-7/§ 91-7-9, Tenn. Code § 32-2-110) and Georgia’s has been confirmed against the official source, but the form text has NOT been verified. Please supply or confirm the prescribed form for these four, and treat them as unverified until you do.</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Community property treatment</w:t>
            </w:r>
          </w:p>
          <w:p>
            <w:pPr>
              <w:spacing w:after="0" w:line="250"/>
            </w:pPr>
            <w:r>
              <w:rPr>
                <w:rFonts w:ascii="Calibri" w:cs="Calibri" w:eastAsia="Calibri" w:hAnsi="Calibri"/>
                <w:b w:val="false"/>
                <w:bCs w:val="false"/>
                <w:color w:val="1A2230"/>
                <w:sz w:val="17"/>
                <w:szCs w:val="17"/>
              </w:rPr>
              <w:t xml:space="preserve">Affects trust and will language in nine states.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state_rules config</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list and the language it triggers.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Excluded states</w:t>
            </w:r>
          </w:p>
          <w:p>
            <w:pPr>
              <w:spacing w:after="0" w:line="250"/>
            </w:pPr>
            <w:r>
              <w:rPr>
                <w:rFonts w:ascii="Calibri" w:cs="Calibri" w:eastAsia="Calibri" w:hAnsi="Calibri"/>
                <w:b w:val="false"/>
                <w:bCs w:val="false"/>
                <w:color w:val="1A2230"/>
                <w:sz w:val="17"/>
                <w:szCs w:val="17"/>
              </w:rPr>
              <w:t xml:space="preserve">Louisiana, Texas, North Carolina, Missouri and Ohio are currently switched off. Their statutes have nevertheless now been researched and captured (except Louisiana — see B5), so clearing an exclusion is a configuration change rather than a fresh research project.</w:t>
            </w:r>
          </w:p>
        </w:tc>
        <w:tc>
          <w:tcPr>
            <w:tcW w:type="dxa" w:w="2520"/>
            <w:shd w:fill="F4F6F9" w:color="auto" w:val="clear"/>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exclusion or clear it. Texas alone is roughly 9% of the US population.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Louisiana</w:t>
            </w:r>
          </w:p>
          <w:p>
            <w:pPr>
              <w:spacing w:after="0" w:line="250"/>
            </w:pPr>
            <w:r>
              <w:rPr>
                <w:rFonts w:ascii="Calibri" w:cs="Calibri" w:eastAsia="Calibri" w:hAnsi="Calibri"/>
                <w:b w:val="false"/>
                <w:bCs w:val="false"/>
                <w:color w:val="1A2230"/>
                <w:sz w:val="17"/>
                <w:szCs w:val="17"/>
              </w:rPr>
              <w:t xml:space="preserve">Civil law jurisdiction, forced heirship, distinct notarial will forms.</w:t>
            </w:r>
          </w:p>
        </w:tc>
        <w:tc>
          <w:tcPr>
            <w:tcW w:type="dxa" w:w="2520"/>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to build a Louisiana template set or exclude it permanently. Louisiana has deliberately been left out of the statutory-capture pipeline: its civil-law formalities differ enough that forcing them through the same machinery would produce something misleading. It is the one jurisdiction with no captured statute.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Electronic wills</w:t>
            </w:r>
          </w:p>
          <w:p>
            <w:pPr>
              <w:spacing w:after="0" w:line="250"/>
            </w:pPr>
            <w:r>
              <w:rPr>
                <w:rFonts w:ascii="Calibri" w:cs="Calibri" w:eastAsia="Calibri" w:hAnsi="Calibri"/>
                <w:b w:val="false"/>
                <w:bCs w:val="false"/>
                <w:color w:val="1A2230"/>
                <w:sz w:val="17"/>
                <w:szCs w:val="17"/>
              </w:rPr>
              <w:t xml:space="preserve">Seeded as PERMITTED in 16 jurisdictions — AK, AZ, CO, DC, FL, ID, IL, IN, MD, MO, NC, ND, NV, OK, UT, WA — and as not permitted in the remaining 35. Wet signature is the launch position in all 51 either way, so no electronic will is offered anywhere today. CORRECTION (31 Aug 2026): this item previously read “Seeded as not permitted anywhere”, which was wrong — permitted jurisdictions have been in the seed since 12 Jul 2026. Idaho is the 16th, corrected in the same change: it had been seeded “No e-will statute found” despite the Uniform Electronic Wills Act at Idaho Code §§15-2-1101 et seq. (2023 ch. 104).</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state_rules config</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16 permitted jurisdictions and the citations behind them; flag any of the other 35 where a statute now applies; and confirm that wet signature remains the right launch position in the states that do permit electronic wills.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Template approval workflow</w:t>
            </w:r>
          </w:p>
          <w:p>
            <w:pPr>
              <w:spacing w:after="0" w:line="250"/>
            </w:pPr>
            <w:r>
              <w:rPr>
                <w:rFonts w:ascii="Calibri" w:cs="Calibri" w:eastAsia="Calibri" w:hAnsi="Calibri"/>
                <w:b w:val="false"/>
                <w:bCs w:val="false"/>
                <w:color w:val="1A2230"/>
                <w:sz w:val="17"/>
                <w:szCs w:val="17"/>
              </w:rPr>
              <w:t xml:space="preserve">Seven document_templates rows are currently approved = false. The admin approval action is the attorney’s gate.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admin approval workflow</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approval record captures what it needs to (who approved, when, which version).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B8</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Provenance of the statutory text we reproduce</w:t>
            </w:r>
          </w:p>
          <w:p>
            <w:pPr>
              <w:spacing w:after="0" w:line="250"/>
            </w:pPr>
            <w:r>
              <w:rPr>
                <w:rFonts w:ascii="Calibri" w:cs="Calibri" w:eastAsia="Calibri" w:hAnsi="Calibri"/>
                <w:b w:val="false"/>
                <w:bCs w:val="false"/>
                <w:color w:val="1A2230"/>
                <w:sz w:val="17"/>
                <w:szCs w:val="17"/>
              </w:rPr>
              <w:t xml:space="preserve">Where a state prescribes a form, we reproduce that state’s own published statute verbatim rather than paraphrasing it, and a test fails the build if the generated text ever drifts from the captured source. Each capture records the citation, the official source URL, the date retrieved and a content hash, so an amendment shows up as a change. Sources are the states’ own publishers only — never a commercial database, whose annotations are copyrighted. STATUS: 45 of a target 50 jurisdictions captured, 34 with verbatim form text and a further 8 carrying a DRAFTED affidavit for you to redline. REVIEW EFFORT, so the work can be scoped. Of the 51 jurisdictions in scope, 42 now come to you as a DOCUMENT TO REVIEW rather than an open question, in two tiers. TIER 1 — 34 states reproduce that state’s own prescribed statutory form verbatim, machine-checked against the captured statute; the questions are currency and whether we took the right excerpt: AK, AL, AZ, CO, DE, FL, HI, IA, ID, IN, KS, KY, MA, ME, MI, MN, MO, MT, NC, ND, NE, NH, NM, NV, OK, PA, RI, SC, SD, TX, UT, VA, WI, WY. (New Hampshire and Rhode Island joined this tier on 7 Aug 2026: both had been recorded as prescribing no form, and both in fact do — RSA 551:2-a(I) prints a sworn acknowledgment introduced by “shall be followed by ... as follows”, which reads MANDATORY rather than “substantially the following form”, and § 33-7-26(3) prints an express safe-harbour affidavit. Please confirm both readings.) TIER 2 — 8 states prescribe NO form, and now carry an affidavit DRAFTED BY A NON-LAWYER from the governing statute: CA, CT, IL, NY, OR, VT, WA, WV. None of that text is authoritative and none of it is reproduced from a statute; it is offered as a starting point to redline. For each we record the elements the statute requires and test that the draft covers them, which proves coverage but NOT sufficiency. Three of these carry limits you should weigh first: Vermont’s § 108 requires the sworn acknowledgment of the TESTATOR as well as the witnesses; West Virginia’s § 41-5-15 affidavit is inadmissible in any contested case, so it fails exactly when it would matter; and California is the weakest fit of all — Prob. Code § 8220 is a rule of evidence at probate, not a self-proving mechanism, so the threshold question is whether California documents should carry an affidavit at all or only a strong attestation clause with form DE-131 handled at probate. THE REMAINING 9 are still open questions rather than documents: 3 jurisdictions where we found NO paper-will self-proving mechanism at all and have deliberately NOT drafted one, because doing so would invent a procedure the legislature did not create — DC § 18-908 and MD § 4-102 prescribe forms only for electronic or remotely witnessed wills, and Ohio has no affidavit provision anywhere in ORC ch. 2107; 4 states whose official code is published only behind a CAPTCHA, where we need you to supply the form text from a subscription database — AR, GA, MS, TN; New Jersey, pending its official publisher coming back online; and Louisiana, whose civil-law execution formalities are deliberately outside this pipeline and need their own treatment. Outstanding: AR, GA, MS, TN and NJ. AR, GA, MS and TN publish their official code only through a LexisNexis public-access site that serves a CAPTCHA to automated requests, so their form text cannot be captured by this method at all and must come from counsel or a hand-sourced reading; NJ's Folio publisher stopped responding on 7 Aug 2026 and is expected back. This section is therefore NOT yet complete and should not be treated as a final list.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docs/STATUTE_SOURCES.md; docs/CLAUSE_RESEARCH_METHOD.md; docs/statutes/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reproducing a state’s prescribed form verbatim is the right approach, and that our framing is accurate: each form is reproduced from that state’s own published statute, cited to the section with the date retrieved, and automatically verified against the source — this is desk research by a non-lawyer, NOT legal review, and we do not claim the documents are compliant or current. Please also confirm whether the after-the-fact variant should be offered in the states that print two forms.</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C   </w:t>
      </w:r>
      <w:r>
        <w:rPr>
          <w:rFonts w:ascii="Cambria" w:cs="Cambria" w:eastAsia="Cambria" w:hAnsi="Cambria"/>
          <w:b/>
          <w:bCs/>
          <w:color w:val="192C46"/>
          <w:sz w:val="24"/>
          <w:szCs w:val="24"/>
        </w:rPr>
        <w:t xml:space="preserve">Unauthorised practice of law</w:t>
      </w:r>
    </w:p>
    <w:p>
      <w:pPr>
        <w:spacing w:after="120" w:line="260"/>
      </w:pPr>
      <w:r>
        <w:rPr>
          <w:rFonts w:ascii="Calibri" w:cs="Calibri" w:eastAsia="Calibri" w:hAnsi="Calibri"/>
          <w:i w:val="false"/>
          <w:iCs w:val="false"/>
          <w:color w:val="1A2230"/>
          <w:sz w:val="19"/>
          <w:szCs w:val="19"/>
        </w:rPr>
        <w:t xml:space="preserve">The product is positioned as self-help document preparation: not a law firm, no legal advice, no attorney-client relationship. That posture is built into the interface, but it has never been reviewed as a whole.</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UPL review of the entire product flow</w:t>
            </w:r>
          </w:p>
          <w:p>
            <w:pPr>
              <w:spacing w:after="0" w:line="250"/>
            </w:pPr>
            <w:r>
              <w:rPr>
                <w:rFonts w:ascii="Calibri" w:cs="Calibri" w:eastAsia="Calibri" w:hAnsi="Calibri"/>
                <w:b w:val="false"/>
                <w:bCs w:val="false"/>
                <w:color w:val="1A2230"/>
                <w:sz w:val="17"/>
                <w:szCs w:val="17"/>
              </w:rPr>
              <w:t xml:space="preserve">From landing page through interview, generation, delivery and support.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whole product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 written opinion per launch state.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Explainer copy neutrality</w:t>
            </w:r>
          </w:p>
          <w:p>
            <w:pPr>
              <w:spacing w:after="0" w:line="250"/>
            </w:pPr>
            <w:r>
              <w:rPr>
                <w:rFonts w:ascii="Calibri" w:cs="Calibri" w:eastAsia="Calibri" w:hAnsi="Calibri"/>
                <w:b w:val="false"/>
                <w:bCs w:val="false"/>
                <w:color w:val="1A2230"/>
                <w:sz w:val="17"/>
                <w:szCs w:val="17"/>
              </w:rPr>
              <w:t xml:space="preserve">Every “what this means” string must be educational, never “you should choose X”.</w:t>
            </w:r>
          </w:p>
        </w:tc>
        <w:tc>
          <w:tcPr>
            <w:tcW w:type="dxa" w:w="2520"/>
            <w:shd w:fill="F4F6F9" w:color="auto" w:val="clear"/>
            <w:tcMar>
              <w:top w:type="dxa" w:w="70"/>
              <w:left w:type="dxa" w:w="100"/>
              <w:bottom w:type="dxa" w:w="70"/>
              <w:right w:type="dxa" w:w="100"/>
            </w:tcMar>
          </w:tcPr>
          <w:p>
            <w:pPr>
              <w:spacing w:after="0" w:line="250"/>
            </w:pPr>
            <w:hyperlink r:id="rHl17">
              <w:r>
                <w:rPr>
                  <w:rFonts w:ascii="Calibri" w:cs="Calibri" w:eastAsia="Calibri" w:hAnsi="Calibri"/>
                  <w:b w:val="false"/>
                  <w:bCs w:val="false"/>
                  <w:color w:val="0563C1"/>
                  <w:u w:val="single"/>
                  <w:sz w:val="15"/>
                  <w:szCs w:val="15"/>
                </w:rPr>
                <w:t xml:space="preserve">src/components/interview</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Review all explainer text.</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Complexity triggers</w:t>
            </w:r>
          </w:p>
          <w:p>
            <w:pPr>
              <w:spacing w:after="0" w:line="250"/>
            </w:pPr>
            <w:r>
              <w:rPr>
                <w:rFonts w:ascii="Calibri" w:cs="Calibri" w:eastAsia="Calibri" w:hAnsi="Calibri"/>
                <w:b w:val="false"/>
                <w:bCs w:val="false"/>
                <w:color w:val="1A2230"/>
                <w:sz w:val="17"/>
                <w:szCs w:val="17"/>
              </w:rPr>
              <w:t xml:space="preserve">Business ownership, trusts and international assets should raise an attorney-review interstitial.</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interview logic</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trigger list is adequate and the wording is right.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Find-an-attorney referrals</w:t>
            </w:r>
          </w:p>
          <w:p>
            <w:pPr>
              <w:spacing w:after="0" w:line="250"/>
            </w:pPr>
            <w:r>
              <w:rPr>
                <w:rFonts w:ascii="Calibri" w:cs="Calibri" w:eastAsia="Calibri" w:hAnsi="Calibri"/>
                <w:b w:val="false"/>
                <w:bCs w:val="false"/>
                <w:color w:val="1A2230"/>
                <w:sz w:val="17"/>
                <w:szCs w:val="17"/>
              </w:rPr>
              <w:t xml:space="preserve">State bar referral listings with an ABA fallback.</w:t>
            </w:r>
          </w:p>
        </w:tc>
        <w:tc>
          <w:tcPr>
            <w:tcW w:type="dxa" w:w="2520"/>
            <w:shd w:fill="F4F6F9" w:color="auto" w:val="clear"/>
            <w:tcMar>
              <w:top w:type="dxa" w:w="70"/>
              <w:left w:type="dxa" w:w="100"/>
              <w:bottom w:type="dxa" w:w="70"/>
              <w:right w:type="dxa" w:w="100"/>
            </w:tcMar>
          </w:tcPr>
          <w:p>
            <w:pPr>
              <w:spacing w:after="0" w:line="250"/>
            </w:pPr>
            <w:hyperlink r:id="rHl8">
              <w:r>
                <w:rPr>
                  <w:rFonts w:ascii="Calibri" w:cs="Calibri" w:eastAsia="Calibri" w:hAnsi="Calibri"/>
                  <w:b w:val="false"/>
                  <w:bCs w:val="false"/>
                  <w:color w:val="0563C1"/>
                  <w:u w:val="single"/>
                  <w:sz w:val="15"/>
                  <w:szCs w:val="15"/>
                </w:rPr>
                <w:t xml:space="preserve">src/lib/attorney-referrals.ts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referral presentation is permissible in each launch state.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Partner and affiliate channel</w:t>
            </w:r>
          </w:p>
          <w:p>
            <w:pPr>
              <w:spacing w:after="0" w:line="250"/>
            </w:pPr>
            <w:r>
              <w:rPr>
                <w:rFonts w:ascii="Calibri" w:cs="Calibri" w:eastAsia="Calibri" w:hAnsi="Calibri"/>
                <w:b w:val="false"/>
                <w:bCs w:val="false"/>
                <w:color w:val="1A2230"/>
                <w:sz w:val="17"/>
                <w:szCs w:val="17"/>
              </w:rPr>
              <w:t xml:space="preserve">Access codes are distributed by affiliated companies — law firms and a tax resolution client base — some at a commission or discount.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access codes; partner tools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distributing a legal-adjacent product through these channels, at a commission, is permissible in each launch state. Fee-splitting and referral-fee rules vary and some states prohibit paying for legal referrals.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Credibility claims</w:t>
            </w:r>
          </w:p>
          <w:p>
            <w:pPr>
              <w:spacing w:after="0" w:line="250"/>
            </w:pPr>
            <w:r>
              <w:rPr>
                <w:rFonts w:ascii="Calibri" w:cs="Calibri" w:eastAsia="Calibri" w:hAnsi="Calibri"/>
                <w:b w:val="false"/>
                <w:bCs w:val="false"/>
                <w:color w:val="1A2230"/>
                <w:sz w:val="17"/>
                <w:szCs w:val="17"/>
              </w:rPr>
              <w:t xml:space="preserve">Review every marketing claim about document quality, and any suggestion of attorney involvement or equivalence.</w:t>
            </w:r>
          </w:p>
        </w:tc>
        <w:tc>
          <w:tcPr>
            <w:tcW w:type="dxa" w:w="2520"/>
            <w:shd w:fill="F4F6F9" w:color="auto" w:val="clear"/>
            <w:tcMar>
              <w:top w:type="dxa" w:w="70"/>
              <w:left w:type="dxa" w:w="100"/>
              <w:bottom w:type="dxa" w:w="70"/>
              <w:right w:type="dxa" w:w="100"/>
            </w:tcMar>
          </w:tcPr>
          <w:p>
            <w:pPr>
              <w:spacing w:after="0" w:line="250"/>
            </w:pPr>
            <w:hyperlink r:id="rHl22">
              <w:r>
                <w:rPr>
                  <w:rFonts w:ascii="Calibri" w:cs="Calibri" w:eastAsia="Calibri" w:hAnsi="Calibri"/>
                  <w:b w:val="false"/>
                  <w:bCs w:val="false"/>
                  <w:color w:val="0563C1"/>
                  <w:u w:val="single"/>
                  <w:sz w:val="15"/>
                  <w:szCs w:val="15"/>
                </w:rPr>
                <w:t xml:space="preserve">docs/MARKETING_GUIDE.md</w:t>
              </w:r>
            </w:hyperlink>
            <w:r>
              <w:rPr>
                <w:rFonts w:ascii="Calibri" w:cs="Calibri" w:eastAsia="Calibri" w:hAnsi="Calibri"/>
                <w:b w:val="false"/>
                <w:bCs w:val="false"/>
                <w:color w:val="5A6472"/>
                <w:sz w:val="15"/>
                <w:szCs w:val="15"/>
              </w:rPr>
              <w:t xml:space="preserve">; marketing pages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or revise. These are the highest-risk claims in the copy.</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Support boundaries</w:t>
            </w:r>
          </w:p>
          <w:p>
            <w:pPr>
              <w:spacing w:after="0" w:line="250"/>
            </w:pPr>
            <w:r>
              <w:rPr>
                <w:rFonts w:ascii="Calibri" w:cs="Calibri" w:eastAsia="Calibri" w:hAnsi="Calibri"/>
                <w:b w:val="false"/>
                <w:bCs w:val="false"/>
                <w:color w:val="1A2230"/>
                <w:sz w:val="17"/>
                <w:szCs w:val="17"/>
              </w:rPr>
              <w:t xml:space="preserve">What the support channel may and may not answer once real customers ask “which should I choose?”.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a scripted boundary and an escalation rule.</w:t>
            </w:r>
          </w:p>
        </w:tc>
      </w:tr>
    </w:tbl>
    <w:p>
      <w:r>
        <w:br w:type="page"/>
      </w:r>
    </w:p>
    <w:p>
      <w:pPr>
        <w:keepNext/>
        <w:keepLines/>
        <w:pBdr>
          <w:bottom w:val="single" w:color="8A6B2E" w:sz="8" w:space="3"/>
        </w:pBdr>
        <w:spacing w:after="80" w:before="320"/>
      </w:pPr>
      <w:r>
        <w:rPr>
          <w:rFonts w:ascii="Cambria" w:cs="Cambria" w:eastAsia="Cambria" w:hAnsi="Cambria"/>
          <w:b/>
          <w:bCs/>
          <w:color w:val="8A6B2E"/>
          <w:sz w:val="24"/>
          <w:szCs w:val="24"/>
        </w:rPr>
        <w:t xml:space="preserve">D   </w:t>
      </w:r>
      <w:r>
        <w:rPr>
          <w:rFonts w:ascii="Cambria" w:cs="Cambria" w:eastAsia="Cambria" w:hAnsi="Cambria"/>
          <w:b/>
          <w:bCs/>
          <w:color w:val="192C46"/>
          <w:sz w:val="24"/>
          <w:szCs w:val="24"/>
        </w:rPr>
        <w:t xml:space="preserve">Disclaimers, terms and policies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Self-help disclaimers</w:t>
            </w:r>
          </w:p>
          <w:p>
            <w:pPr>
              <w:spacing w:after="0" w:line="250"/>
            </w:pPr>
            <w:r>
              <w:rPr>
                <w:rFonts w:ascii="Calibri" w:cs="Calibri" w:eastAsia="Calibri" w:hAnsi="Calibri"/>
                <w:b w:val="false"/>
                <w:bCs w:val="false"/>
                <w:color w:val="1A2230"/>
                <w:sz w:val="17"/>
                <w:szCs w:val="17"/>
              </w:rPr>
              <w:t xml:space="preserve">Five exported strings, all placeholder: full and short disclaimer, generation acknowledgment label, attorney-review recommendation.</w:t>
            </w:r>
          </w:p>
        </w:tc>
        <w:tc>
          <w:tcPr>
            <w:tcW w:type="dxa" w:w="2520"/>
            <w:tcMar>
              <w:top w:type="dxa" w:w="70"/>
              <w:left w:type="dxa" w:w="100"/>
              <w:bottom w:type="dxa" w:w="70"/>
              <w:right w:type="dxa" w:w="100"/>
            </w:tcMar>
          </w:tcPr>
          <w:p>
            <w:pPr>
              <w:spacing w:after="0" w:line="250"/>
            </w:pPr>
            <w:hyperlink r:id="rHl9">
              <w:r>
                <w:rPr>
                  <w:rFonts w:ascii="Calibri" w:cs="Calibri" w:eastAsia="Calibri" w:hAnsi="Calibri"/>
                  <w:b w:val="false"/>
                  <w:bCs w:val="false"/>
                  <w:color w:val="0563C1"/>
                  <w:u w:val="single"/>
                  <w:sz w:val="15"/>
                  <w:szCs w:val="15"/>
                </w:rPr>
                <w:t xml:space="preserve">src/lib/legal.ts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final wording for each.</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Disclaimer version tracking</w:t>
            </w:r>
          </w:p>
          <w:p>
            <w:pPr>
              <w:spacing w:after="0" w:line="250"/>
            </w:pPr>
            <w:r>
              <w:rPr>
                <w:rFonts w:ascii="Calibri" w:cs="Calibri" w:eastAsia="Calibri" w:hAnsi="Calibri"/>
                <w:b w:val="false"/>
                <w:bCs w:val="false"/>
                <w:color w:val="1A2230"/>
                <w:sz w:val="17"/>
                <w:szCs w:val="17"/>
              </w:rPr>
              <w:t xml:space="preserve">DISCLAIMER_VERSION now reads from the environment and resolves to “unapproved-placeholder” until set; generation refuses to run in production without an approved value. Every consent record written during the test phase carries the placeholder.</w:t>
            </w:r>
          </w:p>
        </w:tc>
        <w:tc>
          <w:tcPr>
            <w:tcW w:type="dxa" w:w="2520"/>
            <w:shd w:fill="F4F6F9" w:color="auto" w:val="clear"/>
            <w:tcMar>
              <w:top w:type="dxa" w:w="70"/>
              <w:left w:type="dxa" w:w="100"/>
              <w:bottom w:type="dxa" w:w="70"/>
              <w:right w:type="dxa" w:w="100"/>
            </w:tcMar>
          </w:tcPr>
          <w:p>
            <w:pPr>
              <w:spacing w:after="0" w:line="250"/>
            </w:pPr>
            <w:hyperlink r:id="rHl9">
              <w:r>
                <w:rPr>
                  <w:rFonts w:ascii="Calibri" w:cs="Calibri" w:eastAsia="Calibri" w:hAnsi="Calibri"/>
                  <w:b w:val="false"/>
                  <w:bCs w:val="false"/>
                  <w:color w:val="0563C1"/>
                  <w:u w:val="single"/>
                  <w:sz w:val="15"/>
                  <w:szCs w:val="15"/>
                </w:rPr>
                <w:t xml:space="preserve">src/lib/legal.ts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version string to use, and advise whether test-phase consent records should be purged.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Terms of Service</w:t>
            </w:r>
          </w:p>
          <w:p>
            <w:pPr>
              <w:spacing w:after="0" w:line="250"/>
            </w:pPr>
            <w:r>
              <w:rPr>
                <w:rFonts w:ascii="Calibri" w:cs="Calibri" w:eastAsia="Calibri" w:hAnsi="Calibri"/>
                <w:b w:val="false"/>
                <w:bCs w:val="false"/>
                <w:color w:val="1A2230"/>
                <w:sz w:val="17"/>
                <w:szCs w:val="17"/>
              </w:rPr>
              <w:t xml:space="preserve">Currently a placeholder page.</w:t>
            </w:r>
          </w:p>
        </w:tc>
        <w:tc>
          <w:tcPr>
            <w:tcW w:type="dxa" w:w="2520"/>
            <w:tcMar>
              <w:top w:type="dxa" w:w="70"/>
              <w:left w:type="dxa" w:w="100"/>
              <w:bottom w:type="dxa" w:w="70"/>
              <w:right w:type="dxa" w:w="100"/>
            </w:tcMar>
          </w:tcPr>
          <w:p>
            <w:pPr>
              <w:spacing w:after="0" w:line="250"/>
            </w:pPr>
            <w:hyperlink r:id="rHl18">
              <w:r>
                <w:rPr>
                  <w:rFonts w:ascii="Calibri" w:cs="Calibri" w:eastAsia="Calibri" w:hAnsi="Calibri"/>
                  <w:b w:val="false"/>
                  <w:bCs w:val="false"/>
                  <w:color w:val="0563C1"/>
                  <w:u w:val="single"/>
                  <w:sz w:val="15"/>
                  <w:szCs w:val="15"/>
                </w:rPr>
                <w:t xml:space="preserve">src/app/(marketing)/terms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Include limitation of liability, arbitration, venue and class waiver.</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Privacy Policy</w:t>
            </w:r>
          </w:p>
          <w:p>
            <w:pPr>
              <w:spacing w:after="0" w:line="250"/>
            </w:pPr>
            <w:r>
              <w:rPr>
                <w:rFonts w:ascii="Calibri" w:cs="Calibri" w:eastAsia="Calibri" w:hAnsi="Calibri"/>
                <w:b w:val="false"/>
                <w:bCs w:val="false"/>
                <w:color w:val="1A2230"/>
                <w:sz w:val="17"/>
                <w:szCs w:val="17"/>
              </w:rPr>
              <w:t xml:space="preserve">Currently a placeholder page.</w:t>
            </w:r>
          </w:p>
        </w:tc>
        <w:tc>
          <w:tcPr>
            <w:tcW w:type="dxa" w:w="2520"/>
            <w:shd w:fill="F4F6F9" w:color="auto" w:val="clear"/>
            <w:tcMar>
              <w:top w:type="dxa" w:w="70"/>
              <w:left w:type="dxa" w:w="100"/>
              <w:bottom w:type="dxa" w:w="70"/>
              <w:right w:type="dxa" w:w="100"/>
            </w:tcMar>
          </w:tcPr>
          <w:p>
            <w:pPr>
              <w:spacing w:after="0" w:line="250"/>
            </w:pPr>
            <w:hyperlink r:id="rHl19">
              <w:r>
                <w:rPr>
                  <w:rFonts w:ascii="Calibri" w:cs="Calibri" w:eastAsia="Calibri" w:hAnsi="Calibri"/>
                  <w:b w:val="false"/>
                  <w:bCs w:val="false"/>
                  <w:color w:val="0563C1"/>
                  <w:u w:val="single"/>
                  <w:sz w:val="15"/>
                  <w:szCs w:val="15"/>
                </w:rPr>
                <w:t xml:space="preserve">src/app/(marketing)/privacy</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covering retention, deletion and third-party processors.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Disclaimer placement</w:t>
            </w:r>
          </w:p>
          <w:p>
            <w:pPr>
              <w:spacing w:after="0" w:line="250"/>
            </w:pPr>
            <w:r>
              <w:rPr>
                <w:rFonts w:ascii="Calibri" w:cs="Calibri" w:eastAsia="Calibri" w:hAnsi="Calibri"/>
                <w:b w:val="false"/>
                <w:bCs w:val="false"/>
                <w:color w:val="1A2230"/>
                <w:sz w:val="17"/>
                <w:szCs w:val="17"/>
              </w:rPr>
              <w:t xml:space="preserve">Shown at signup, in the interview footer, and at the generation gate, where affirmative acknowledgment is logged to disclaimer_acknowledgments.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multiple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placement and that the acknowledgment is legally adequate.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Refund policy</w:t>
            </w:r>
          </w:p>
          <w:p>
            <w:pPr>
              <w:spacing w:after="0" w:line="250"/>
            </w:pPr>
            <w:r>
              <w:rPr>
                <w:rFonts w:ascii="Calibri" w:cs="Calibri" w:eastAsia="Calibri" w:hAnsi="Calibri"/>
                <w:b w:val="false"/>
                <w:bCs w:val="false"/>
                <w:color w:val="1A2230"/>
                <w:sz w:val="17"/>
                <w:szCs w:val="17"/>
              </w:rPr>
              <w:t xml:space="preserve">Not yet written. The code now revokes the entitlement automatically on a full refund or a chargeback, and deliberately leaves it intact on a partial refund.</w:t>
            </w:r>
          </w:p>
        </w:tc>
        <w:tc>
          <w:tcPr>
            <w:tcW w:type="dxa" w:w="2520"/>
            <w:shd w:fill="F4F6F9" w:color="auto" w:val="clear"/>
            <w:tcMar>
              <w:top w:type="dxa" w:w="70"/>
              <w:left w:type="dxa" w:w="100"/>
              <w:bottom w:type="dxa" w:w="70"/>
              <w:right w:type="dxa" w:w="100"/>
            </w:tcMar>
          </w:tcPr>
          <w:p>
            <w:pPr>
              <w:spacing w:after="0" w:line="250"/>
            </w:pPr>
            <w:hyperlink r:id="rHl10">
              <w:r>
                <w:rPr>
                  <w:rFonts w:ascii="Calibri" w:cs="Calibri" w:eastAsia="Calibri" w:hAnsi="Calibri"/>
                  <w:b w:val="false"/>
                  <w:bCs w:val="false"/>
                  <w:color w:val="0563C1"/>
                  <w:u w:val="single"/>
                  <w:sz w:val="15"/>
                  <w:szCs w:val="15"/>
                </w:rPr>
                <w:t xml:space="preserve">src/lib/stripe/webhook.ts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and confirm that automatic revocation on refund is the right posture for a document the customer may already have executed.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Advertising claims</w:t>
            </w:r>
          </w:p>
          <w:p>
            <w:pPr>
              <w:spacing w:after="0" w:line="250"/>
            </w:pPr>
            <w:r>
              <w:rPr>
                <w:rFonts w:ascii="Calibri" w:cs="Calibri" w:eastAsia="Calibri" w:hAnsi="Calibri"/>
                <w:b w:val="false"/>
                <w:bCs w:val="false"/>
                <w:color w:val="1A2230"/>
                <w:sz w:val="17"/>
                <w:szCs w:val="17"/>
              </w:rPr>
              <w:t xml:space="preserve">No guarantee of legal outcome; any pricing comparison against attorney fees.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marketing pages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Review all comparative and outcome claims.</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E   </w:t>
      </w:r>
      <w:r>
        <w:rPr>
          <w:rFonts w:ascii="Cambria" w:cs="Cambria" w:eastAsia="Cambria" w:hAnsi="Cambria"/>
          <w:b/>
          <w:bCs/>
          <w:color w:val="192C46"/>
          <w:sz w:val="24"/>
          <w:szCs w:val="24"/>
        </w:rPr>
        <w:t xml:space="preserve">Data protection and privacy</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California privacy law</w:t>
            </w:r>
          </w:p>
          <w:p>
            <w:pPr>
              <w:spacing w:after="0" w:line="250"/>
            </w:pPr>
            <w:r>
              <w:rPr>
                <w:rFonts w:ascii="Calibri" w:cs="Calibri" w:eastAsia="Calibri" w:hAnsi="Calibri"/>
                <w:b w:val="false"/>
                <w:bCs w:val="false"/>
                <w:color w:val="1A2230"/>
                <w:sz w:val="17"/>
                <w:szCs w:val="17"/>
              </w:rPr>
              <w:t xml:space="preserve">California is a launch state; the product collects detailed financial and family data.</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whole product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CCPA/CPRA obligations and required disclosures.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Retention schedule</w:t>
            </w:r>
          </w:p>
          <w:p>
            <w:pPr>
              <w:spacing w:after="0" w:line="250"/>
            </w:pPr>
            <w:r>
              <w:rPr>
                <w:rFonts w:ascii="Calibri" w:cs="Calibri" w:eastAsia="Calibri" w:hAnsi="Calibri"/>
                <w:b w:val="false"/>
                <w:bCs w:val="false"/>
                <w:color w:val="1A2230"/>
                <w:sz w:val="17"/>
                <w:szCs w:val="17"/>
              </w:rPr>
              <w:t xml:space="preserve">Executed documents are intended to be retained seven years.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storage policy</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period, and set policy for drafts and abandoned interviews.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Account deletion</w:t>
            </w:r>
          </w:p>
          <w:p>
            <w:pPr>
              <w:spacing w:after="0" w:line="250"/>
            </w:pPr>
            <w:r>
              <w:rPr>
                <w:rFonts w:ascii="Calibri" w:cs="Calibri" w:eastAsia="Calibri" w:hAnsi="Calibri"/>
                <w:b w:val="false"/>
                <w:bCs w:val="false"/>
                <w:color w:val="1A2230"/>
                <w:sz w:val="17"/>
                <w:szCs w:val="17"/>
              </w:rPr>
              <w:t xml:space="preserve">A user-initiated deletion purges storage objects and cascades database rows. audit_log rows survive with the user reference set to null.</w:t>
            </w:r>
          </w:p>
        </w:tc>
        <w:tc>
          <w:tcPr>
            <w:tcW w:type="dxa" w:w="2520"/>
            <w:tcMar>
              <w:top w:type="dxa" w:w="70"/>
              <w:left w:type="dxa" w:w="100"/>
              <w:bottom w:type="dxa" w:w="70"/>
              <w:right w:type="dxa" w:w="100"/>
            </w:tcMar>
          </w:tcPr>
          <w:p>
            <w:pPr>
              <w:spacing w:after="0" w:line="250"/>
            </w:pPr>
            <w:hyperlink r:id="rHl11">
              <w:r>
                <w:rPr>
                  <w:rFonts w:ascii="Calibri" w:cs="Calibri" w:eastAsia="Calibri" w:hAnsi="Calibri"/>
                  <w:b w:val="false"/>
                  <w:bCs w:val="false"/>
                  <w:color w:val="0563C1"/>
                  <w:u w:val="single"/>
                  <w:sz w:val="15"/>
                  <w:szCs w:val="15"/>
                </w:rPr>
                <w:t xml:space="preserve">src/lib/account/actions.ts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what must survive deletion, that retaining it is lawful, and whether an anonymised audit row is sufficient.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Data export</w:t>
            </w:r>
          </w:p>
          <w:p>
            <w:pPr>
              <w:spacing w:after="0" w:line="250"/>
            </w:pPr>
            <w:r>
              <w:rPr>
                <w:rFonts w:ascii="Calibri" w:cs="Calibri" w:eastAsia="Calibri" w:hAnsi="Calibri"/>
                <w:b w:val="false"/>
                <w:bCs w:val="false"/>
                <w:color w:val="1A2230"/>
                <w:sz w:val="17"/>
                <w:szCs w:val="17"/>
              </w:rPr>
              <w:t xml:space="preserve">Customers can download every generated document and vault file as a single archive, with no entitlement or membership check.</w:t>
            </w:r>
          </w:p>
        </w:tc>
        <w:tc>
          <w:tcPr>
            <w:tcW w:type="dxa" w:w="2520"/>
            <w:shd w:fill="F4F6F9" w:color="auto" w:val="clear"/>
            <w:tcMar>
              <w:top w:type="dxa" w:w="70"/>
              <w:left w:type="dxa" w:w="100"/>
              <w:bottom w:type="dxa" w:w="70"/>
              <w:right w:type="dxa" w:w="100"/>
            </w:tcMar>
          </w:tcPr>
          <w:p>
            <w:pPr>
              <w:spacing w:after="0" w:line="250"/>
            </w:pPr>
            <w:hyperlink r:id="rHl20">
              <w:r>
                <w:rPr>
                  <w:rFonts w:ascii="Calibri" w:cs="Calibri" w:eastAsia="Calibri" w:hAnsi="Calibri"/>
                  <w:b w:val="false"/>
                  <w:bCs w:val="false"/>
                  <w:color w:val="0563C1"/>
                  <w:u w:val="single"/>
                  <w:sz w:val="15"/>
                  <w:szCs w:val="15"/>
                </w:rPr>
                <w:t xml:space="preserve">src/app/(app)/account/export</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this satisfies any access/portability obligation, and that no authorisation gate is required.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CRM integration</w:t>
            </w:r>
          </w:p>
          <w:p>
            <w:pPr>
              <w:spacing w:after="0" w:line="250"/>
            </w:pPr>
            <w:r>
              <w:rPr>
                <w:rFonts w:ascii="Calibri" w:cs="Calibri" w:eastAsia="Calibri" w:hAnsi="Calibri"/>
                <w:b w:val="false"/>
                <w:bCs w:val="false"/>
                <w:color w:val="1A2230"/>
                <w:sz w:val="17"/>
                <w:szCs w:val="17"/>
              </w:rPr>
              <w:t xml:space="preserve">A Salesforce integration is planned. Contact and commercial fields only; document contents never leave the platform.</w:t>
            </w:r>
          </w:p>
        </w:tc>
        <w:tc>
          <w:tcPr>
            <w:tcW w:type="dxa" w:w="2520"/>
            <w:tcMar>
              <w:top w:type="dxa" w:w="70"/>
              <w:left w:type="dxa" w:w="100"/>
              <w:bottom w:type="dxa" w:w="70"/>
              <w:right w:type="dxa" w:w="100"/>
            </w:tcMar>
          </w:tcPr>
          <w:p>
            <w:pPr>
              <w:spacing w:after="0" w:line="250"/>
            </w:pPr>
            <w:hyperlink r:id="rHl12">
              <w:r>
                <w:rPr>
                  <w:rFonts w:ascii="Calibri" w:cs="Calibri" w:eastAsia="Calibri" w:hAnsi="Calibri"/>
                  <w:b w:val="false"/>
                  <w:bCs w:val="false"/>
                  <w:color w:val="0563C1"/>
                  <w:u w:val="single"/>
                  <w:sz w:val="15"/>
                  <w:szCs w:val="15"/>
                </w:rPr>
                <w:t xml:space="preserve">docs/CRM_SALESFORCE_PLAN.md</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Must be disclosed in the privacy policy before it ships.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Breach notification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obligations and the required response process.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Third-party processors</w:t>
            </w:r>
          </w:p>
          <w:p>
            <w:pPr>
              <w:spacing w:after="0" w:line="250"/>
            </w:pPr>
            <w:r>
              <w:rPr>
                <w:rFonts w:ascii="Calibri" w:cs="Calibri" w:eastAsia="Calibri" w:hAnsi="Calibri"/>
                <w:b w:val="false"/>
                <w:bCs w:val="false"/>
                <w:color w:val="1A2230"/>
                <w:sz w:val="17"/>
                <w:szCs w:val="17"/>
              </w:rPr>
              <w:t xml:space="preserve">Supabase (database and storage), Stripe (payments), Resend (email), and a PDF conversion service.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infrastructure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is named in the privacy policy and that any required data processing terms are in place.</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F   </w:t>
      </w:r>
      <w:r>
        <w:rPr>
          <w:rFonts w:ascii="Cambria" w:cs="Cambria" w:eastAsia="Cambria" w:hAnsi="Cambria"/>
          <w:b/>
          <w:bCs/>
          <w:color w:val="192C46"/>
          <w:sz w:val="24"/>
          <w:szCs w:val="24"/>
        </w:rPr>
        <w:t xml:space="preserve">Access, fiduciaries and death</w:t>
      </w:r>
    </w:p>
    <w:p>
      <w:pPr>
        <w:spacing w:after="120" w:line="260"/>
      </w:pPr>
      <w:r>
        <w:rPr>
          <w:rFonts w:ascii="Calibri" w:cs="Calibri" w:eastAsia="Calibri" w:hAnsi="Calibri"/>
          <w:i w:val="false"/>
          <w:iCs w:val="false"/>
          <w:color w:val="1A2230"/>
          <w:sz w:val="19"/>
          <w:szCs w:val="19"/>
        </w:rPr>
        <w:t xml:space="preserve">Who can reach a document, and when. This is the area with the least precedent, because an estate plan is reached for at exactly the moment its owner cannot authorise access.</w:t>
      </w:r>
    </w:p>
    <w:p>
      <w:pPr>
        <w:pBdr>
          <w:left w:val="single" w:color="8A6B2E" w:sz="16" w:space="10"/>
        </w:pBdr>
        <w:spacing w:after="140" w:before="60" w:line="260"/>
        <w:ind w:left="160" w:right="160"/>
      </w:pPr>
      <w:r>
        <w:rPr>
          <w:rFonts w:ascii="Calibri" w:cs="Calibri" w:eastAsia="Calibri" w:hAnsi="Calibri"/>
          <w:b/>
          <w:bCs/>
          <w:color w:val="8A6B2E"/>
          <w:sz w:val="19"/>
          <w:szCs w:val="19"/>
        </w:rPr>
        <w:t xml:space="preserve">Note for counsel. </w:t>
      </w:r>
      <w:r>
        <w:rPr>
          <w:rFonts w:ascii="Calibri" w:cs="Calibri" w:eastAsia="Calibri" w:hAnsi="Calibri"/>
          <w:color w:val="1A2230"/>
          <w:sz w:val="19"/>
          <w:szCs w:val="19"/>
        </w:rPr>
        <w:t xml:space="preserve">Under the Revised Uniform Fiduciary Access to Digital Assets Act, adopted in some form by more than 40 states, an online tool designation made inside a platform ranks ABOVE instructions in a will for access to that account. A designation made in this product would therefore outrank the customer’s own will — both an opportunity and a conflict risk.</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No legacy contact designation exists yet</w:t>
            </w:r>
          </w:p>
          <w:p>
            <w:pPr>
              <w:spacing w:after="0" w:line="250"/>
            </w:pPr>
            <w:r>
              <w:rPr>
                <w:rFonts w:ascii="Calibri" w:cs="Calibri" w:eastAsia="Calibri" w:hAnsi="Calibri"/>
                <w:b w:val="false"/>
                <w:bCs w:val="false"/>
                <w:color w:val="1A2230"/>
                <w:sz w:val="17"/>
                <w:szCs w:val="17"/>
              </w:rPr>
              <w:t xml:space="preserve">There is currently no way for a customer to name who may reach their account after death. Documents are owner-only, resolved through row-level security.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an in-app designation should be built, and if so approve the designation language and its scope as a RUFADAA online tool.</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Release process on death</w:t>
            </w:r>
          </w:p>
          <w:p>
            <w:pPr>
              <w:spacing w:after="0" w:line="250"/>
            </w:pPr>
            <w:r>
              <w:rPr>
                <w:rFonts w:ascii="Calibri" w:cs="Calibri" w:eastAsia="Calibri" w:hAnsi="Calibri"/>
                <w:b w:val="false"/>
                <w:bCs w:val="false"/>
                <w:color w:val="1A2230"/>
                <w:sz w:val="17"/>
                <w:szCs w:val="17"/>
              </w:rPr>
              <w:t xml:space="preserve">No process exists. Today a surviving family member has no route to a document held in the deceased’s account.</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Specify acceptable documentation, who verifies it, and the records to retain.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Named-person notifications</w:t>
            </w:r>
          </w:p>
          <w:p>
            <w:pPr>
              <w:spacing w:after="0" w:line="250"/>
            </w:pPr>
            <w:r>
              <w:rPr>
                <w:rFonts w:ascii="Calibri" w:cs="Calibri" w:eastAsia="Calibri" w:hAnsi="Calibri"/>
                <w:b w:val="false"/>
                <w:bCs w:val="false"/>
                <w:color w:val="1A2230"/>
                <w:sz w:val="17"/>
                <w:szCs w:val="17"/>
              </w:rPr>
              <w:t xml:space="preserve">Telling an executor, healthcare agent or guardian that they have been named would disclose the existence and contents of an estate plan. Nothing is currently sent.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any wording, and confirm whether per-person consent is required. Default is to send nothing.</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Time-critical access</w:t>
            </w:r>
          </w:p>
          <w:p>
            <w:pPr>
              <w:spacing w:after="0" w:line="250"/>
            </w:pPr>
            <w:r>
              <w:rPr>
                <w:rFonts w:ascii="Calibri" w:cs="Calibri" w:eastAsia="Calibri" w:hAnsi="Calibri"/>
                <w:b w:val="false"/>
                <w:bCs w:val="false"/>
                <w:color w:val="1A2230"/>
                <w:sz w:val="17"/>
                <w:szCs w:val="17"/>
              </w:rPr>
              <w:t xml:space="preserve">A healthcare agent may need the directive within minutes. There is no mechanism to give it to them.</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a share-on-consent mechanism is permissible and how it should be worded.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Ownership is permanent</w:t>
            </w:r>
          </w:p>
          <w:p>
            <w:pPr>
              <w:spacing w:after="0" w:line="250"/>
            </w:pPr>
            <w:r>
              <w:rPr>
                <w:rFonts w:ascii="Calibri" w:cs="Calibri" w:eastAsia="Calibri" w:hAnsi="Calibri"/>
                <w:b w:val="false"/>
                <w:bCs w:val="false"/>
                <w:color w:val="1A2230"/>
                <w:sz w:val="17"/>
                <w:szCs w:val="17"/>
              </w:rPr>
              <w:t xml:space="preserve">Will and Trust are one-time purchases. Access is now recorded as a grant with no expiry, so it cannot lapse; only a refund or chargeback revokes it. Generated documents remain downloadable regardless.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migration </w:t>
            </w:r>
            <w:hyperlink r:id="rHl24">
              <w:r>
                <w:rPr>
                  <w:rFonts w:ascii="Calibri" w:cs="Calibri" w:eastAsia="Calibri" w:hAnsi="Calibri"/>
                  <w:b w:val="false"/>
                  <w:bCs w:val="false"/>
                  <w:color w:val="0563C1"/>
                  <w:u w:val="single"/>
                  <w:sz w:val="15"/>
                  <w:szCs w:val="15"/>
                </w:rPr>
                <w:t xml:space="preserve">20260712000014</w:t>
              </w:r>
            </w:hyperlink>
            <w:r>
              <w:rPr>
                <w:rFonts w:ascii="Calibri" w:cs="Calibri" w:eastAsia="Calibri" w:hAnsi="Calibri"/>
                <w:b w:val="false"/>
                <w:bCs w:val="false"/>
                <w:color w:val="5A6472"/>
                <w:sz w:val="15"/>
                <w:szCs w:val="15"/>
              </w:rPr>
              <w:t xml:space="preserve">; </w:t>
            </w:r>
            <w:hyperlink r:id="rHl25">
              <w:r>
                <w:rPr>
                  <w:rFonts w:ascii="Calibri" w:cs="Calibri" w:eastAsia="Calibri" w:hAnsi="Calibri"/>
                  <w:b w:val="false"/>
                  <w:bCs w:val="false"/>
                  <w:color w:val="0563C1"/>
                  <w:u w:val="single"/>
                  <w:sz w:val="15"/>
                  <w:szCs w:val="15"/>
                </w:rPr>
                <w:t xml:space="preserve">src/lib/entitlements.ts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this is the right posture, and that a customer must retain access to an executed document they paid for.</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two accounts, one shared household</w:t>
            </w:r>
          </w:p>
          <w:p>
            <w:pPr>
              <w:spacing w:after="0" w:line="250"/>
            </w:pPr>
            <w:r>
              <w:rPr>
                <w:rFonts w:ascii="Calibri" w:cs="Calibri" w:eastAsia="Calibri" w:hAnsi="Calibri"/>
                <w:b w:val="false"/>
                <w:bCs w:val="false"/>
                <w:color w:val="1A2230"/>
                <w:sz w:val="17"/>
                <w:szCs w:val="17"/>
              </w:rPr>
              <w:t xml:space="preserve">The tier is now OPEN. The two-account household model shipped (migrations 15–16; docs/HOUSEHOLD_WORK_ORDER.md): each spouse creates their own login and owns their own document set, and the joint trust is shared across the household — so if the account holder dies, the survivor can still reach the will that names them. That was the exact gap that had kept the tier closed.</w:t>
            </w:r>
          </w:p>
        </w:tc>
        <w:tc>
          <w:tcPr>
            <w:tcW w:type="dxa" w:w="2520"/>
            <w:shd w:fill="F4F6F9" w:color="auto" w:val="clear"/>
            <w:tcMar>
              <w:top w:type="dxa" w:w="70"/>
              <w:left w:type="dxa" w:w="100"/>
              <w:bottom w:type="dxa" w:w="70"/>
              <w:right w:type="dxa" w:w="100"/>
            </w:tcMar>
          </w:tcPr>
          <w:p>
            <w:pPr>
              <w:spacing w:after="0" w:line="250"/>
            </w:pPr>
            <w:hyperlink r:id="rHl13">
              <w:r>
                <w:rPr>
                  <w:rFonts w:ascii="Calibri" w:cs="Calibri" w:eastAsia="Calibri" w:hAnsi="Calibri"/>
                  <w:b w:val="false"/>
                  <w:bCs w:val="false"/>
                  <w:color w:val="0563C1"/>
                  <w:u w:val="single"/>
                  <w:sz w:val="15"/>
                  <w:szCs w:val="15"/>
                </w:rPr>
                <w:t xml:space="preserve">src/lib/features.ts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The tier has reopened on the two-account household model. Approve the joint-trust sharing and the mirroring approach (see A10), confirm the model adequately guarantees each spouse’s independent, permanent access to their own documents, and advise on the risk of any single-account couples sale taken during the earlier phase (see G5).</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Vault access after a membership lapses</w:t>
            </w:r>
          </w:p>
          <w:p>
            <w:pPr>
              <w:spacing w:after="0" w:line="250"/>
            </w:pPr>
            <w:r>
              <w:rPr>
                <w:rFonts w:ascii="Calibri" w:cs="Calibri" w:eastAsia="Calibri" w:hAnsi="Calibri"/>
                <w:b w:val="false"/>
                <w:bCs w:val="false"/>
                <w:color w:val="1A2230"/>
                <w:sz w:val="17"/>
                <w:szCs w:val="17"/>
              </w:rPr>
              <w:t xml:space="preserve">Members upload their own documents. Uploading now requires an active membership; downloading and exporting do not, and remain available permanently.</w:t>
            </w:r>
          </w:p>
        </w:tc>
        <w:tc>
          <w:tcPr>
            <w:tcW w:type="dxa" w:w="2520"/>
            <w:tcMar>
              <w:top w:type="dxa" w:w="70"/>
              <w:left w:type="dxa" w:w="100"/>
              <w:bottom w:type="dxa" w:w="70"/>
              <w:right w:type="dxa" w:w="100"/>
            </w:tcMar>
          </w:tcPr>
          <w:p>
            <w:pPr>
              <w:spacing w:after="0" w:line="250"/>
            </w:pPr>
            <w:hyperlink r:id="rHl21">
              <w:r>
                <w:rPr>
                  <w:rFonts w:ascii="Calibri" w:cs="Calibri" w:eastAsia="Calibri" w:hAnsi="Calibri"/>
                  <w:b w:val="false"/>
                  <w:bCs w:val="false"/>
                  <w:color w:val="0563C1"/>
                  <w:u w:val="single"/>
                  <w:sz w:val="15"/>
                  <w:szCs w:val="15"/>
                </w:rPr>
                <w:t xml:space="preserve">src/app/(app)/vault</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adequacy, and flag any consumer-protection concern with restricting a customer’s access to their own uploads.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F8</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Staff access to customer records</w:t>
            </w:r>
          </w:p>
          <w:p>
            <w:pPr>
              <w:spacing w:after="0" w:line="250"/>
            </w:pPr>
            <w:r>
              <w:rPr>
                <w:rFonts w:ascii="Calibri" w:cs="Calibri" w:eastAsia="Calibri" w:hAnsi="Calibri"/>
                <w:b w:val="false"/>
                <w:bCs w:val="false"/>
                <w:color w:val="1A2230"/>
                <w:sz w:val="17"/>
                <w:szCs w:val="17"/>
              </w:rPr>
              <w:t xml:space="preserve">Roles are user, reviewer and admin. reviewer is intended as the attorney role. Admin views of customer documents are not currently audited.</w:t>
            </w:r>
          </w:p>
        </w:tc>
        <w:tc>
          <w:tcPr>
            <w:tcW w:type="dxa" w:w="2520"/>
            <w:shd w:fill="F4F6F9" w:color="auto" w:val="clear"/>
            <w:tcMar>
              <w:top w:type="dxa" w:w="70"/>
              <w:left w:type="dxa" w:w="100"/>
              <w:bottom w:type="dxa" w:w="70"/>
              <w:right w:type="dxa" w:w="100"/>
            </w:tcMar>
          </w:tcPr>
          <w:p>
            <w:pPr>
              <w:spacing w:after="0" w:line="250"/>
            </w:pPr>
            <w:hyperlink r:id="rHl14">
              <w:r>
                <w:rPr>
                  <w:rFonts w:ascii="Calibri" w:cs="Calibri" w:eastAsia="Calibri" w:hAnsi="Calibri"/>
                  <w:b w:val="false"/>
                  <w:bCs w:val="false"/>
                  <w:color w:val="0563C1"/>
                  <w:u w:val="single"/>
                  <w:sz w:val="15"/>
                  <w:szCs w:val="15"/>
                </w:rPr>
                <w:t xml:space="preserve">src/lib/auth/role.ts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what an attorney reviewer may see, and whether any staff view of a customer document must be logged.</w:t>
            </w:r>
          </w:p>
        </w:tc>
      </w:tr>
    </w:tbl>
    <w:p>
      <w:r>
        <w:br w:type="page"/>
      </w:r>
    </w:p>
    <w:p>
      <w:pPr>
        <w:keepNext/>
        <w:keepLines/>
        <w:pBdr>
          <w:bottom w:val="single" w:color="8A6B2E" w:sz="8" w:space="3"/>
        </w:pBdr>
        <w:spacing w:after="80" w:before="320"/>
      </w:pPr>
      <w:r>
        <w:rPr>
          <w:rFonts w:ascii="Cambria" w:cs="Cambria" w:eastAsia="Cambria" w:hAnsi="Cambria"/>
          <w:b/>
          <w:bCs/>
          <w:color w:val="8A6B2E"/>
          <w:sz w:val="24"/>
          <w:szCs w:val="24"/>
        </w:rPr>
        <w:t xml:space="preserve">G   </w:t>
      </w:r>
      <w:r>
        <w:rPr>
          <w:rFonts w:ascii="Cambria" w:cs="Cambria" w:eastAsia="Cambria" w:hAnsi="Cambria"/>
          <w:b/>
          <w:bCs/>
          <w:color w:val="192C46"/>
          <w:sz w:val="24"/>
          <w:szCs w:val="24"/>
        </w:rPr>
        <w:t xml:space="preserve">Commerce and consumer protection</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Auto-renewing membership</w:t>
            </w:r>
          </w:p>
          <w:p>
            <w:pPr>
              <w:spacing w:after="0" w:line="250"/>
            </w:pPr>
            <w:r>
              <w:rPr>
                <w:rFonts w:ascii="Calibri" w:cs="Calibri" w:eastAsia="Calibri" w:hAnsi="Calibri"/>
                <w:b w:val="false"/>
                <w:bCs w:val="false"/>
                <w:color w:val="1A2230"/>
                <w:sz w:val="17"/>
                <w:szCs w:val="17"/>
              </w:rPr>
              <w:t xml:space="preserve">The annual membership renews automatically.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pricing; Stripe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California’s automatic renewal law imposes strict disclosure, affirmative consent and cancellation requirements. Confirm compliance.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Published pricing</w:t>
            </w:r>
          </w:p>
          <w:p>
            <w:pPr>
              <w:spacing w:after="0" w:line="250"/>
            </w:pPr>
            <w:r>
              <w:rPr>
                <w:rFonts w:ascii="Calibri" w:cs="Calibri" w:eastAsia="Calibri" w:hAnsi="Calibri"/>
                <w:b w:val="false"/>
                <w:bCs w:val="false"/>
                <w:color w:val="1A2230"/>
                <w:sz w:val="17"/>
                <w:szCs w:val="17"/>
              </w:rPr>
              <w:t xml:space="preserve">Prices are set in code and carry an owner-approval requirement.</w:t>
            </w:r>
          </w:p>
        </w:tc>
        <w:tc>
          <w:tcPr>
            <w:tcW w:type="dxa" w:w="2520"/>
            <w:shd w:fill="F4F6F9" w:color="auto" w:val="clear"/>
            <w:tcMar>
              <w:top w:type="dxa" w:w="70"/>
              <w:left w:type="dxa" w:w="100"/>
              <w:bottom w:type="dxa" w:w="70"/>
              <w:right w:type="dxa" w:w="100"/>
            </w:tcMar>
          </w:tcPr>
          <w:p>
            <w:pPr>
              <w:spacing w:after="0" w:line="250"/>
            </w:pPr>
            <w:hyperlink r:id="rHl15">
              <w:r>
                <w:rPr>
                  <w:rFonts w:ascii="Calibri" w:cs="Calibri" w:eastAsia="Calibri" w:hAnsi="Calibri"/>
                  <w:b w:val="false"/>
                  <w:bCs w:val="false"/>
                  <w:color w:val="0563C1"/>
                  <w:u w:val="single"/>
                  <w:sz w:val="15"/>
                  <w:szCs w:val="15"/>
                </w:rPr>
                <w:t xml:space="preserve">src/lib/pricing.ts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any obligation to honour a published price for a period.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Partner discount and comp codes</w:t>
            </w:r>
          </w:p>
          <w:p>
            <w:pPr>
              <w:spacing w:after="0" w:line="250"/>
            </w:pPr>
            <w:r>
              <w:rPr>
                <w:rFonts w:ascii="Calibri" w:cs="Calibri" w:eastAsia="Calibri" w:hAnsi="Calibri"/>
                <w:b w:val="false"/>
                <w:bCs w:val="false"/>
                <w:color w:val="1A2230"/>
                <w:sz w:val="17"/>
                <w:szCs w:val="17"/>
              </w:rPr>
              <w:t xml:space="preserve">Codes range from a percentage discount to 100% comp, which grants the product outright.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access codes; partner tools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a routinely discounted list price is defensible, and that a comp grant creates no different obligation.</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Refunds and chargebacks</w:t>
            </w:r>
          </w:p>
          <w:p>
            <w:pPr>
              <w:spacing w:after="0" w:line="250"/>
            </w:pPr>
            <w:r>
              <w:rPr>
                <w:rFonts w:ascii="Calibri" w:cs="Calibri" w:eastAsia="Calibri" w:hAnsi="Calibri"/>
                <w:b w:val="false"/>
                <w:bCs w:val="false"/>
                <w:color w:val="1A2230"/>
                <w:sz w:val="17"/>
                <w:szCs w:val="17"/>
              </w:rPr>
              <w:t xml:space="preserve">A full refund or a chargeback now revokes the entitlement automatically; a partial refund does not.</w:t>
            </w:r>
          </w:p>
        </w:tc>
        <w:tc>
          <w:tcPr>
            <w:tcW w:type="dxa" w:w="2520"/>
            <w:shd w:fill="F4F6F9" w:color="auto" w:val="clear"/>
            <w:tcMar>
              <w:top w:type="dxa" w:w="70"/>
              <w:left w:type="dxa" w:w="100"/>
              <w:bottom w:type="dxa" w:w="70"/>
              <w:right w:type="dxa" w:w="100"/>
            </w:tcMar>
          </w:tcPr>
          <w:p>
            <w:pPr>
              <w:spacing w:after="0" w:line="250"/>
            </w:pPr>
            <w:hyperlink r:id="rHl10">
              <w:r>
                <w:rPr>
                  <w:rFonts w:ascii="Calibri" w:cs="Calibri" w:eastAsia="Calibri" w:hAnsi="Calibri"/>
                  <w:b w:val="false"/>
                  <w:bCs w:val="false"/>
                  <w:color w:val="0563C1"/>
                  <w:u w:val="single"/>
                  <w:sz w:val="15"/>
                  <w:szCs w:val="15"/>
                </w:rPr>
                <w:t xml:space="preserve">src/lib/stripe/webhook.ts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Align the published policy with this behaviour, and advise on a customer who has already executed the document.</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pricing during the test phase</w:t>
            </w:r>
          </w:p>
          <w:p>
            <w:pPr>
              <w:spacing w:after="0" w:line="250"/>
            </w:pPr>
            <w:r>
              <w:rPr>
                <w:rFonts w:ascii="Calibri" w:cs="Calibri" w:eastAsia="Calibri" w:hAnsi="Calibri"/>
                <w:b w:val="false"/>
                <w:bCs w:val="false"/>
                <w:color w:val="1A2230"/>
                <w:sz w:val="17"/>
                <w:szCs w:val="17"/>
              </w:rPr>
              <w:t xml:space="preserve">During an earlier single-account phase of testing, couples pricing was briefly live. If any couples purchase was taken then, both spouses’ documents sat in one account. The tier has since reopened on the two-account household model, which does not have this problem.</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remediation if any such single-account sale exists.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Membership perks as inducements</w:t>
            </w:r>
          </w:p>
          <w:p>
            <w:pPr>
              <w:spacing w:after="0" w:line="250"/>
            </w:pPr>
            <w:r>
              <w:rPr>
                <w:rFonts w:ascii="Calibri" w:cs="Calibri" w:eastAsia="Calibri" w:hAnsi="Calibri"/>
                <w:b w:val="false"/>
                <w:bCs w:val="false"/>
                <w:color w:val="1A2230"/>
                <w:sz w:val="17"/>
                <w:szCs w:val="17"/>
              </w:rPr>
              <w:t xml:space="preserve">Unlimited updates, vault, annual checkup and funding tracker.</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membership perks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perk descriptions are not promises the business cannot keep.</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H   </w:t>
      </w:r>
      <w:r>
        <w:rPr>
          <w:rFonts w:ascii="Cambria" w:cs="Cambria" w:eastAsia="Cambria" w:hAnsi="Cambria"/>
          <w:b/>
          <w:bCs/>
          <w:color w:val="192C46"/>
          <w:sz w:val="24"/>
          <w:szCs w:val="24"/>
        </w:rPr>
        <w:t xml:space="preserve">Entity, registration and insurance</w:t>
      </w:r>
    </w:p>
    <w:p>
      <w:pPr>
        <w:pBdr>
          <w:left w:val="single" w:color="8C2F1E" w:sz="16" w:space="10"/>
        </w:pBdr>
        <w:spacing w:after="140" w:before="60" w:line="260"/>
        <w:ind w:left="160" w:right="160"/>
      </w:pPr>
      <w:r>
        <w:rPr>
          <w:rFonts w:ascii="Calibri" w:cs="Calibri" w:eastAsia="Calibri" w:hAnsi="Calibri"/>
          <w:b/>
          <w:bCs/>
          <w:color w:val="8C2F1E"/>
          <w:sz w:val="19"/>
          <w:szCs w:val="19"/>
        </w:rPr>
        <w:t xml:space="preserve">Please advise specifically on this. </w:t>
      </w:r>
      <w:r>
        <w:rPr>
          <w:rFonts w:ascii="Calibri" w:cs="Calibri" w:eastAsia="Calibri" w:hAnsi="Calibri"/>
          <w:color w:val="1A2230"/>
          <w:sz w:val="19"/>
          <w:szCs w:val="19"/>
        </w:rPr>
        <w:t xml:space="preserve">Several states regulate non-attorney legal document preparation directly. California registers and bonds Legal Document Assistants; Arizona operates a certified Legal Document Preparer programme. Confirm whether registration, bonding or disclosure obligations attach to this business, and in which states.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Document preparer registration</w:t>
            </w:r>
          </w:p>
          <w:p>
            <w:pPr>
              <w:spacing w:after="0" w:line="250"/>
            </w:pPr>
            <w:r>
              <w:rPr>
                <w:rFonts w:ascii="Calibri" w:cs="Calibri" w:eastAsia="Calibri" w:hAnsi="Calibri"/>
                <w:b w:val="false"/>
                <w:bCs w:val="false"/>
                <w:color w:val="1A2230"/>
                <w:sz w:val="17"/>
                <w:szCs w:val="17"/>
              </w:rPr>
              <w:t xml:space="preserve">Applies in several states, including likely launch states.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whether registration or bonding is required, and where.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Contracting entity</w:t>
            </w:r>
          </w:p>
          <w:p>
            <w:pPr>
              <w:spacing w:after="0" w:line="250"/>
            </w:pPr>
            <w:r>
              <w:rPr>
                <w:rFonts w:ascii="Calibri" w:cs="Calibri" w:eastAsia="Calibri" w:hAnsi="Calibri"/>
                <w:b w:val="false"/>
                <w:bCs w:val="false"/>
                <w:color w:val="1A2230"/>
                <w:sz w:val="17"/>
                <w:szCs w:val="17"/>
              </w:rPr>
              <w:t xml:space="preserve">Confirm which entity contracts with customers and appears in the terms.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Professional liability insurance</w:t>
            </w:r>
          </w:p>
          <w:p>
            <w:pPr>
              <w:spacing w:after="0" w:line="250"/>
            </w:pPr>
            <w:r>
              <w:rPr>
                <w:rFonts w:ascii="Calibri" w:cs="Calibri" w:eastAsia="Calibri" w:hAnsi="Calibri"/>
                <w:b w:val="false"/>
                <w:bCs w:val="false"/>
                <w:color w:val="1A2230"/>
                <w:sz w:val="17"/>
                <w:szCs w:val="17"/>
              </w:rPr>
              <w:t xml:space="preserve">Errors and omissions cover for a document preparation service.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necessity and appropriate limits.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Limitation of liability</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Terms of Service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with arbitration, venue and class waiver as appropriate.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Trademark and brand</w:t>
            </w:r>
          </w:p>
          <w:p>
            <w:pPr>
              <w:spacing w:after="0" w:line="250"/>
            </w:pPr>
            <w:r>
              <w:rPr>
                <w:rFonts w:ascii="Calibri" w:cs="Calibri" w:eastAsia="Calibri" w:hAnsi="Calibri"/>
                <w:b w:val="false"/>
                <w:bCs w:val="false"/>
                <w:color w:val="1A2230"/>
                <w:sz w:val="17"/>
                <w:szCs w:val="17"/>
              </w:rPr>
              <w:t xml:space="preserve">“My Defender” and the Will &amp; Trust sub-brand.</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clearance and on conflict risk with existing users of similar names.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Shared codebase lineage</w:t>
            </w:r>
          </w:p>
          <w:p>
            <w:pPr>
              <w:spacing w:after="0" w:line="250"/>
            </w:pPr>
            <w:r>
              <w:rPr>
                <w:rFonts w:ascii="Calibri" w:cs="Calibri" w:eastAsia="Calibri" w:hAnsi="Calibri"/>
                <w:b w:val="false"/>
                <w:bCs w:val="false"/>
                <w:color w:val="1A2230"/>
                <w:sz w:val="17"/>
                <w:szCs w:val="17"/>
              </w:rPr>
              <w:t xml:space="preserve">A separate business under different ownership runs a branded fork of this codebase. The two are operationally isolated: separate git remotes, databases, payment accounts and customer records.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no cross-liability or IP entanglement, and advise whether anything should be documented between the two.</w:t>
            </w:r>
          </w:p>
        </w:tc>
      </w:tr>
    </w:tbl>
    <w:p>
      <w:pPr>
        <w:pBdr>
          <w:top w:val="single" w:color="D8DDE3" w:sz="4" w:space="8"/>
        </w:pBdr>
        <w:spacing w:before="320"/>
      </w:pPr>
      <w:r>
        <w:rPr>
          <w:rFonts w:ascii="Calibri" w:cs="Calibri" w:eastAsia="Calibri" w:hAnsi="Calibri"/>
          <w:i/>
          <w:iCs/>
          <w:color w:val="5A6472"/>
          <w:sz w:val="16"/>
          <w:szCs w:val="16"/>
        </w:rPr>
        <w:t xml:space="preserve">This checklist was prepared by the product team to scope the legal review. It is not legal advice and does not purport to identify every applicable obligation. Additions from counsel are expected and welcome.</w:t>
      </w:r>
    </w:p>
    <w:sectPr>
      <w:headerReference w:type="default" r:id="rId7"/>
      <w:footerReference w:type="default" r:id="rId8"/>
      <w:pgSz w:w="12240" w:h="15840" w:orient="portrait"/>
      <w:pgMar w:top="108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2"/>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472"/>
        <w:sz w:val="15"/>
        <w:szCs w:val="15"/>
      </w:rPr>
      <w:t xml:space="preserve">My Defender Will &amp; Trust — Legal Review Checklist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Hl1" Type="http://schemas.openxmlformats.org/officeDocument/2006/relationships/hyperlink" Target="https://github.com/Evans4207/my-defender-will-trust/blob/main/src/lib/documents/will.ts" TargetMode="External"/><Relationship Id="rHl2" Type="http://schemas.openxmlformats.org/officeDocument/2006/relationships/hyperlink" Target="https://github.com/Evans4207/my-defender-will-trust/blob/main/src/lib/documents/trust.ts" TargetMode="External"/><Relationship Id="rHl3" Type="http://schemas.openxmlformats.org/officeDocument/2006/relationships/hyperlink" Target="https://github.com/Evans4207/my-defender-will-trust/blob/main/src/lib/documents/ancillary.ts" TargetMode="External"/><Relationship Id="rHl4" Type="http://schemas.openxmlformats.org/officeDocument/2006/relationships/hyperlink" Target="https://github.com/Evans4207/my-defender-will-trust/blob/main/src/lib/documents/couples.ts" TargetMode="External"/><Relationship Id="rHl5" Type="http://schemas.openxmlformats.org/officeDocument/2006/relationships/hyperlink" Target="https://github.com/Evans4207/my-defender-will-trust/blob/main/src/lib/documents/docx.ts" TargetMode="External"/><Relationship Id="rHl6" Type="http://schemas.openxmlformats.org/officeDocument/2006/relationships/hyperlink" Target="https://github.com/Evans4207/my-defender-will-trust/blob/main/src/lib/documents/execution-instructions.ts" TargetMode="External"/><Relationship Id="rHl7" Type="http://schemas.openxmlformats.org/officeDocument/2006/relationships/hyperlink" Target="https://github.com/Evans4207/my-defender-will-trust/blob/main/docs/STATE_RULES_QA.md" TargetMode="External"/><Relationship Id="rHl8" Type="http://schemas.openxmlformats.org/officeDocument/2006/relationships/hyperlink" Target="https://github.com/Evans4207/my-defender-will-trust/blob/main/src/lib/attorney-referrals.ts" TargetMode="External"/><Relationship Id="rHl9" Type="http://schemas.openxmlformats.org/officeDocument/2006/relationships/hyperlink" Target="https://github.com/Evans4207/my-defender-will-trust/blob/main/src/lib/legal.ts" TargetMode="External"/><Relationship Id="rHl10" Type="http://schemas.openxmlformats.org/officeDocument/2006/relationships/hyperlink" Target="https://github.com/Evans4207/my-defender-will-trust/blob/main/src/lib/stripe/webhook.ts" TargetMode="External"/><Relationship Id="rHl11" Type="http://schemas.openxmlformats.org/officeDocument/2006/relationships/hyperlink" Target="https://github.com/Evans4207/my-defender-will-trust/blob/main/src/lib/account/actions.ts" TargetMode="External"/><Relationship Id="rHl12" Type="http://schemas.openxmlformats.org/officeDocument/2006/relationships/hyperlink" Target="https://github.com/Evans4207/my-defender-will-trust/blob/main/docs/CRM_SALESFORCE_PLAN.md" TargetMode="External"/><Relationship Id="rHl13" Type="http://schemas.openxmlformats.org/officeDocument/2006/relationships/hyperlink" Target="https://github.com/Evans4207/my-defender-will-trust/blob/main/src/lib/features.ts" TargetMode="External"/><Relationship Id="rHl14" Type="http://schemas.openxmlformats.org/officeDocument/2006/relationships/hyperlink" Target="https://github.com/Evans4207/my-defender-will-trust/blob/main/src/lib/auth/role.ts" TargetMode="External"/><Relationship Id="rHl15" Type="http://schemas.openxmlformats.org/officeDocument/2006/relationships/hyperlink" Target="https://github.com/Evans4207/my-defender-will-trust/blob/main/src/lib/pricing.ts" TargetMode="External"/><Relationship Id="rHl16" Type="http://schemas.openxmlformats.org/officeDocument/2006/relationships/hyperlink" Target="https://github.com/Evans4207/my-defender-will-trust/blob/main/supabase/seed.sql" TargetMode="External"/><Relationship Id="rHl17" Type="http://schemas.openxmlformats.org/officeDocument/2006/relationships/hyperlink" Target="https://github.com/Evans4207/my-defender-will-trust/tree/main/src/components/interview" TargetMode="External"/><Relationship Id="rHl18" Type="http://schemas.openxmlformats.org/officeDocument/2006/relationships/hyperlink" Target="https://github.com/Evans4207/my-defender-will-trust/tree/main/src/app/%28marketing%29/terms" TargetMode="External"/><Relationship Id="rHl19" Type="http://schemas.openxmlformats.org/officeDocument/2006/relationships/hyperlink" Target="https://github.com/Evans4207/my-defender-will-trust/tree/main/src/app/%28marketing%29/privacy" TargetMode="External"/><Relationship Id="rHl20" Type="http://schemas.openxmlformats.org/officeDocument/2006/relationships/hyperlink" Target="https://github.com/Evans4207/my-defender-will-trust/tree/main/src/app/%28app%29/account/export" TargetMode="External"/><Relationship Id="rHl21" Type="http://schemas.openxmlformats.org/officeDocument/2006/relationships/hyperlink" Target="https://github.com/Evans4207/my-defender-will-trust/tree/main/src/app/%28app%29/vault" TargetMode="External"/><Relationship Id="rHl22" Type="http://schemas.openxmlformats.org/officeDocument/2006/relationships/hyperlink" Target="https://github.com/Evans4207/my-defender-will-trust/blob/main/docs/MARKETING_GUIDE.md" TargetMode="External"/><Relationship Id="rHl23" Type="http://schemas.openxmlformats.org/officeDocument/2006/relationships/hyperlink" Target="https://github.com/Evans4207/my-defender-will-trust/blob/main/supabase/migrations/20260712000011_state_qa.sql" TargetMode="External"/><Relationship Id="rHl24" Type="http://schemas.openxmlformats.org/officeDocument/2006/relationships/hyperlink" Target="https://github.com/Evans4207/my-defender-will-trust/blob/main/supabase/migrations/20260712000014_entitlement_grants.sql" TargetMode="External"/><Relationship Id="rHl25" Type="http://schemas.openxmlformats.org/officeDocument/2006/relationships/hyperlink" Target="https://github.com/Evans4207/my-defender-will-trust/blob/main/src/lib/entitlements.ts" TargetMode="External"/><Relationship Id="rHlIndex" Type="http://schemas.openxmlformats.org/officeDocument/2006/relationships/hyperlink" Target="https://github.com/Evans4207/my-defender-will-trust/blob/main/docs/STATE_REVIEW_INDEX.md"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2026-07-29T23:23:18.839Z</dcterms:created>
  <dcterms:modified xsi:type="dcterms:W3CDTF">2026-07-29T23:23:18.839Z</dcterms:modified>
</cp:coreProperties>
</file>

<file path=docProps/custom.xml><?xml version="1.0" encoding="utf-8"?>
<Properties xmlns="http://schemas.openxmlformats.org/officeDocument/2006/custom-properties" xmlns:vt="http://schemas.openxmlformats.org/officeDocument/2006/docPropsVTypes"/>
</file>