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92C46"/>
          <w:sz w:val="28"/>
          <w:szCs w:val="28"/>
        </w:rPr>
        <w:t xml:space="preserve">MY DEFENDER WILL &amp; TRUST</w:t>
      </w:r>
    </w:p>
    <w:p>
      <w:pPr>
        <w:pBdr>
          <w:bottom w:val="single" w:color="192C46" w:sz="14" w:space="5"/>
        </w:pBdr>
        <w:spacing w:after="240"/>
      </w:pPr>
      <w:r>
        <w:rPr>
          <w:rFonts w:ascii="Calibri" w:cs="Calibri" w:eastAsia="Calibri" w:hAnsi="Calibri"/>
          <w:color w:val="5A6472"/>
          <w:sz w:val="20"/>
          <w:szCs w:val="20"/>
        </w:rPr>
        <w:t xml:space="preserve">Legal Review Checklist — everything requiring counsel sign-off before launch</w:t>
      </w:r>
    </w:p>
    <w:p>
      <w:pPr>
        <w:spacing w:after="120" w:line="260"/>
      </w:pPr>
      <w:r>
        <w:rPr>
          <w:rFonts w:ascii="Calibri" w:cs="Calibri" w:eastAsia="Calibri" w:hAnsi="Calibri"/>
          <w:i w:val="false"/>
          <w:iCs w:val="false"/>
          <w:color w:val="1A2230"/>
          <w:sz w:val="19"/>
          <w:szCs w:val="19"/>
        </w:rPr>
        <w:t xml:space="preserve">This checklist covers a self-help legal document platform that produces a state-compliant Last Will &amp; Testament or Revocable Living Trust, each with a durable financial power of attorney, a healthcare directive and a HIPAA authorisation. It is functionally complete and in internal testing. It has not processed a live payment and is not publicly indexed. Nothing ships until the items below are cleared.</w:t>
      </w:r>
    </w:p>
    <w:p>
      <w:pPr>
        <w:spacing w:after="120" w:line="260"/>
      </w:pPr>
      <w:r>
        <w:rPr>
          <w:rFonts w:ascii="Calibri" w:cs="Calibri" w:eastAsia="Calibri" w:hAnsi="Calibri"/>
          <w:i w:val="false"/>
          <w:iCs w:val="false"/>
          <w:color w:val="1A2230"/>
          <w:sz w:val="19"/>
          <w:szCs w:val="19"/>
        </w:rPr>
        <w:t xml:space="preserve">Every generated document currently carries placeholder clause text marked [ATTORNEY REVIEW REQUIRED]. All 51 seeded jurisdictions carry needs_review = true and are not approved for use. These are deliberate safeguards, not oversights.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How to use this document. </w:t>
      </w:r>
      <w:r>
        <w:rPr>
          <w:rFonts w:ascii="Calibri" w:cs="Calibri" w:eastAsia="Calibri" w:hAnsi="Calibri"/>
          <w:color w:val="1A2230"/>
          <w:sz w:val="19"/>
          <w:szCs w:val="19"/>
        </w:rPr>
        <w:t xml:space="preserve">Items are grouped A to H. Section A blocks all revenue. Section B blocks each state individually. Sections C, D and H carry the highest regulatory exposure. Where an item names a file, that is where the text or logic lives in the codebase and where approved language will be placed.</w:t>
      </w:r>
    </w:p>
    <w:p>
      <w:pPr>
        <w:spacing w:after="120" w:line="260"/>
      </w:pPr>
      <w:r>
        <w:rPr>
          <w:rFonts w:ascii="Calibri" w:cs="Calibri" w:eastAsia="Calibri" w:hAnsi="Calibri"/>
          <w:i/>
          <w:iCs/>
          <w:color w:val="5A6472"/>
          <w:sz w:val="17"/>
          <w:szCs w:val="17"/>
        </w:rPr>
        <w:t xml:space="preserve">Prepared for outside counsel by the product team. The underlying build specification and per-state research notes can be supplied in full on request.</w:t>
      </w:r>
    </w:p>
    <w:p>
      <w:pPr>
        <w:keepNext/>
        <w:keepLines/>
        <w:pBdr>
          <w:bottom w:val="single" w:color="8A6B2E" w:sz="8" w:space="3"/>
        </w:pBdr>
        <w:spacing w:after="80" w:before="320"/>
      </w:pPr>
      <w:r>
        <w:rPr>
          <w:rFonts w:ascii="Cambria" w:cs="Cambria" w:eastAsia="Cambria" w:hAnsi="Cambria"/>
          <w:b/>
          <w:bCs/>
          <w:color w:val="8A6B2E"/>
          <w:sz w:val="24"/>
          <w:szCs w:val="24"/>
        </w:rPr>
        <w:t xml:space="preserve">A   </w:t>
      </w:r>
      <w:r>
        <w:rPr>
          <w:rFonts w:ascii="Cambria" w:cs="Cambria" w:eastAsia="Cambria" w:hAnsi="Cambria"/>
          <w:b/>
          <w:bCs/>
          <w:color w:val="192C46"/>
          <w:sz w:val="24"/>
          <w:szCs w:val="24"/>
        </w:rPr>
        <w:t xml:space="preserve">Document content — clause-by-clause approval</w:t>
      </w:r>
    </w:p>
    <w:p>
      <w:pPr>
        <w:spacing w:after="120" w:line="260"/>
      </w:pPr>
      <w:r>
        <w:rPr>
          <w:rFonts w:ascii="Calibri" w:cs="Calibri" w:eastAsia="Calibri" w:hAnsi="Calibri"/>
          <w:i w:val="false"/>
          <w:iCs w:val="false"/>
          <w:color w:val="1A2230"/>
          <w:sz w:val="19"/>
          <w:szCs w:val="19"/>
        </w:rPr>
        <w:t xml:space="preserve">Every clause in every generated document is currently placeholder text carrying an [ATTORNEY REVIEW REQUIRED] marker. Nothing in this section can ship until it is replaced with approved language. The platform assembles documents programmatically from a clause library, so what needs approving is the clause text AND the conditions under which each clause appears.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Last Will &amp; Testament — full clause set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src/lib/documents/will.ts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replace every clause, and confirm the conditions that include or omit each one.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Revocable living trust</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src/lib/documents/trust.ts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clause set including revocability, trustee powers and successor trustee provisions.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Pour-over will</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src/lib/documents/trust.ts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confirm the interaction with the trust.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Durable financial power of attorney</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src/lib/documents/ancillary.ts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 — statutory forms may be mandatory.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Healthcare directive / living will</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src/lib/documents/ancillary.ts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HIPAA authorisation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src/lib/documents/ancillary.ts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clause library</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and confirm the states where it does not apply (see B2).</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Statutory ancillary forms</w:t>
            </w:r>
          </w:p>
          <w:p>
            <w:pPr>
              <w:spacing w:after="0" w:line="250"/>
            </w:pPr>
            <w:r>
              <w:rPr>
                <w:rFonts w:ascii="Calibri" w:cs="Calibri" w:eastAsia="Calibri" w:hAnsi="Calibri"/>
                <w:b w:val="false"/>
                <w:bCs w:val="false"/>
                <w:color w:val="1A2230"/>
                <w:sz w:val="17"/>
                <w:szCs w:val="17"/>
              </w:rPr>
              <w:t xml:space="preserve">The code emits a general placeholder wherever a state publishes its own statutory POA, healthcare or HIPAA form.</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src/lib/documents/ancillary.ts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Identify every state that mandates a statutory form and supply the verbatim text for each.</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A9</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Special provisions</w:t>
            </w:r>
          </w:p>
          <w:p>
            <w:pPr>
              <w:spacing w:after="0" w:line="250"/>
            </w:pPr>
            <w:r>
              <w:rPr>
                <w:rFonts w:ascii="Calibri" w:cs="Calibri" w:eastAsia="Calibri" w:hAnsi="Calibri"/>
                <w:b w:val="false"/>
                <w:bCs w:val="false"/>
                <w:color w:val="1A2230"/>
                <w:sz w:val="17"/>
                <w:szCs w:val="17"/>
              </w:rPr>
              <w:t xml:space="preserve">Minor’s trust age, pet care paragraph, digital assets authority.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src/lib/documents/will.ts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each; confirm the digital assets clause interacts correctly with F1.</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A10</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 mirror documents</w:t>
            </w:r>
          </w:p>
          <w:p>
            <w:pPr>
              <w:spacing w:after="0" w:line="250"/>
            </w:pPr>
            <w:r>
              <w:rPr>
                <w:rFonts w:ascii="Calibri" w:cs="Calibri" w:eastAsia="Calibri" w:hAnsi="Calibri"/>
                <w:b w:val="false"/>
                <w:bCs w:val="false"/>
                <w:color w:val="1A2230"/>
                <w:sz w:val="17"/>
                <w:szCs w:val="17"/>
              </w:rPr>
              <w:t xml:space="preserve">Reciprocal wills, reciprocal directives and one joint trust naming both spouses. Generation is built and works.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src/lib/documents/couples.ts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mirroring approach and the joint trust language. NOTE: this tier is not currently on sale — see F6.</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Production document footer</w:t>
            </w:r>
          </w:p>
          <w:p>
            <w:pPr>
              <w:spacing w:after="0" w:line="250"/>
            </w:pPr>
            <w:r>
              <w:rPr>
                <w:rFonts w:ascii="Calibri" w:cs="Calibri" w:eastAsia="Calibri" w:hAnsi="Calibri"/>
                <w:b w:val="false"/>
                <w:bCs w:val="false"/>
                <w:color w:val="1A2230"/>
                <w:sz w:val="17"/>
                <w:szCs w:val="17"/>
              </w:rPr>
              <w:t xml:space="preserve">Every generated page currently reads “DRAFT — [ATTORNEY REVIEW REQUIRED] — not legal advice”.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src/lib/documents/docx.ts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production footer for executed and unexecuted output.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instructions</w:t>
            </w:r>
          </w:p>
          <w:p>
            <w:pPr>
              <w:spacing w:after="0" w:line="250"/>
            </w:pPr>
            <w:r>
              <w:rPr>
                <w:rFonts w:ascii="Calibri" w:cs="Calibri" w:eastAsia="Calibri" w:hAnsi="Calibri"/>
                <w:b w:val="false"/>
                <w:bCs w:val="false"/>
                <w:color w:val="1A2230"/>
                <w:sz w:val="17"/>
                <w:szCs w:val="17"/>
              </w:rPr>
              <w:t xml:space="preserve">Per-state signing guidance issued with each document.</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src/lib/documents/execution-instructions.ts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wording per state.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B   </w:t>
      </w:r>
      <w:r>
        <w:rPr>
          <w:rFonts w:ascii="Cambria" w:cs="Cambria" w:eastAsia="Cambria" w:hAnsi="Cambria"/>
          <w:b/>
          <w:bCs/>
          <w:color w:val="192C46"/>
          <w:sz w:val="24"/>
          <w:szCs w:val="24"/>
        </w:rPr>
        <w:t xml:space="preserve">Per-state compliance</w:t>
      </w:r>
    </w:p>
    <w:p>
      <w:pPr>
        <w:spacing w:after="120" w:line="260"/>
      </w:pPr>
      <w:r>
        <w:rPr>
          <w:rFonts w:ascii="Calibri" w:cs="Calibri" w:eastAsia="Calibri" w:hAnsi="Calibri"/>
          <w:i w:val="false"/>
          <w:iCs w:val="false"/>
          <w:color w:val="1A2230"/>
          <w:sz w:val="19"/>
          <w:szCs w:val="19"/>
        </w:rPr>
        <w:t xml:space="preserve">The platform is data-driven: all execution rules live in a state_rules table, and a state cannot go live until its active flag is set. That flag is an attorney decision and must never be set by a developer.</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Critical. </w:t>
      </w:r>
      <w:r>
        <w:rPr>
          <w:rFonts w:ascii="Calibri" w:cs="Calibri" w:eastAsia="Calibri" w:hAnsi="Calibri"/>
          <w:color w:val="1A2230"/>
          <w:sz w:val="19"/>
          <w:szCs w:val="19"/>
        </w:rPr>
        <w:t xml:space="preserve">Every one of the 51 seeded jurisdictions currently carries needs_review = true and qa_approved = false. Each row records a citation and a checked_at date from desk research that has NOT been verified by counsel.</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formalities, all 51 jurisdictions</w:t>
            </w:r>
          </w:p>
          <w:p>
            <w:pPr>
              <w:spacing w:after="0" w:line="250"/>
            </w:pPr>
            <w:r>
              <w:rPr>
                <w:rFonts w:ascii="Calibri" w:cs="Calibri" w:eastAsia="Calibri" w:hAnsi="Calibri"/>
                <w:b w:val="false"/>
                <w:bCs w:val="false"/>
                <w:color w:val="1A2230"/>
                <w:sz w:val="17"/>
                <w:szCs w:val="17"/>
              </w:rPr>
              <w:t xml:space="preserve">Witness count, notarisation, signature-at-end, witness age and competency.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supabase/seed.sql; migration 20260712000011_state_qa.sql</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Verify each state, then authorise qa_approved and active per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 exceptions</w:t>
            </w:r>
          </w:p>
          <w:p>
            <w:pPr>
              <w:spacing w:after="0" w:line="250"/>
            </w:pPr>
            <w:r>
              <w:rPr>
                <w:rFonts w:ascii="Calibri" w:cs="Calibri" w:eastAsia="Calibri" w:hAnsi="Calibri"/>
                <w:b w:val="false"/>
                <w:bCs w:val="false"/>
                <w:color w:val="1A2230"/>
                <w:sz w:val="17"/>
                <w:szCs w:val="17"/>
              </w:rPr>
              <w:t xml:space="preserve">Desk research flags California as having no classic self-proving affidavit, and Ohio and DC as not offering one for paper wills.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docs/STATE_RULES_QA.md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and identify any further exceptions.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Community property treatment</w:t>
            </w:r>
          </w:p>
          <w:p>
            <w:pPr>
              <w:spacing w:after="0" w:line="250"/>
            </w:pPr>
            <w:r>
              <w:rPr>
                <w:rFonts w:ascii="Calibri" w:cs="Calibri" w:eastAsia="Calibri" w:hAnsi="Calibri"/>
                <w:b w:val="false"/>
                <w:bCs w:val="false"/>
                <w:color w:val="1A2230"/>
                <w:sz w:val="17"/>
                <w:szCs w:val="17"/>
              </w:rPr>
              <w:t xml:space="preserve">Affects trust and will language in nine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list and the language it triggers.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Excluded states</w:t>
            </w:r>
          </w:p>
          <w:p>
            <w:pPr>
              <w:spacing w:after="0" w:line="250"/>
            </w:pPr>
            <w:r>
              <w:rPr>
                <w:rFonts w:ascii="Calibri" w:cs="Calibri" w:eastAsia="Calibri" w:hAnsi="Calibri"/>
                <w:b w:val="false"/>
                <w:bCs w:val="false"/>
                <w:color w:val="1A2230"/>
                <w:sz w:val="17"/>
                <w:szCs w:val="17"/>
              </w:rPr>
              <w:t xml:space="preserve">Louisiana, Texas, North Carolina, Missouri and Ohio are currently switched off.</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supabase/seed.sql</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exclusion or clear it. Texas alone is roughly 9% of the US population.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Louisiana</w:t>
            </w:r>
          </w:p>
          <w:p>
            <w:pPr>
              <w:spacing w:after="0" w:line="250"/>
            </w:pPr>
            <w:r>
              <w:rPr>
                <w:rFonts w:ascii="Calibri" w:cs="Calibri" w:eastAsia="Calibri" w:hAnsi="Calibri"/>
                <w:b w:val="false"/>
                <w:bCs w:val="false"/>
                <w:color w:val="1A2230"/>
                <w:sz w:val="17"/>
                <w:szCs w:val="17"/>
              </w:rPr>
              <w:t xml:space="preserve">Civil law jurisdiction, forced heirship, distinct notarial will forms.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supabase/seed.sql</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to build a Louisiana template set or exclude it permanently.</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Electronic wills</w:t>
            </w:r>
          </w:p>
          <w:p>
            <w:pPr>
              <w:spacing w:after="0" w:line="250"/>
            </w:pPr>
            <w:r>
              <w:rPr>
                <w:rFonts w:ascii="Calibri" w:cs="Calibri" w:eastAsia="Calibri" w:hAnsi="Calibri"/>
                <w:b w:val="false"/>
                <w:bCs w:val="false"/>
                <w:color w:val="1A2230"/>
                <w:sz w:val="17"/>
                <w:szCs w:val="17"/>
              </w:rPr>
              <w:t xml:space="preserve">Seeded as not permitted anywhere, with wet signature as the launch position.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and flag any state where an e-will statute now applies.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Template approval workflow</w:t>
            </w:r>
          </w:p>
          <w:p>
            <w:pPr>
              <w:spacing w:after="0" w:line="250"/>
            </w:pPr>
            <w:r>
              <w:rPr>
                <w:rFonts w:ascii="Calibri" w:cs="Calibri" w:eastAsia="Calibri" w:hAnsi="Calibri"/>
                <w:b w:val="false"/>
                <w:bCs w:val="false"/>
                <w:color w:val="1A2230"/>
                <w:sz w:val="17"/>
                <w:szCs w:val="17"/>
              </w:rPr>
              <w:t xml:space="preserve">Seven document_templates rows are currently approved = false. The admin approval action is the attorney’s gate.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admin approval workflow</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approval record captures what it needs to (who approved, when, which version).</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C   </w:t>
      </w:r>
      <w:r>
        <w:rPr>
          <w:rFonts w:ascii="Cambria" w:cs="Cambria" w:eastAsia="Cambria" w:hAnsi="Cambria"/>
          <w:b/>
          <w:bCs/>
          <w:color w:val="192C46"/>
          <w:sz w:val="24"/>
          <w:szCs w:val="24"/>
        </w:rPr>
        <w:t xml:space="preserve">Unauthorised practice of law</w:t>
      </w:r>
    </w:p>
    <w:p>
      <w:pPr>
        <w:spacing w:after="120" w:line="260"/>
      </w:pPr>
      <w:r>
        <w:rPr>
          <w:rFonts w:ascii="Calibri" w:cs="Calibri" w:eastAsia="Calibri" w:hAnsi="Calibri"/>
          <w:i w:val="false"/>
          <w:iCs w:val="false"/>
          <w:color w:val="1A2230"/>
          <w:sz w:val="19"/>
          <w:szCs w:val="19"/>
        </w:rPr>
        <w:t xml:space="preserve">The product is positioned as self-help document preparation: not a law firm, no legal advice, no attorney-client relationship. That posture is built into the interface, but it has never been reviewed as a whole.</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UPL review of the entire product flow</w:t>
            </w:r>
          </w:p>
          <w:p>
            <w:pPr>
              <w:spacing w:after="0" w:line="250"/>
            </w:pPr>
            <w:r>
              <w:rPr>
                <w:rFonts w:ascii="Calibri" w:cs="Calibri" w:eastAsia="Calibri" w:hAnsi="Calibri"/>
                <w:b w:val="false"/>
                <w:bCs w:val="false"/>
                <w:color w:val="1A2230"/>
                <w:sz w:val="17"/>
                <w:szCs w:val="17"/>
              </w:rPr>
              <w:t xml:space="preserve">From landing page through interview, generation, delivery and support.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 written opinion per launch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Explainer copy neutrality</w:t>
            </w:r>
          </w:p>
          <w:p>
            <w:pPr>
              <w:spacing w:after="0" w:line="250"/>
            </w:pPr>
            <w:r>
              <w:rPr>
                <w:rFonts w:ascii="Calibri" w:cs="Calibri" w:eastAsia="Calibri" w:hAnsi="Calibri"/>
                <w:b w:val="false"/>
                <w:bCs w:val="false"/>
                <w:color w:val="1A2230"/>
                <w:sz w:val="17"/>
                <w:szCs w:val="17"/>
              </w:rPr>
              <w:t xml:space="preserve">Every “what this means” string must be educational, never “you should choose X”.</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src/components/interview</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explainer text.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Complexity triggers</w:t>
            </w:r>
          </w:p>
          <w:p>
            <w:pPr>
              <w:spacing w:after="0" w:line="250"/>
            </w:pPr>
            <w:r>
              <w:rPr>
                <w:rFonts w:ascii="Calibri" w:cs="Calibri" w:eastAsia="Calibri" w:hAnsi="Calibri"/>
                <w:b w:val="false"/>
                <w:bCs w:val="false"/>
                <w:color w:val="1A2230"/>
                <w:sz w:val="17"/>
                <w:szCs w:val="17"/>
              </w:rPr>
              <w:t xml:space="preserve">Business ownership, trusts and international assets should raise an attorney-review interstitial.</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interview logic</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trigger list is adequate and the wording is right.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Find-an-attorney referrals</w:t>
            </w:r>
          </w:p>
          <w:p>
            <w:pPr>
              <w:spacing w:after="0" w:line="250"/>
            </w:pPr>
            <w:r>
              <w:rPr>
                <w:rFonts w:ascii="Calibri" w:cs="Calibri" w:eastAsia="Calibri" w:hAnsi="Calibri"/>
                <w:b w:val="false"/>
                <w:bCs w:val="false"/>
                <w:color w:val="1A2230"/>
                <w:sz w:val="17"/>
                <w:szCs w:val="17"/>
              </w:rPr>
              <w:t xml:space="preserve">State bar referral listings with an ABA fallback.</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src/lib/attorney-referrals.ts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referral presentation is permissible in each launch state.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and affiliate channel</w:t>
            </w:r>
          </w:p>
          <w:p>
            <w:pPr>
              <w:spacing w:after="0" w:line="250"/>
            </w:pPr>
            <w:r>
              <w:rPr>
                <w:rFonts w:ascii="Calibri" w:cs="Calibri" w:eastAsia="Calibri" w:hAnsi="Calibri"/>
                <w:b w:val="false"/>
                <w:bCs w:val="false"/>
                <w:color w:val="1A2230"/>
                <w:sz w:val="17"/>
                <w:szCs w:val="17"/>
              </w:rPr>
              <w:t xml:space="preserve">Access codes are distributed by affiliated companies — law firms and a tax resolution client base — some at a commission or discount.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distributing a legal-adjacent product through these channels, at a commission, is permissible in each launch state. Fee-splitting and referral-fee rules vary and some states prohibit paying for legal referrals.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Credibility claims</w:t>
            </w:r>
          </w:p>
          <w:p>
            <w:pPr>
              <w:spacing w:after="0" w:line="250"/>
            </w:pPr>
            <w:r>
              <w:rPr>
                <w:rFonts w:ascii="Calibri" w:cs="Calibri" w:eastAsia="Calibri" w:hAnsi="Calibri"/>
                <w:b w:val="false"/>
                <w:bCs w:val="false"/>
                <w:color w:val="1A2230"/>
                <w:sz w:val="17"/>
                <w:szCs w:val="17"/>
              </w:rPr>
              <w:t xml:space="preserve">Review every marketing claim about document quality, and any suggestion of attorney involvement or equivalence.</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docs/MARKETING_GUIDE.md; marketing pages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revise. These are the highest-risk claims in the copy.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Support boundaries</w:t>
            </w:r>
          </w:p>
          <w:p>
            <w:pPr>
              <w:spacing w:after="0" w:line="250"/>
            </w:pPr>
            <w:r>
              <w:rPr>
                <w:rFonts w:ascii="Calibri" w:cs="Calibri" w:eastAsia="Calibri" w:hAnsi="Calibri"/>
                <w:b w:val="false"/>
                <w:bCs w:val="false"/>
                <w:color w:val="1A2230"/>
                <w:sz w:val="17"/>
                <w:szCs w:val="17"/>
              </w:rPr>
              <w:t xml:space="preserve">What the support channel may and may not answer once real customers ask “which should I choose?”.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a scripted boundary and an escalation rule.</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D   </w:t>
      </w:r>
      <w:r>
        <w:rPr>
          <w:rFonts w:ascii="Cambria" w:cs="Cambria" w:eastAsia="Cambria" w:hAnsi="Cambria"/>
          <w:b/>
          <w:bCs/>
          <w:color w:val="192C46"/>
          <w:sz w:val="24"/>
          <w:szCs w:val="24"/>
        </w:rPr>
        <w:t xml:space="preserve">Disclaimers, terms and policies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Self-help disclaimers</w:t>
            </w:r>
          </w:p>
          <w:p>
            <w:pPr>
              <w:spacing w:after="0" w:line="250"/>
            </w:pPr>
            <w:r>
              <w:rPr>
                <w:rFonts w:ascii="Calibri" w:cs="Calibri" w:eastAsia="Calibri" w:hAnsi="Calibri"/>
                <w:b w:val="false"/>
                <w:bCs w:val="false"/>
                <w:color w:val="1A2230"/>
                <w:sz w:val="17"/>
                <w:szCs w:val="17"/>
              </w:rPr>
              <w:t xml:space="preserve">Five exported strings, all placeholder: full and short disclaimer, generation acknowledgment label, attorney-review recommendation.</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src/lib/legal.ts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final wording for each.</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version tracking</w:t>
            </w:r>
          </w:p>
          <w:p>
            <w:pPr>
              <w:spacing w:after="0" w:line="250"/>
            </w:pPr>
            <w:r>
              <w:rPr>
                <w:rFonts w:ascii="Calibri" w:cs="Calibri" w:eastAsia="Calibri" w:hAnsi="Calibri"/>
                <w:b w:val="false"/>
                <w:bCs w:val="false"/>
                <w:color w:val="1A2230"/>
                <w:sz w:val="17"/>
                <w:szCs w:val="17"/>
              </w:rPr>
              <w:t xml:space="preserve">DISCLAIMER_VERSION now reads from the environment and resolves to “unapproved-placeholder” until set; generation refuses to run in production without an approved value. Every consent record written during the test phase carries the placeholder.</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src/lib/legal.ts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version string to use, and advise whether test-phase consent records should be purged.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Terms of Service</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src/app/(marketing)/terms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Include limitation of liability, arbitration, venue and class waiver.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Privacy Policy</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src/app/(marketing)/privacy</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covering retention, deletion and third-party processors.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placement</w:t>
            </w:r>
          </w:p>
          <w:p>
            <w:pPr>
              <w:spacing w:after="0" w:line="250"/>
            </w:pPr>
            <w:r>
              <w:rPr>
                <w:rFonts w:ascii="Calibri" w:cs="Calibri" w:eastAsia="Calibri" w:hAnsi="Calibri"/>
                <w:b w:val="false"/>
                <w:bCs w:val="false"/>
                <w:color w:val="1A2230"/>
                <w:sz w:val="17"/>
                <w:szCs w:val="17"/>
              </w:rPr>
              <w:t xml:space="preserve">Shown at signup, in the interview footer, and at the generation gate, where affirmative acknowledgment is logged to disclaimer_acknowledgments.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multiple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placement and that the acknowledgment is legally adequate.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 policy</w:t>
            </w:r>
          </w:p>
          <w:p>
            <w:pPr>
              <w:spacing w:after="0" w:line="250"/>
            </w:pPr>
            <w:r>
              <w:rPr>
                <w:rFonts w:ascii="Calibri" w:cs="Calibri" w:eastAsia="Calibri" w:hAnsi="Calibri"/>
                <w:b w:val="false"/>
                <w:bCs w:val="false"/>
                <w:color w:val="1A2230"/>
                <w:sz w:val="17"/>
                <w:szCs w:val="17"/>
              </w:rPr>
              <w:t xml:space="preserve">Not yet written. The code now revokes the entitlement automatically on a full refund or a chargeback, and deliberately leaves it intact on a partial refund.</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src/lib/stripe/webhook.ts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and confirm that automatic revocation on refund is the right posture for a document the customer may already have executed.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Advertising claims</w:t>
            </w:r>
          </w:p>
          <w:p>
            <w:pPr>
              <w:spacing w:after="0" w:line="250"/>
            </w:pPr>
            <w:r>
              <w:rPr>
                <w:rFonts w:ascii="Calibri" w:cs="Calibri" w:eastAsia="Calibri" w:hAnsi="Calibri"/>
                <w:b w:val="false"/>
                <w:bCs w:val="false"/>
                <w:color w:val="1A2230"/>
                <w:sz w:val="17"/>
                <w:szCs w:val="17"/>
              </w:rPr>
              <w:t xml:space="preserve">No guarantee of legal outcome; any pricing comparison against attorney fees.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marketing pages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comparative and outcome claims.</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E   </w:t>
      </w:r>
      <w:r>
        <w:rPr>
          <w:rFonts w:ascii="Cambria" w:cs="Cambria" w:eastAsia="Cambria" w:hAnsi="Cambria"/>
          <w:b/>
          <w:bCs/>
          <w:color w:val="192C46"/>
          <w:sz w:val="24"/>
          <w:szCs w:val="24"/>
        </w:rPr>
        <w:t xml:space="preserve">Data protection and privacy</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 privacy law</w:t>
            </w:r>
          </w:p>
          <w:p>
            <w:pPr>
              <w:spacing w:after="0" w:line="250"/>
            </w:pPr>
            <w:r>
              <w:rPr>
                <w:rFonts w:ascii="Calibri" w:cs="Calibri" w:eastAsia="Calibri" w:hAnsi="Calibri"/>
                <w:b w:val="false"/>
                <w:bCs w:val="false"/>
                <w:color w:val="1A2230"/>
                <w:sz w:val="17"/>
                <w:szCs w:val="17"/>
              </w:rPr>
              <w:t xml:space="preserve">California is a launch state; the product collects detailed financial and family data.</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CCPA/CPRA obligations and required disclosures.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Retention schedule</w:t>
            </w:r>
          </w:p>
          <w:p>
            <w:pPr>
              <w:spacing w:after="0" w:line="250"/>
            </w:pPr>
            <w:r>
              <w:rPr>
                <w:rFonts w:ascii="Calibri" w:cs="Calibri" w:eastAsia="Calibri" w:hAnsi="Calibri"/>
                <w:b w:val="false"/>
                <w:bCs w:val="false"/>
                <w:color w:val="1A2230"/>
                <w:sz w:val="17"/>
                <w:szCs w:val="17"/>
              </w:rPr>
              <w:t xml:space="preserve">Executed documents are intended to be retained seven years.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storage policy</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period, and set policy for drafts and abandoned interviews.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Account deletion</w:t>
            </w:r>
          </w:p>
          <w:p>
            <w:pPr>
              <w:spacing w:after="0" w:line="250"/>
            </w:pPr>
            <w:r>
              <w:rPr>
                <w:rFonts w:ascii="Calibri" w:cs="Calibri" w:eastAsia="Calibri" w:hAnsi="Calibri"/>
                <w:b w:val="false"/>
                <w:bCs w:val="false"/>
                <w:color w:val="1A2230"/>
                <w:sz w:val="17"/>
                <w:szCs w:val="17"/>
              </w:rPr>
              <w:t xml:space="preserve">A user-initiated deletion purges storage objects and cascades database rows. audit_log rows survive with the user reference set to null.</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src/lib/account/actions.ts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what must survive deletion, that retaining it is lawful, and whether an anonymised audit row is sufficient.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Data export</w:t>
            </w:r>
          </w:p>
          <w:p>
            <w:pPr>
              <w:spacing w:after="0" w:line="250"/>
            </w:pPr>
            <w:r>
              <w:rPr>
                <w:rFonts w:ascii="Calibri" w:cs="Calibri" w:eastAsia="Calibri" w:hAnsi="Calibri"/>
                <w:b w:val="false"/>
                <w:bCs w:val="false"/>
                <w:color w:val="1A2230"/>
                <w:sz w:val="17"/>
                <w:szCs w:val="17"/>
              </w:rPr>
              <w:t xml:space="preserve">Customers can download every generated document and vault file as a single archive, with no entitlement or membership check.</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src/app/(app)/account/export</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satisfies any access/portability obligation, and that no authorisation gate is required.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CRM integration</w:t>
            </w:r>
          </w:p>
          <w:p>
            <w:pPr>
              <w:spacing w:after="0" w:line="250"/>
            </w:pPr>
            <w:r>
              <w:rPr>
                <w:rFonts w:ascii="Calibri" w:cs="Calibri" w:eastAsia="Calibri" w:hAnsi="Calibri"/>
                <w:b w:val="false"/>
                <w:bCs w:val="false"/>
                <w:color w:val="1A2230"/>
                <w:sz w:val="17"/>
                <w:szCs w:val="17"/>
              </w:rPr>
              <w:t xml:space="preserve">A Salesforce integration is planned. Contact and commercial fields only; document contents never leave the platform.</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docs/CRM_SALESFORCE_PLAN.md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Must be disclosed in the privacy policy before it ships.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Breach notification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obligations and the required response process.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Third-party processors</w:t>
            </w:r>
          </w:p>
          <w:p>
            <w:pPr>
              <w:spacing w:after="0" w:line="250"/>
            </w:pPr>
            <w:r>
              <w:rPr>
                <w:rFonts w:ascii="Calibri" w:cs="Calibri" w:eastAsia="Calibri" w:hAnsi="Calibri"/>
                <w:b w:val="false"/>
                <w:bCs w:val="false"/>
                <w:color w:val="1A2230"/>
                <w:sz w:val="17"/>
                <w:szCs w:val="17"/>
              </w:rPr>
              <w:t xml:space="preserve">Supabase (database and storage), Stripe (payments), Resend (email), and a PDF conversion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infrastructure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is named in the privacy policy and that any required data processing terms are in place.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F   </w:t>
      </w:r>
      <w:r>
        <w:rPr>
          <w:rFonts w:ascii="Cambria" w:cs="Cambria" w:eastAsia="Cambria" w:hAnsi="Cambria"/>
          <w:b/>
          <w:bCs/>
          <w:color w:val="192C46"/>
          <w:sz w:val="24"/>
          <w:szCs w:val="24"/>
        </w:rPr>
        <w:t xml:space="preserve">Access, fiduciaries and death</w:t>
      </w:r>
    </w:p>
    <w:p>
      <w:pPr>
        <w:spacing w:after="120" w:line="260"/>
      </w:pPr>
      <w:r>
        <w:rPr>
          <w:rFonts w:ascii="Calibri" w:cs="Calibri" w:eastAsia="Calibri" w:hAnsi="Calibri"/>
          <w:i w:val="false"/>
          <w:iCs w:val="false"/>
          <w:color w:val="1A2230"/>
          <w:sz w:val="19"/>
          <w:szCs w:val="19"/>
        </w:rPr>
        <w:t xml:space="preserve">Who can reach a document, and when. This is the area with the least precedent, because an estate plan is reached for at exactly the moment its owner cannot authorise access.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Note for counsel. </w:t>
      </w:r>
      <w:r>
        <w:rPr>
          <w:rFonts w:ascii="Calibri" w:cs="Calibri" w:eastAsia="Calibri" w:hAnsi="Calibri"/>
          <w:color w:val="1A2230"/>
          <w:sz w:val="19"/>
          <w:szCs w:val="19"/>
        </w:rPr>
        <w:t xml:space="preserve">Under the Revised Uniform Fiduciary Access to Digital Assets Act, adopted in some form by more than 40 states, an online tool designation made inside a platform ranks ABOVE instructions in a will for access to that account. A designation made in this product would therefore outrank the customer’s own will — both an opportunity and a conflict risk.</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No legacy contact designation exists yet</w:t>
            </w:r>
          </w:p>
          <w:p>
            <w:pPr>
              <w:spacing w:after="0" w:line="250"/>
            </w:pPr>
            <w:r>
              <w:rPr>
                <w:rFonts w:ascii="Calibri" w:cs="Calibri" w:eastAsia="Calibri" w:hAnsi="Calibri"/>
                <w:b w:val="false"/>
                <w:bCs w:val="false"/>
                <w:color w:val="1A2230"/>
                <w:sz w:val="17"/>
                <w:szCs w:val="17"/>
              </w:rPr>
              <w:t xml:space="preserve">There is currently no way for a customer to name who may reach their account after death. Documents are owner-only, resolved through row-level security.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an in-app designation should be built, and if so approve the designation language and its scope as a RUFADAA online tool.</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Release process on death</w:t>
            </w:r>
          </w:p>
          <w:p>
            <w:pPr>
              <w:spacing w:after="0" w:line="250"/>
            </w:pPr>
            <w:r>
              <w:rPr>
                <w:rFonts w:ascii="Calibri" w:cs="Calibri" w:eastAsia="Calibri" w:hAnsi="Calibri"/>
                <w:b w:val="false"/>
                <w:bCs w:val="false"/>
                <w:color w:val="1A2230"/>
                <w:sz w:val="17"/>
                <w:szCs w:val="17"/>
              </w:rPr>
              <w:t xml:space="preserve">No process exists. Today a surviving family member has no route to a document held in the deceased’s account.</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Specify acceptable documentation, who verifies it, and the records to retain.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Named-person notifications</w:t>
            </w:r>
          </w:p>
          <w:p>
            <w:pPr>
              <w:spacing w:after="0" w:line="250"/>
            </w:pPr>
            <w:r>
              <w:rPr>
                <w:rFonts w:ascii="Calibri" w:cs="Calibri" w:eastAsia="Calibri" w:hAnsi="Calibri"/>
                <w:b w:val="false"/>
                <w:bCs w:val="false"/>
                <w:color w:val="1A2230"/>
                <w:sz w:val="17"/>
                <w:szCs w:val="17"/>
              </w:rPr>
              <w:t xml:space="preserve">Telling an executor, healthcare agent or guardian that they have been named would disclose the existence and contents of an estate plan. Nothing is currently sent.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any wording, and confirm whether per-person consent is required. Default is to send nothing.</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Time-critical access</w:t>
            </w:r>
          </w:p>
          <w:p>
            <w:pPr>
              <w:spacing w:after="0" w:line="250"/>
            </w:pPr>
            <w:r>
              <w:rPr>
                <w:rFonts w:ascii="Calibri" w:cs="Calibri" w:eastAsia="Calibri" w:hAnsi="Calibri"/>
                <w:b w:val="false"/>
                <w:bCs w:val="false"/>
                <w:color w:val="1A2230"/>
                <w:sz w:val="17"/>
                <w:szCs w:val="17"/>
              </w:rPr>
              <w:t xml:space="preserve">A healthcare agent may need the directive within minutes. There is no mechanism to give it to them.</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 share-on-consent mechanism is permissible and how it should be worded.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Ownership is permanent</w:t>
            </w:r>
          </w:p>
          <w:p>
            <w:pPr>
              <w:spacing w:after="0" w:line="250"/>
            </w:pPr>
            <w:r>
              <w:rPr>
                <w:rFonts w:ascii="Calibri" w:cs="Calibri" w:eastAsia="Calibri" w:hAnsi="Calibri"/>
                <w:b w:val="false"/>
                <w:bCs w:val="false"/>
                <w:color w:val="1A2230"/>
                <w:sz w:val="17"/>
                <w:szCs w:val="17"/>
              </w:rPr>
              <w:t xml:space="preserve">Will and Trust are one-time purchases. Access is now recorded as a grant with no expiry, so it cannot lapse; only a refund or chargeback revokes it. Generated documents remain downloadable regardless.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migration 20260712000014; src/lib/entitlements.ts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is the right posture, and that a customer must retain access to an executed document they paid for.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one account holds both spouses’ documents</w:t>
            </w:r>
          </w:p>
          <w:p>
            <w:pPr>
              <w:spacing w:after="0" w:line="250"/>
            </w:pPr>
            <w:r>
              <w:rPr>
                <w:rFonts w:ascii="Calibri" w:cs="Calibri" w:eastAsia="Calibri" w:hAnsi="Calibri"/>
                <w:b w:val="false"/>
                <w:bCs w:val="false"/>
                <w:color w:val="1A2230"/>
                <w:sz w:val="17"/>
                <w:szCs w:val="17"/>
              </w:rPr>
              <w:t xml:space="preserve">The tier is CLOSED for this reason. Generation produces both spouses’ full sets, but they land in one account and the second spouse gets no login. If the account holder dies, the survivor cannot reach the will that names them.</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src/lib/features.ts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the risk of having sold this during testing, if any sales occurred, and on what the household model must guarantee before the tier reopens.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Vault access after a membership lapses</w:t>
            </w:r>
          </w:p>
          <w:p>
            <w:pPr>
              <w:spacing w:after="0" w:line="250"/>
            </w:pPr>
            <w:r>
              <w:rPr>
                <w:rFonts w:ascii="Calibri" w:cs="Calibri" w:eastAsia="Calibri" w:hAnsi="Calibri"/>
                <w:b w:val="false"/>
                <w:bCs w:val="false"/>
                <w:color w:val="1A2230"/>
                <w:sz w:val="17"/>
                <w:szCs w:val="17"/>
              </w:rPr>
              <w:t xml:space="preserve">Members upload their own documents. Uploading now requires an active membership; downloading and exporting do not, and remain available permanently.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src/app/(app)/vault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adequacy, and flag any consumer-protection concern with restricting a customer’s access to their own uploads.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Staff access to customer records</w:t>
            </w:r>
          </w:p>
          <w:p>
            <w:pPr>
              <w:spacing w:after="0" w:line="250"/>
            </w:pPr>
            <w:r>
              <w:rPr>
                <w:rFonts w:ascii="Calibri" w:cs="Calibri" w:eastAsia="Calibri" w:hAnsi="Calibri"/>
                <w:b w:val="false"/>
                <w:bCs w:val="false"/>
                <w:color w:val="1A2230"/>
                <w:sz w:val="17"/>
                <w:szCs w:val="17"/>
              </w:rPr>
              <w:t xml:space="preserve">Roles are user, reviewer and admin. reviewer is intended as the attorney role. Admin views of customer documents are not currently audited.</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src/lib/auth/role.ts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what an attorney reviewer may see, and whether any staff view of a customer document must be logged.</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G   </w:t>
      </w:r>
      <w:r>
        <w:rPr>
          <w:rFonts w:ascii="Cambria" w:cs="Cambria" w:eastAsia="Cambria" w:hAnsi="Cambria"/>
          <w:b/>
          <w:bCs/>
          <w:color w:val="192C46"/>
          <w:sz w:val="24"/>
          <w:szCs w:val="24"/>
        </w:rPr>
        <w:t xml:space="preserve">Commerce and consumer protection</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Auto-renewing membership</w:t>
            </w:r>
          </w:p>
          <w:p>
            <w:pPr>
              <w:spacing w:after="0" w:line="250"/>
            </w:pPr>
            <w:r>
              <w:rPr>
                <w:rFonts w:ascii="Calibri" w:cs="Calibri" w:eastAsia="Calibri" w:hAnsi="Calibri"/>
                <w:b w:val="false"/>
                <w:bCs w:val="false"/>
                <w:color w:val="1A2230"/>
                <w:sz w:val="17"/>
                <w:szCs w:val="17"/>
              </w:rPr>
              <w:t xml:space="preserve">The annual membership renews automatically.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pricing; Stripe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California’s automatic renewal law imposes strict disclosure, affirmative consent and cancellation requirements. Confirm compliance.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Published pricing</w:t>
            </w:r>
          </w:p>
          <w:p>
            <w:pPr>
              <w:spacing w:after="0" w:line="250"/>
            </w:pPr>
            <w:r>
              <w:rPr>
                <w:rFonts w:ascii="Calibri" w:cs="Calibri" w:eastAsia="Calibri" w:hAnsi="Calibri"/>
                <w:b w:val="false"/>
                <w:bCs w:val="false"/>
                <w:color w:val="1A2230"/>
                <w:sz w:val="17"/>
                <w:szCs w:val="17"/>
              </w:rPr>
              <w:t xml:space="preserve">Prices are set in code and carry an owner-approval requirement.</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src/lib/pricing.ts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any obligation to honour a published price for a period.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discount and comp codes</w:t>
            </w:r>
          </w:p>
          <w:p>
            <w:pPr>
              <w:spacing w:after="0" w:line="250"/>
            </w:pPr>
            <w:r>
              <w:rPr>
                <w:rFonts w:ascii="Calibri" w:cs="Calibri" w:eastAsia="Calibri" w:hAnsi="Calibri"/>
                <w:b w:val="false"/>
                <w:bCs w:val="false"/>
                <w:color w:val="1A2230"/>
                <w:sz w:val="17"/>
                <w:szCs w:val="17"/>
              </w:rPr>
              <w:t xml:space="preserve">Codes range from a percentage discount to 100% comp, which grants the product outright.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a routinely discounted list price is defensible, and that a comp grant creates no different obligation.</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Refunds and chargebacks</w:t>
            </w:r>
          </w:p>
          <w:p>
            <w:pPr>
              <w:spacing w:after="0" w:line="250"/>
            </w:pPr>
            <w:r>
              <w:rPr>
                <w:rFonts w:ascii="Calibri" w:cs="Calibri" w:eastAsia="Calibri" w:hAnsi="Calibri"/>
                <w:b w:val="false"/>
                <w:bCs w:val="false"/>
                <w:color w:val="1A2230"/>
                <w:sz w:val="17"/>
                <w:szCs w:val="17"/>
              </w:rPr>
              <w:t xml:space="preserve">A full refund or a chargeback now revokes the entitlement automatically; a partial refund does not.</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src/lib/stripe/webhook.ts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Align the published policy with this behaviour, and advise on a customer who has already executed the document.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pricing during the test phase</w:t>
            </w:r>
          </w:p>
          <w:p>
            <w:pPr>
              <w:spacing w:after="0" w:line="250"/>
            </w:pPr>
            <w:r>
              <w:rPr>
                <w:rFonts w:ascii="Calibri" w:cs="Calibri" w:eastAsia="Calibri" w:hAnsi="Calibri"/>
                <w:b w:val="false"/>
                <w:bCs w:val="false"/>
                <w:color w:val="1A2230"/>
                <w:sz w:val="17"/>
                <w:szCs w:val="17"/>
              </w:rPr>
              <w:t xml:space="preserve">Couples pricing was live earlier in testing. If any couples purchase was taken, both spouses’ documents sit in one account.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remediation if any such sale exists.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Membership perks as inducements</w:t>
            </w:r>
          </w:p>
          <w:p>
            <w:pPr>
              <w:spacing w:after="0" w:line="250"/>
            </w:pPr>
            <w:r>
              <w:rPr>
                <w:rFonts w:ascii="Calibri" w:cs="Calibri" w:eastAsia="Calibri" w:hAnsi="Calibri"/>
                <w:b w:val="false"/>
                <w:bCs w:val="false"/>
                <w:color w:val="1A2230"/>
                <w:sz w:val="17"/>
                <w:szCs w:val="17"/>
              </w:rPr>
              <w:t xml:space="preserve">Unlimited updates, vault, annual checkup and funding tracker.</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membership perks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perk descriptions are not promises the business cannot keep.</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H   </w:t>
      </w:r>
      <w:r>
        <w:rPr>
          <w:rFonts w:ascii="Cambria" w:cs="Cambria" w:eastAsia="Cambria" w:hAnsi="Cambria"/>
          <w:b/>
          <w:bCs/>
          <w:color w:val="192C46"/>
          <w:sz w:val="24"/>
          <w:szCs w:val="24"/>
        </w:rPr>
        <w:t xml:space="preserve">Entity, registration and insurance</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Please advise specifically on this. </w:t>
      </w:r>
      <w:r>
        <w:rPr>
          <w:rFonts w:ascii="Calibri" w:cs="Calibri" w:eastAsia="Calibri" w:hAnsi="Calibri"/>
          <w:color w:val="1A2230"/>
          <w:sz w:val="19"/>
          <w:szCs w:val="19"/>
        </w:rPr>
        <w:t xml:space="preserve">Several states regulate non-attorney legal document preparation directly. California registers and bonds Legal Document Assistants; Arizona operates a certified Legal Document Preparer programme. Confirm whether registration, bonding or disclosure obligations attach to this business, and in which states.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Document preparer registration</w:t>
            </w:r>
          </w:p>
          <w:p>
            <w:pPr>
              <w:spacing w:after="0" w:line="250"/>
            </w:pPr>
            <w:r>
              <w:rPr>
                <w:rFonts w:ascii="Calibri" w:cs="Calibri" w:eastAsia="Calibri" w:hAnsi="Calibri"/>
                <w:b w:val="false"/>
                <w:bCs w:val="false"/>
                <w:color w:val="1A2230"/>
                <w:sz w:val="17"/>
                <w:szCs w:val="17"/>
              </w:rPr>
              <w:t xml:space="preserve">Applies in several states, including likely launch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whether registration or bonding is required, and where.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Contracting entity</w:t>
            </w:r>
          </w:p>
          <w:p>
            <w:pPr>
              <w:spacing w:after="0" w:line="250"/>
            </w:pPr>
            <w:r>
              <w:rPr>
                <w:rFonts w:ascii="Calibri" w:cs="Calibri" w:eastAsia="Calibri" w:hAnsi="Calibri"/>
                <w:b w:val="false"/>
                <w:bCs w:val="false"/>
                <w:color w:val="1A2230"/>
                <w:sz w:val="17"/>
                <w:szCs w:val="17"/>
              </w:rPr>
              <w:t xml:space="preserve">Confirm which entity contracts with customers and appears in the terms.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Professional liability insurance</w:t>
            </w:r>
          </w:p>
          <w:p>
            <w:pPr>
              <w:spacing w:after="0" w:line="250"/>
            </w:pPr>
            <w:r>
              <w:rPr>
                <w:rFonts w:ascii="Calibri" w:cs="Calibri" w:eastAsia="Calibri" w:hAnsi="Calibri"/>
                <w:b w:val="false"/>
                <w:bCs w:val="false"/>
                <w:color w:val="1A2230"/>
                <w:sz w:val="17"/>
                <w:szCs w:val="17"/>
              </w:rPr>
              <w:t xml:space="preserve">Errors and omissions cover for a document preparation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necessity and appropriate limits.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Limitation of liability</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Terms of Service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with arbitration, venue and class waiver as appropriate.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Trademark and brand</w:t>
            </w:r>
          </w:p>
          <w:p>
            <w:pPr>
              <w:spacing w:after="0" w:line="250"/>
            </w:pPr>
            <w:r>
              <w:rPr>
                <w:rFonts w:ascii="Calibri" w:cs="Calibri" w:eastAsia="Calibri" w:hAnsi="Calibri"/>
                <w:b w:val="false"/>
                <w:bCs w:val="false"/>
                <w:color w:val="1A2230"/>
                <w:sz w:val="17"/>
                <w:szCs w:val="17"/>
              </w:rPr>
              <w:t xml:space="preserve">“My Defender” and the Will &amp; Trust sub-brand.</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clearance and on conflict risk with existing users of similar names.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Shared codebase lineage</w:t>
            </w:r>
          </w:p>
          <w:p>
            <w:pPr>
              <w:spacing w:after="0" w:line="250"/>
            </w:pPr>
            <w:r>
              <w:rPr>
                <w:rFonts w:ascii="Calibri" w:cs="Calibri" w:eastAsia="Calibri" w:hAnsi="Calibri"/>
                <w:b w:val="false"/>
                <w:bCs w:val="false"/>
                <w:color w:val="1A2230"/>
                <w:sz w:val="17"/>
                <w:szCs w:val="17"/>
              </w:rPr>
              <w:t xml:space="preserve">A separate business under different ownership runs a branded fork of this codebase. The two are operationally isolated: separate git remotes, databases, payment accounts and customer records.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no cross-liability or IP entanglement, and advise whether anything should be documented between the two.</w:t>
            </w:r>
          </w:p>
        </w:tc>
      </w:tr>
    </w:tbl>
    <w:p>
      <w:pPr>
        <w:pBdr>
          <w:top w:val="single" w:color="D8DDE3" w:sz="4" w:space="8"/>
        </w:pBdr>
        <w:spacing w:before="320"/>
      </w:pPr>
      <w:r>
        <w:rPr>
          <w:rFonts w:ascii="Calibri" w:cs="Calibri" w:eastAsia="Calibri" w:hAnsi="Calibri"/>
          <w:i/>
          <w:iCs/>
          <w:color w:val="5A6472"/>
          <w:sz w:val="16"/>
          <w:szCs w:val="16"/>
        </w:rPr>
        <w:t xml:space="preserve">This checklist was prepared by the product team to scope the legal review. It is not legal advice and does not purport to identify every applicable obligation. Additions from counsel are expected and welcome.</w:t>
      </w:r>
    </w:p>
    <w:sectPr>
      <w:headerReference w:type="default" r:id="rId7"/>
      <w:footerReference w:type="default" r:id="rId8"/>
      <w:pgSz w:w="12240" w:h="15840" w:orient="portrait"/>
      <w:pgMar w:top="108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2"/>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472"/>
        <w:sz w:val="15"/>
        <w:szCs w:val="15"/>
      </w:rPr>
      <w:t xml:space="preserve">My Defender Will &amp; Trust — Legal Review Checklist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2026-07-29T23:23:18.839Z</dcterms:created>
  <dcterms:modified xsi:type="dcterms:W3CDTF">2026-07-29T23:23:18.839Z</dcterms:modified>
</cp:coreProperties>
</file>

<file path=docProps/custom.xml><?xml version="1.0" encoding="utf-8"?>
<Properties xmlns="http://schemas.openxmlformats.org/officeDocument/2006/custom-properties" xmlns:vt="http://schemas.openxmlformats.org/officeDocument/2006/docPropsVTypes"/>
</file>