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Georgia" w:cs="Georgia" w:eastAsia="Georgia" w:hAnsi="Georgia"/>
          <w:color w:val="1f3a5f"/>
          <w:sz w:val="26"/>
          <w:szCs w:val="26"/>
        </w:rPr>
        <w:t xml:space="preserve">My Defender Will &amp; Trust</w:t>
      </w:r>
    </w:p>
    <w:p>
      <w:pPr>
        <w:spacing w:after="80"/>
      </w:pPr>
      <w:r>
        <w:rPr>
          <w:rFonts w:ascii="Georgia" w:cs="Georgia" w:eastAsia="Georgia" w:hAnsi="Georgia"/>
          <w:b/>
          <w:bCs/>
          <w:color w:val="1a1a2e"/>
          <w:sz w:val="40"/>
          <w:szCs w:val="40"/>
        </w:rPr>
        <w:t xml:space="preserve">State Paperwork QA Reference</w:t>
      </w:r>
    </w:p>
    <w:p>
      <w:pPr>
        <w:spacing w:after="200" w:before="60" w:line="276"/>
      </w:pPr>
      <w:r>
        <w:rPr>
          <w:rFonts w:ascii="Georgia" w:cs="Georgia" w:eastAsia="Georgia" w:hAnsi="Georgia"/>
          <w:i/>
          <w:iCs/>
          <w:color w:val="1a1a2e"/>
          <w:sz w:val="20"/>
          <w:szCs w:val="20"/>
        </w:rPr>
        <w:t xml:space="preserve">For Donovan — what correct paperwork looks like in each state, and exactly where to look. Compiled 3 August 2026 directly from the product's live state-rules data and document-generator code, so this document and the site should always agree. If they don't, that disagreement is itself a bug worth logging.</w:t>
      </w:r>
    </w:p>
    <w:p>
      <w:pPr>
        <w:pStyle w:val="Heading1"/>
        <w:keepNext/>
        <w:keepLines/>
        <w:spacing w:after="140" w:before="320"/>
      </w:pPr>
      <w:r>
        <w:rPr>
          <w:rFonts w:ascii="Georgia" w:cs="Georgia" w:eastAsia="Georgia" w:hAnsi="Georgia"/>
          <w:b/>
          <w:bCs/>
          <w:color w:val="1f3a5f"/>
          <w:sz w:val="30"/>
          <w:szCs w:val="30"/>
        </w:rPr>
        <w:t xml:space="preserve">1. How to use this</w:t>
      </w:r>
    </w:p>
    <w:p>
      <w:pPr>
        <w:spacing w:after="120" w:before="60" w:line="276"/>
      </w:pPr>
      <w:r>
        <w:rPr>
          <w:rFonts w:ascii="Georgia" w:cs="Georgia" w:eastAsia="Georgia" w:hAnsi="Georgia"/>
          <w:color w:val="1a1a2e"/>
          <w:sz w:val="21"/>
          <w:szCs w:val="21"/>
        </w:rPr>
        <w:t xml:space="preserve">The documents are data-driven: one generator reads a per-state rule set, so the paperwork differs between states in exactly five visible ways, no more. You do not need to test all 46 live states — you need to test each way the paperwork can differ, plus the states that must refuse to sell. Section 6 gives you a nine-state matrix that covers every variation.</w:t>
      </w:r>
    </w:p>
    <w:p>
      <w:pPr>
        <w:spacing w:after="120" w:before="60" w:line="276"/>
      </w:pPr>
      <w:r>
        <w:rPr>
          <w:rFonts w:ascii="Georgia" w:cs="Georgia" w:eastAsia="Georgia" w:hAnsi="Georgia"/>
          <w:color w:val="1a1a2e"/>
          <w:sz w:val="21"/>
          <w:szCs w:val="21"/>
        </w:rPr>
        <w:t xml:space="preserve">For each test state, check three places:</w:t>
      </w:r>
    </w:p>
    <w:p>
      <w:pPr>
        <w:pStyle w:val="ListParagraph"/>
        <w:numPr>
          <w:ilvl w:val="0"/>
          <w:numId w:val="2"/>
        </w:numPr>
        <w:spacing w:after="70" w:line="264"/>
      </w:pPr>
      <w:r>
        <w:rPr>
          <w:rFonts w:ascii="Georgia" w:cs="Georgia" w:eastAsia="Georgia" w:hAnsi="Georgia"/>
          <w:color w:val="1a1a2e"/>
          <w:sz w:val="21"/>
          <w:szCs w:val="21"/>
        </w:rPr>
        <w:t xml:space="preserve">The generated will (and trust, on a trust plan) — article headings, the affidavit section, and the signature block at the end.</w:t>
      </w:r>
    </w:p>
    <w:p>
      <w:pPr>
        <w:pStyle w:val="ListParagraph"/>
        <w:numPr>
          <w:ilvl w:val="0"/>
          <w:numId w:val="2"/>
        </w:numPr>
        <w:spacing w:after="70" w:line="264"/>
      </w:pPr>
      <w:r>
        <w:rPr>
          <w:rFonts w:ascii="Georgia" w:cs="Georgia" w:eastAsia="Georgia" w:hAnsi="Georgia"/>
          <w:color w:val="1a1a2e"/>
          <w:sz w:val="21"/>
          <w:szCs w:val="21"/>
        </w:rPr>
        <w:t xml:space="preserve">The signing-instructions page and its printable checklist — the numbered steps must match the state's rules in the tables below.</w:t>
      </w:r>
    </w:p>
    <w:p>
      <w:pPr>
        <w:pStyle w:val="ListParagraph"/>
        <w:numPr>
          <w:ilvl w:val="0"/>
          <w:numId w:val="2"/>
        </w:numPr>
        <w:spacing w:after="70" w:line="264"/>
      </w:pPr>
      <w:r>
        <w:rPr>
          <w:rFonts w:ascii="Georgia" w:cs="Georgia" w:eastAsia="Georgia" w:hAnsi="Georgia"/>
          <w:color w:val="1a1a2e"/>
          <w:sz w:val="21"/>
          <w:szCs w:val="21"/>
        </w:rPr>
        <w:t xml:space="preserve">The other documents (POA, healthcare directive, HIPAA) — these are currently the same in every state apart from the state's name. Genuine state-specific forms come after attorney review, so do not expect variation there yet.</w:t>
      </w:r>
    </w:p>
    <w:p>
      <w:pPr>
        <w:pStyle w:val="Heading1"/>
        <w:keepNext/>
        <w:keepLines/>
        <w:spacing w:after="140" w:before="320"/>
      </w:pPr>
      <w:r>
        <w:rPr>
          <w:rFonts w:ascii="Georgia" w:cs="Georgia" w:eastAsia="Georgia" w:hAnsi="Georgia"/>
          <w:b/>
          <w:bCs/>
          <w:color w:val="1f3a5f"/>
          <w:sz w:val="30"/>
          <w:szCs w:val="30"/>
        </w:rPr>
        <w:t xml:space="preserve">2. The same in every state — the baseline</w:t>
      </w:r>
    </w:p>
    <w:p>
      <w:pPr>
        <w:spacing w:after="120" w:before="60" w:line="276"/>
      </w:pPr>
      <w:r>
        <w:rPr>
          <w:rFonts w:ascii="Georgia" w:cs="Georgia" w:eastAsia="Georgia" w:hAnsi="Georgia"/>
          <w:color w:val="1a1a2e"/>
          <w:sz w:val="21"/>
          <w:szCs w:val="21"/>
        </w:rPr>
        <w:t xml:space="preserve">Wherever you test, all of the following hold. Any deviation is a bug.</w:t>
      </w:r>
    </w:p>
    <w:p>
      <w:pPr>
        <w:pStyle w:val="ListParagraph"/>
        <w:numPr>
          <w:ilvl w:val="0"/>
          <w:numId w:val="2"/>
        </w:numPr>
        <w:spacing w:after="70" w:line="264"/>
      </w:pPr>
      <w:r>
        <w:rPr>
          <w:rFonts w:ascii="Georgia" w:cs="Georgia" w:eastAsia="Georgia" w:hAnsi="Georgia"/>
          <w:b/>
          <w:bCs/>
          <w:color w:val="1a1a2e"/>
          <w:sz w:val="21"/>
          <w:szCs w:val="21"/>
        </w:rPr>
        <w:t xml:space="preserve">Two witnesses, always. </w:t>
      </w:r>
      <w:r>
        <w:rPr>
          <w:rFonts w:ascii="Georgia" w:cs="Georgia" w:eastAsia="Georgia" w:hAnsi="Georgia"/>
          <w:color w:val="1a1a2e"/>
          <w:sz w:val="21"/>
          <w:szCs w:val="21"/>
        </w:rPr>
        <w:t xml:space="preserve">Every live state requires exactly 2 witness signature lines in the will and “2 witnesses” in the instructions. There is no live state with 1 or 3.</w:t>
      </w:r>
    </w:p>
    <w:p>
      <w:pPr>
        <w:pStyle w:val="ListParagraph"/>
        <w:numPr>
          <w:ilvl w:val="0"/>
          <w:numId w:val="2"/>
        </w:numPr>
        <w:spacing w:after="70" w:line="264"/>
      </w:pPr>
      <w:r>
        <w:rPr>
          <w:rFonts w:ascii="Georgia" w:cs="Georgia" w:eastAsia="Georgia" w:hAnsi="Georgia"/>
          <w:b/>
          <w:bCs/>
          <w:color w:val="1a1a2e"/>
          <w:sz w:val="21"/>
          <w:szCs w:val="21"/>
        </w:rPr>
        <w:t xml:space="preserve">Wet signatures only. </w:t>
      </w:r>
      <w:r>
        <w:rPr>
          <w:rFonts w:ascii="Georgia" w:cs="Georgia" w:eastAsia="Georgia" w:hAnsi="Georgia"/>
          <w:color w:val="1a1a2e"/>
          <w:sz w:val="21"/>
          <w:szCs w:val="21"/>
        </w:rPr>
        <w:t xml:space="preserve">Some states legally allow electronic wills, but this product deliberately does not offer e-signing anywhere. Instructions must always say print and sign in ink.</w:t>
      </w:r>
    </w:p>
    <w:p>
      <w:pPr>
        <w:pStyle w:val="ListParagraph"/>
        <w:numPr>
          <w:ilvl w:val="0"/>
          <w:numId w:val="2"/>
        </w:numPr>
        <w:spacing w:after="70" w:line="264"/>
      </w:pPr>
      <w:r>
        <w:rPr>
          <w:rFonts w:ascii="Georgia" w:cs="Georgia" w:eastAsia="Georgia" w:hAnsi="Georgia"/>
          <w:b/>
          <w:bCs/>
          <w:color w:val="1a1a2e"/>
          <w:sz w:val="21"/>
          <w:szCs w:val="21"/>
        </w:rPr>
        <w:t xml:space="preserve">The will itself is never notarized. </w:t>
      </w:r>
      <w:r>
        <w:rPr>
          <w:rFonts w:ascii="Georgia" w:cs="Georgia" w:eastAsia="Georgia" w:hAnsi="Georgia"/>
          <w:color w:val="1a1a2e"/>
          <w:sz w:val="21"/>
          <w:szCs w:val="21"/>
        </w:rPr>
        <w:t xml:space="preserve">No live state requires the will to be signed before a notary. A notary appears only for the self-proving affidavit (Section 4.3). If instructions in any live state say the will itself must be notarized, log it.</w:t>
      </w:r>
    </w:p>
    <w:p>
      <w:pPr>
        <w:pStyle w:val="ListParagraph"/>
        <w:numPr>
          <w:ilvl w:val="0"/>
          <w:numId w:val="2"/>
        </w:numPr>
        <w:spacing w:after="70" w:line="264"/>
      </w:pPr>
      <w:r>
        <w:rPr>
          <w:rFonts w:ascii="Georgia" w:cs="Georgia" w:eastAsia="Georgia" w:hAnsi="Georgia"/>
          <w:b/>
          <w:bCs/>
          <w:color w:val="1a1a2e"/>
          <w:sz w:val="21"/>
          <w:szCs w:val="21"/>
        </w:rPr>
        <w:t xml:space="preserve">Witnesses must not be beneficiaries </w:t>
      </w:r>
      <w:r>
        <w:rPr>
          <w:rFonts w:ascii="Georgia" w:cs="Georgia" w:eastAsia="Georgia" w:hAnsi="Georgia"/>
          <w:color w:val="1a1a2e"/>
          <w:sz w:val="21"/>
          <w:szCs w:val="21"/>
        </w:rPr>
        <w:t xml:space="preserve">— that caution appears in the steps and the checklist in every state.</w:t>
      </w:r>
    </w:p>
    <w:p>
      <w:pPr>
        <w:pStyle w:val="ListParagraph"/>
        <w:numPr>
          <w:ilvl w:val="0"/>
          <w:numId w:val="2"/>
        </w:numPr>
        <w:spacing w:after="70" w:line="264"/>
      </w:pPr>
      <w:r>
        <w:rPr>
          <w:rFonts w:ascii="Georgia" w:cs="Georgia" w:eastAsia="Georgia" w:hAnsi="Georgia"/>
          <w:b/>
          <w:bCs/>
          <w:color w:val="1a1a2e"/>
          <w:sz w:val="21"/>
          <w:szCs w:val="21"/>
        </w:rPr>
        <w:t xml:space="preserve">[ATTORNEY REVIEW REQUIRED] markers appear throughout </w:t>
      </w:r>
      <w:r>
        <w:rPr>
          <w:rFonts w:ascii="Georgia" w:cs="Georgia" w:eastAsia="Georgia" w:hAnsi="Georgia"/>
          <w:color w:val="1a1a2e"/>
          <w:sz w:val="21"/>
          <w:szCs w:val="21"/>
        </w:rPr>
        <w:t xml:space="preserve">during the test phase. Expected, not a bug (see Section 7).</w:t>
      </w:r>
    </w:p>
    <w:p>
      <w:pPr>
        <w:pStyle w:val="Heading1"/>
        <w:keepNext/>
        <w:keepLines/>
        <w:spacing w:after="140" w:before="320"/>
      </w:pPr>
      <w:r>
        <w:rPr>
          <w:rFonts w:ascii="Georgia" w:cs="Georgia" w:eastAsia="Georgia" w:hAnsi="Georgia"/>
          <w:b/>
          <w:bCs/>
          <w:color w:val="1f3a5f"/>
          <w:sz w:val="30"/>
          <w:szCs w:val="30"/>
        </w:rPr>
        <w:t xml:space="preserve">3. Five states must refuse to sell</w:t>
      </w:r>
    </w:p>
    <w:p>
      <w:pPr>
        <w:spacing w:after="120" w:before="60" w:line="276"/>
      </w:pPr>
      <w:r>
        <w:rPr>
          <w:rFonts w:ascii="Georgia" w:cs="Georgia" w:eastAsia="Georgia" w:hAnsi="Georgia"/>
          <w:color w:val="1a1a2e"/>
          <w:sz w:val="21"/>
          <w:szCs w:val="21"/>
        </w:rPr>
        <w:t xml:space="preserve">These jurisdictions are switched off. Selecting them must show the “not yet available” waitlist screen. If any of them lets you reach the interview or generate documents, that is a serious bug — log it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shd w:fill="1f3a5f" w:val="clear"/>
            <w:tcMar>
              <w:top w:type="dxa" w:w="50"/>
              <w:left w:type="dxa" w:w="90"/>
              <w:bottom w:type="dxa" w:w="50"/>
              <w:right w:type="dxa" w:w="90"/>
            </w:tcMar>
          </w:tcPr>
          <w:p>
            <w:pPr>
              <w:spacing w:after="0" w:line="240"/>
            </w:pPr>
            <w:r>
              <w:rPr>
                <w:rFonts w:ascii="Georgia" w:cs="Georgia" w:eastAsia="Georgia" w:hAnsi="Georgia"/>
                <w:b/>
                <w:bCs/>
                <w:color w:val="ffffff"/>
                <w:sz w:val="18"/>
                <w:szCs w:val="18"/>
              </w:rPr>
              <w:t xml:space="preserve">State</w:t>
            </w:r>
          </w:p>
        </w:tc>
        <w:tc>
          <w:tcPr>
            <w:tcW w:type="dxa" w:w="2600"/>
            <w:shd w:fill="1f3a5f"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
            </w:r>
          </w:p>
        </w:tc>
        <w:tc>
          <w:tcPr>
            <w:tcW w:type="dxa" w:w="5260"/>
            <w:shd w:fill="1f3a5f" w:val="clear"/>
            <w:tcMar>
              <w:top w:type="dxa" w:w="50"/>
              <w:left w:type="dxa" w:w="90"/>
              <w:bottom w:type="dxa" w:w="50"/>
              <w:right w:type="dxa" w:w="90"/>
            </w:tcMar>
          </w:tcPr>
          <w:p>
            <w:pPr>
              <w:spacing w:after="0" w:line="240"/>
            </w:pPr>
            <w:r>
              <w:rPr>
                <w:rFonts w:ascii="Georgia" w:cs="Georgia" w:eastAsia="Georgia" w:hAnsi="Georgia"/>
                <w:b/>
                <w:bCs/>
                <w:color w:val="ffffff"/>
                <w:sz w:val="18"/>
                <w:szCs w:val="18"/>
              </w:rPr>
              <w:t xml:space="preserve">Why it is off</w:t>
            </w:r>
          </w:p>
        </w:tc>
      </w:tr>
      <w:tr>
        <w:tc>
          <w:tcPr>
            <w:tcW w:type="dxa" w:w="150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LA</w:t>
            </w:r>
          </w:p>
        </w:tc>
        <w:tc>
          <w:tcPr>
            <w:tcW w:type="dxa" w:w="260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Louisiana</w:t>
            </w:r>
          </w:p>
        </w:tc>
        <w:tc>
          <w:tcPr>
            <w:tcW w:type="dxa" w:w="526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Civil-law jurisdiction (notarial wills, forced heirship)</w:t>
            </w:r>
          </w:p>
        </w:tc>
      </w:tr>
      <w:tr>
        <w:tc>
          <w:tcPr>
            <w:tcW w:type="dxa" w:w="1500"/>
            <w:shd w:fill="eef2f7" w:val="clear"/>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MO</w:t>
            </w:r>
          </w:p>
        </w:tc>
        <w:tc>
          <w:tcPr>
            <w:tcW w:type="dxa" w:w="2600"/>
            <w:shd w:fill="eef2f7"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Missouri</w:t>
            </w:r>
          </w:p>
        </w:tc>
        <w:tc>
          <w:tcPr>
            <w:tcW w:type="dxa" w:w="5260"/>
            <w:shd w:fill="eef2f7"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Pending counsel review (UPL history)</w:t>
            </w:r>
          </w:p>
        </w:tc>
      </w:tr>
      <w:tr>
        <w:tc>
          <w:tcPr>
            <w:tcW w:type="dxa" w:w="150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NC</w:t>
            </w:r>
          </w:p>
        </w:tc>
        <w:tc>
          <w:tcPr>
            <w:tcW w:type="dxa" w:w="260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North Carolina</w:t>
            </w:r>
          </w:p>
        </w:tc>
        <w:tc>
          <w:tcPr>
            <w:tcW w:type="dxa" w:w="526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Pending counsel review (UPL history)</w:t>
            </w:r>
          </w:p>
        </w:tc>
      </w:tr>
      <w:tr>
        <w:tc>
          <w:tcPr>
            <w:tcW w:type="dxa" w:w="1500"/>
            <w:shd w:fill="eef2f7" w:val="clear"/>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OH</w:t>
            </w:r>
          </w:p>
        </w:tc>
        <w:tc>
          <w:tcPr>
            <w:tcW w:type="dxa" w:w="2600"/>
            <w:shd w:fill="eef2f7"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Ohio</w:t>
            </w:r>
          </w:p>
        </w:tc>
        <w:tc>
          <w:tcPr>
            <w:tcW w:type="dxa" w:w="5260"/>
            <w:shd w:fill="eef2f7"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Pending counsel review (UPL history)</w:t>
            </w:r>
          </w:p>
        </w:tc>
      </w:tr>
      <w:tr>
        <w:tc>
          <w:tcPr>
            <w:tcW w:type="dxa" w:w="150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TX</w:t>
            </w:r>
          </w:p>
        </w:tc>
        <w:tc>
          <w:tcPr>
            <w:tcW w:type="dxa" w:w="260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Texas</w:t>
            </w:r>
          </w:p>
        </w:tc>
        <w:tc>
          <w:tcPr>
            <w:tcW w:type="dxa" w:w="526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Pending counsel review (UPL history)</w:t>
            </w:r>
          </w:p>
        </w:tc>
      </w:tr>
    </w:tbl>
    <w:p>
      <w:pPr>
        <w:spacing w:after="40" w:before="60" w:line="276"/>
      </w:pPr>
      <w:r>
        <w:rPr>
          <w:rFonts w:ascii="Georgia" w:cs="Georgia" w:eastAsia="Georgia" w:hAnsi="Georgia"/>
          <w:color w:val="1a1a2e"/>
          <w:sz w:val="21"/>
          <w:szCs w:val="21"/>
        </w:rPr>
        <w:t xml:space="preserve"> </w:t>
      </w:r>
    </w:p>
    <w:p>
      <w:pPr>
        <w:pStyle w:val="Heading1"/>
        <w:keepNext/>
        <w:keepLines/>
        <w:spacing w:after="140" w:before="320"/>
      </w:pPr>
      <w:r>
        <w:rPr>
          <w:rFonts w:ascii="Georgia" w:cs="Georgia" w:eastAsia="Georgia" w:hAnsi="Georgia"/>
          <w:b/>
          <w:bCs/>
          <w:color w:val="1f3a5f"/>
          <w:sz w:val="30"/>
          <w:szCs w:val="30"/>
        </w:rPr>
        <w:t xml:space="preserve">4. The five ways paperwork differs by state</w:t>
      </w:r>
    </w:p>
    <w:p>
      <w:pPr>
        <w:pStyle w:val="Heading2"/>
        <w:keepNext/>
        <w:keepLines/>
        <w:spacing w:after="100" w:before="240"/>
      </w:pPr>
      <w:r>
        <w:rPr>
          <w:rFonts w:ascii="Georgia" w:cs="Georgia" w:eastAsia="Georgia" w:hAnsi="Georgia"/>
          <w:b/>
          <w:bCs/>
          <w:color w:val="1f3a5f"/>
          <w:sz w:val="24"/>
          <w:szCs w:val="24"/>
        </w:rPr>
        <w:t xml:space="preserve">4.1 “Sign at the END” states</w:t>
      </w:r>
    </w:p>
    <w:p>
      <w:pPr>
        <w:spacing w:after="120" w:before="60" w:line="276"/>
      </w:pPr>
      <w:r>
        <w:rPr>
          <w:rFonts w:ascii="Georgia" w:cs="Georgia" w:eastAsia="Georgia" w:hAnsi="Georgia"/>
          <w:b/>
          <w:bCs/>
          <w:color w:val="1a1a2e"/>
          <w:sz w:val="21"/>
          <w:szCs w:val="21"/>
        </w:rPr>
        <w:t xml:space="preserve">AR, CT, FL, KS, KY, NY, OK, PA</w:t>
      </w:r>
      <w:r>
        <w:rPr>
          <w:rFonts w:ascii="Georgia" w:cs="Georgia" w:eastAsia="Georgia" w:hAnsi="Georgia"/>
          <w:color w:val="1a1a2e"/>
          <w:sz w:val="21"/>
          <w:szCs w:val="21"/>
        </w:rPr>
        <w:t xml:space="preserve"> (8 live states). The signing instructions must say “Sign your name at the END of the will” and the checklist must read “Signed in ink at the end of the document.” Everywhere else both simply say “Sign your name in ink.”</w:t>
      </w:r>
    </w:p>
    <w:p>
      <w:pPr>
        <w:pStyle w:val="Heading2"/>
        <w:keepNext/>
        <w:keepLines/>
        <w:spacing w:after="100" w:before="240"/>
      </w:pPr>
      <w:r>
        <w:rPr>
          <w:rFonts w:ascii="Georgia" w:cs="Georgia" w:eastAsia="Georgia" w:hAnsi="Georgia"/>
          <w:b/>
          <w:bCs/>
          <w:color w:val="1f3a5f"/>
          <w:sz w:val="24"/>
          <w:szCs w:val="24"/>
        </w:rPr>
        <w:t xml:space="preserve">4.2 Witness minimum-age states</w:t>
      </w:r>
    </w:p>
    <w:p>
      <w:pPr>
        <w:spacing w:after="120" w:before="60" w:line="276"/>
      </w:pPr>
      <w:r>
        <w:rPr>
          <w:rFonts w:ascii="Georgia" w:cs="Georgia" w:eastAsia="Georgia" w:hAnsi="Georgia"/>
          <w:b/>
          <w:bCs/>
          <w:color w:val="1a1a2e"/>
          <w:sz w:val="21"/>
          <w:szCs w:val="21"/>
        </w:rPr>
        <w:t xml:space="preserve">GA (14) and ID (18)</w:t>
      </w:r>
      <w:r>
        <w:rPr>
          <w:rFonts w:ascii="Georgia" w:cs="Georgia" w:eastAsia="Georgia" w:hAnsi="Georgia"/>
          <w:color w:val="1a1a2e"/>
          <w:sz w:val="21"/>
          <w:szCs w:val="21"/>
        </w:rPr>
        <w:t xml:space="preserve"> are the only live states that state a minimum witness age. Their instructions must include “(each at least 14/18 years old)” after the witness count. No other live state mentions an age. (TX 14, OH 18 and LA 16 also carry ages but are excluded states.)</w:t>
      </w:r>
    </w:p>
    <w:p>
      <w:pPr>
        <w:pStyle w:val="Heading2"/>
        <w:keepNext/>
        <w:keepLines/>
        <w:spacing w:after="100" w:before="240"/>
      </w:pPr>
      <w:r>
        <w:rPr>
          <w:rFonts w:ascii="Georgia" w:cs="Georgia" w:eastAsia="Georgia" w:hAnsi="Georgia"/>
          <w:b/>
          <w:bCs/>
          <w:color w:val="1f3a5f"/>
          <w:sz w:val="24"/>
          <w:szCs w:val="24"/>
        </w:rPr>
        <w:t xml:space="preserve">4.3 The self-proving affidavit — four different behaviours</w:t>
      </w:r>
    </w:p>
    <w:p>
      <w:pPr>
        <w:spacing w:after="120" w:before="60" w:line="276"/>
      </w:pPr>
      <w:r>
        <w:rPr>
          <w:rFonts w:ascii="Georgia" w:cs="Georgia" w:eastAsia="Georgia" w:hAnsi="Georgia"/>
          <w:color w:val="1a1a2e"/>
          <w:sz w:val="21"/>
          <w:szCs w:val="21"/>
        </w:rPr>
        <w:t xml:space="preserve">This is the most visible difference. Check the will's final sections and the signature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80"/>
        <w:gridCol w:w="3980"/>
      </w:tblGrid>
      <w:tr>
        <w:trPr>
          <w:tblHeader/>
        </w:trPr>
        <w:tc>
          <w:tcPr>
            <w:tcW w:type="dxa" w:w="2700"/>
            <w:shd w:fill="1f3a5f" w:val="clear"/>
            <w:tcMar>
              <w:top w:type="dxa" w:w="50"/>
              <w:left w:type="dxa" w:w="90"/>
              <w:bottom w:type="dxa" w:w="50"/>
              <w:right w:type="dxa" w:w="90"/>
            </w:tcMar>
          </w:tcPr>
          <w:p>
            <w:pPr>
              <w:spacing w:after="0" w:line="240"/>
            </w:pPr>
            <w:r>
              <w:rPr>
                <w:rFonts w:ascii="Georgia" w:cs="Georgia" w:eastAsia="Georgia" w:hAnsi="Georgia"/>
                <w:b/>
                <w:bCs/>
                <w:color w:val="ffffff"/>
                <w:sz w:val="18"/>
                <w:szCs w:val="18"/>
              </w:rPr>
              <w:t xml:space="preserve">Group</w:t>
            </w:r>
          </w:p>
        </w:tc>
        <w:tc>
          <w:tcPr>
            <w:tcW w:type="dxa" w:w="2680"/>
            <w:shd w:fill="1f3a5f" w:val="clear"/>
            <w:tcMar>
              <w:top w:type="dxa" w:w="50"/>
              <w:left w:type="dxa" w:w="90"/>
              <w:bottom w:type="dxa" w:w="50"/>
              <w:right w:type="dxa" w:w="90"/>
            </w:tcMar>
          </w:tcPr>
          <w:p>
            <w:pPr>
              <w:spacing w:after="0" w:line="240"/>
            </w:pPr>
            <w:r>
              <w:rPr>
                <w:rFonts w:ascii="Georgia" w:cs="Georgia" w:eastAsia="Georgia" w:hAnsi="Georgia"/>
                <w:b/>
                <w:bCs/>
                <w:color w:val="ffffff"/>
                <w:sz w:val="18"/>
                <w:szCs w:val="18"/>
              </w:rPr>
              <w:t xml:space="preserve">States</w:t>
            </w:r>
          </w:p>
        </w:tc>
        <w:tc>
          <w:tcPr>
            <w:tcW w:type="dxa" w:w="3980"/>
            <w:shd w:fill="1f3a5f" w:val="clear"/>
            <w:tcMar>
              <w:top w:type="dxa" w:w="50"/>
              <w:left w:type="dxa" w:w="90"/>
              <w:bottom w:type="dxa" w:w="50"/>
              <w:right w:type="dxa" w:w="90"/>
            </w:tcMar>
          </w:tcPr>
          <w:p>
            <w:pPr>
              <w:spacing w:after="0" w:line="240"/>
            </w:pPr>
            <w:r>
              <w:rPr>
                <w:rFonts w:ascii="Georgia" w:cs="Georgia" w:eastAsia="Georgia" w:hAnsi="Georgia"/>
                <w:b/>
                <w:bCs/>
                <w:color w:val="ffffff"/>
                <w:sz w:val="18"/>
                <w:szCs w:val="18"/>
              </w:rPr>
              <w:t xml:space="preserve">What correct paperwork shows</w:t>
            </w:r>
          </w:p>
        </w:tc>
      </w:tr>
      <w:tr>
        <w:tc>
          <w:tcPr>
            <w:tcW w:type="dxa" w:w="270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Notarized affidavit (the default)</w:t>
            </w:r>
          </w:p>
        </w:tc>
        <w:tc>
          <w:tcPr>
            <w:tcW w:type="dxa" w:w="268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All live states not listed below</w:t>
            </w:r>
          </w:p>
        </w:tc>
        <w:tc>
          <w:tcPr>
            <w:tcW w:type="dxa" w:w="398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Will ends with a “Self-Proving Affidavit” section mentioning a notary; signature block includes a “Notary Public” line; instructions include a notary step.</w:t>
            </w:r>
          </w:p>
        </w:tc>
      </w:tr>
      <w:tr>
        <w:tc>
          <w:tcPr>
            <w:tcW w:type="dxa" w:w="2700"/>
            <w:shd w:fill="eef2f7" w:val="clear"/>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Declaration, no notary</w:t>
            </w:r>
          </w:p>
        </w:tc>
        <w:tc>
          <w:tcPr>
            <w:tcW w:type="dxa" w:w="2680"/>
            <w:shd w:fill="eef2f7" w:val="clear"/>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IL, IN, MD, NV</w:t>
            </w:r>
          </w:p>
        </w:tc>
        <w:tc>
          <w:tcPr>
            <w:tcW w:type="dxa" w:w="3980"/>
            <w:shd w:fill="eef2f7"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Affidavit section says an unsworn declaration “under penalty of perjury” is accepted; NO Notary Public line; instructions say no notary is needed for it.</w:t>
            </w:r>
          </w:p>
        </w:tc>
      </w:tr>
      <w:tr>
        <w:tc>
          <w:tcPr>
            <w:tcW w:type="dxa" w:w="270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No affidavit at all</w:t>
            </w:r>
          </w:p>
        </w:tc>
        <w:tc>
          <w:tcPr>
            <w:tcW w:type="dxa" w:w="268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DC</w:t>
            </w:r>
          </w:p>
        </w:tc>
        <w:tc>
          <w:tcPr>
            <w:tcW w:type="dxa" w:w="398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No Self-Proving Affidavit section anywhere in the will, no notary line, no affidavit step in the instructions.</w:t>
            </w:r>
          </w:p>
        </w:tc>
      </w:tr>
      <w:tr>
        <w:tc>
          <w:tcPr>
            <w:tcW w:type="dxa" w:w="2700"/>
            <w:shd w:fill="eef2f7" w:val="clear"/>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Deliberately omitted</w:t>
            </w:r>
          </w:p>
        </w:tc>
        <w:tc>
          <w:tcPr>
            <w:tcW w:type="dxa" w:w="2680"/>
            <w:shd w:fill="eef2f7" w:val="clear"/>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CA</w:t>
            </w:r>
          </w:p>
        </w:tc>
        <w:tc>
          <w:tcPr>
            <w:tcW w:type="dxa" w:w="3980"/>
            <w:shd w:fill="eef2f7"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A Self-Proving Affidavit section appears but states availability “requires attorney confirmation and is omitted from this draft.” That exact behaviour is correct for California.</w:t>
            </w:r>
          </w:p>
        </w:tc>
      </w:tr>
    </w:tbl>
    <w:p>
      <w:pPr>
        <w:spacing w:after="40" w:before="60" w:line="276"/>
      </w:pPr>
      <w:r>
        <w:rPr>
          <w:rFonts w:ascii="Georgia" w:cs="Georgia" w:eastAsia="Georgia" w:hAnsi="Georgia"/>
          <w:color w:val="1a1a2e"/>
          <w:sz w:val="21"/>
          <w:szCs w:val="21"/>
        </w:rPr>
        <w:t xml:space="preserve"> </w:t>
      </w:r>
    </w:p>
    <w:p>
      <w:pPr>
        <w:pStyle w:val="Heading2"/>
        <w:keepNext/>
        <w:keepLines/>
        <w:spacing w:after="100" w:before="240"/>
      </w:pPr>
      <w:r>
        <w:rPr>
          <w:rFonts w:ascii="Georgia" w:cs="Georgia" w:eastAsia="Georgia" w:hAnsi="Georgia"/>
          <w:b/>
          <w:bCs/>
          <w:color w:val="1f3a5f"/>
          <w:sz w:val="24"/>
          <w:szCs w:val="24"/>
        </w:rPr>
        <w:t xml:space="preserve">4.4 Community-property states</w:t>
      </w:r>
    </w:p>
    <w:p>
      <w:pPr>
        <w:spacing w:after="120" w:before="60" w:line="276"/>
      </w:pPr>
      <w:r>
        <w:rPr>
          <w:rFonts w:ascii="Georgia" w:cs="Georgia" w:eastAsia="Georgia" w:hAnsi="Georgia"/>
          <w:b/>
          <w:bCs/>
          <w:color w:val="1a1a2e"/>
          <w:sz w:val="21"/>
          <w:szCs w:val="21"/>
        </w:rPr>
        <w:t xml:space="preserve">AZ, CA, ID, NM, NV, WA, WI</w:t>
      </w:r>
      <w:r>
        <w:rPr>
          <w:rFonts w:ascii="Georgia" w:cs="Georgia" w:eastAsia="Georgia" w:hAnsi="Georgia"/>
          <w:color w:val="1a1a2e"/>
          <w:sz w:val="21"/>
          <w:szCs w:val="21"/>
        </w:rPr>
        <w:t xml:space="preserve"> (7 live states). The will must contain an article headed “Community Property” saying the will disposes only of separate property and the testator's one-half community interest. On a trust plan, the trust carries its own community-property article. In the other 39 live states this article must NOT appear.</w:t>
      </w:r>
    </w:p>
    <w:p>
      <w:pPr>
        <w:pStyle w:val="Heading2"/>
        <w:keepNext/>
        <w:keepLines/>
        <w:spacing w:after="100" w:before="240"/>
      </w:pPr>
      <w:r>
        <w:rPr>
          <w:rFonts w:ascii="Georgia" w:cs="Georgia" w:eastAsia="Georgia" w:hAnsi="Georgia"/>
          <w:b/>
          <w:bCs/>
          <w:color w:val="1f3a5f"/>
          <w:sz w:val="24"/>
          <w:szCs w:val="24"/>
        </w:rPr>
        <w:t xml:space="preserve">4.5 Witness count — no variation, by design</w:t>
      </w:r>
    </w:p>
    <w:p>
      <w:pPr>
        <w:spacing w:after="120" w:before="60" w:line="276"/>
      </w:pPr>
      <w:r>
        <w:rPr>
          <w:rFonts w:ascii="Georgia" w:cs="Georgia" w:eastAsia="Georgia" w:hAnsi="Georgia"/>
          <w:color w:val="1a1a2e"/>
          <w:sz w:val="21"/>
          <w:szCs w:val="21"/>
        </w:rPr>
        <w:t xml:space="preserve">Included for completeness: the witness count is a per-state rule, but every live state is set to 2. Treat any other number, anywhere, as a data bug.</w:t>
      </w:r>
    </w:p>
    <w:p>
      <w:pPr>
        <w:pStyle w:val="Heading1"/>
        <w:keepNext/>
        <w:keepLines/>
        <w:spacing w:after="140" w:before="320"/>
      </w:pPr>
      <w:r>
        <w:rPr>
          <w:rFonts w:ascii="Georgia" w:cs="Georgia" w:eastAsia="Georgia" w:hAnsi="Georgia"/>
          <w:b/>
          <w:bCs/>
          <w:color w:val="1f3a5f"/>
          <w:sz w:val="30"/>
          <w:szCs w:val="30"/>
        </w:rPr>
        <w:t xml:space="preserve">5. Launch-state profiles — check these four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7" w:val="clear"/>
            <w:tcMar>
              <w:top w:type="dxa" w:w="120"/>
              <w:left w:type="dxa" w:w="160"/>
              <w:bottom w:type="dxa" w:w="120"/>
              <w:right w:type="dxa" w:w="160"/>
            </w:tcMar>
          </w:tcPr>
          <w:p>
            <w:pPr>
              <w:spacing w:after="60"/>
            </w:pPr>
            <w:r>
              <w:rPr>
                <w:rFonts w:ascii="Georgia" w:cs="Georgia" w:eastAsia="Georgia" w:hAnsi="Georgia"/>
                <w:b/>
                <w:bCs/>
                <w:color w:val="1f3a5f"/>
                <w:sz w:val="22"/>
                <w:szCs w:val="22"/>
              </w:rPr>
              <w:t xml:space="preserve">California (CA)</w:t>
            </w:r>
          </w:p>
          <w:p>
            <w:pPr>
              <w:spacing w:after="40" w:line="252"/>
            </w:pPr>
            <w:r>
              <w:rPr>
                <w:rFonts w:ascii="Georgia" w:cs="Georgia" w:eastAsia="Georgia" w:hAnsi="Georgia"/>
                <w:color w:val="1a1a2e"/>
                <w:sz w:val="20"/>
                <w:szCs w:val="20"/>
              </w:rPr>
              <w:t xml:space="preserve">–  2 witnesses, no age note, sign anywhere (no “at the END”)</w:t>
            </w:r>
          </w:p>
          <w:p>
            <w:pPr>
              <w:spacing w:after="40" w:line="252"/>
            </w:pPr>
            <w:r>
              <w:rPr>
                <w:rFonts w:ascii="Georgia" w:cs="Georgia" w:eastAsia="Georgia" w:hAnsi="Georgia"/>
                <w:color w:val="1a1a2e"/>
                <w:sz w:val="20"/>
                <w:szCs w:val="20"/>
              </w:rPr>
              <w:t xml:space="preserve">–  Affidavit section present but says omitted pending attorney confirmation — correct</w:t>
            </w:r>
          </w:p>
          <w:p>
            <w:pPr>
              <w:spacing w:after="40" w:line="252"/>
            </w:pPr>
            <w:r>
              <w:rPr>
                <w:rFonts w:ascii="Georgia" w:cs="Georgia" w:eastAsia="Georgia" w:hAnsi="Georgia"/>
                <w:color w:val="1a1a2e"/>
                <w:sz w:val="20"/>
                <w:szCs w:val="20"/>
              </w:rPr>
              <w:t xml:space="preserve">–  Community Property article present in will and trust</w:t>
            </w:r>
          </w:p>
          <w:p>
            <w:pPr>
              <w:spacing w:after="40" w:line="252"/>
            </w:pPr>
            <w:r>
              <w:rPr>
                <w:rFonts w:ascii="Georgia" w:cs="Georgia" w:eastAsia="Georgia" w:hAnsi="Georgia"/>
                <w:color w:val="1a1a2e"/>
                <w:sz w:val="20"/>
                <w:szCs w:val="20"/>
              </w:rPr>
              <w:t xml:space="preserve">–  No Notary Public line in the signature block</w:t>
            </w:r>
          </w:p>
        </w:tc>
      </w:tr>
    </w:tbl>
    <w:p>
      <w:pPr>
        <w:spacing w:after="60" w:before="60" w:line="276"/>
      </w:pPr>
      <w:r>
        <w:rPr>
          <w:rFonts w:ascii="Georgia" w:cs="Georgia" w:eastAsia="Georgia" w:hAnsi="Georgia"/>
          <w:color w:val="1a1a2e"/>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7" w:val="clear"/>
            <w:tcMar>
              <w:top w:type="dxa" w:w="120"/>
              <w:left w:type="dxa" w:w="160"/>
              <w:bottom w:type="dxa" w:w="120"/>
              <w:right w:type="dxa" w:w="160"/>
            </w:tcMar>
          </w:tcPr>
          <w:p>
            <w:pPr>
              <w:spacing w:after="60"/>
            </w:pPr>
            <w:r>
              <w:rPr>
                <w:rFonts w:ascii="Georgia" w:cs="Georgia" w:eastAsia="Georgia" w:hAnsi="Georgia"/>
                <w:b/>
                <w:bCs/>
                <w:color w:val="1f3a5f"/>
                <w:sz w:val="22"/>
                <w:szCs w:val="22"/>
              </w:rPr>
              <w:t xml:space="preserve">Florida (FL)</w:t>
            </w:r>
          </w:p>
          <w:p>
            <w:pPr>
              <w:spacing w:after="40" w:line="252"/>
            </w:pPr>
            <w:r>
              <w:rPr>
                <w:rFonts w:ascii="Georgia" w:cs="Georgia" w:eastAsia="Georgia" w:hAnsi="Georgia"/>
                <w:color w:val="1a1a2e"/>
                <w:sz w:val="20"/>
                <w:szCs w:val="20"/>
              </w:rPr>
              <w:t xml:space="preserve">–  2 witnesses, no age note</w:t>
            </w:r>
          </w:p>
          <w:p>
            <w:pPr>
              <w:spacing w:after="40" w:line="252"/>
            </w:pPr>
            <w:r>
              <w:rPr>
                <w:rFonts w:ascii="Georgia" w:cs="Georgia" w:eastAsia="Georgia" w:hAnsi="Georgia"/>
                <w:color w:val="1a1a2e"/>
                <w:sz w:val="20"/>
                <w:szCs w:val="20"/>
              </w:rPr>
              <w:t xml:space="preserve">–  “Sign at the END” in instructions; “at the end” in the checklist</w:t>
            </w:r>
          </w:p>
          <w:p>
            <w:pPr>
              <w:spacing w:after="40" w:line="252"/>
            </w:pPr>
            <w:r>
              <w:rPr>
                <w:rFonts w:ascii="Georgia" w:cs="Georgia" w:eastAsia="Georgia" w:hAnsi="Georgia"/>
                <w:color w:val="1a1a2e"/>
                <w:sz w:val="20"/>
                <w:szCs w:val="20"/>
              </w:rPr>
              <w:t xml:space="preserve">–  Notarized self-proving affidavit + Notary Public signature line</w:t>
            </w:r>
          </w:p>
          <w:p>
            <w:pPr>
              <w:spacing w:after="40" w:line="252"/>
            </w:pPr>
            <w:r>
              <w:rPr>
                <w:rFonts w:ascii="Georgia" w:cs="Georgia" w:eastAsia="Georgia" w:hAnsi="Georgia"/>
                <w:color w:val="1a1a2e"/>
                <w:sz w:val="20"/>
                <w:szCs w:val="20"/>
              </w:rPr>
              <w:t xml:space="preserve">–  No Community Property article</w:t>
            </w:r>
          </w:p>
        </w:tc>
      </w:tr>
    </w:tbl>
    <w:p>
      <w:pPr>
        <w:spacing w:after="60" w:before="60" w:line="276"/>
      </w:pPr>
      <w:r>
        <w:rPr>
          <w:rFonts w:ascii="Georgia" w:cs="Georgia" w:eastAsia="Georgia" w:hAnsi="Georgia"/>
          <w:color w:val="1a1a2e"/>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7" w:val="clear"/>
            <w:tcMar>
              <w:top w:type="dxa" w:w="120"/>
              <w:left w:type="dxa" w:w="160"/>
              <w:bottom w:type="dxa" w:w="120"/>
              <w:right w:type="dxa" w:w="160"/>
            </w:tcMar>
          </w:tcPr>
          <w:p>
            <w:pPr>
              <w:spacing w:after="60"/>
            </w:pPr>
            <w:r>
              <w:rPr>
                <w:rFonts w:ascii="Georgia" w:cs="Georgia" w:eastAsia="Georgia" w:hAnsi="Georgia"/>
                <w:b/>
                <w:bCs/>
                <w:color w:val="1f3a5f"/>
                <w:sz w:val="22"/>
                <w:szCs w:val="22"/>
              </w:rPr>
              <w:t xml:space="preserve">Nevada (NV)</w:t>
            </w:r>
          </w:p>
          <w:p>
            <w:pPr>
              <w:spacing w:after="40" w:line="252"/>
            </w:pPr>
            <w:r>
              <w:rPr>
                <w:rFonts w:ascii="Georgia" w:cs="Georgia" w:eastAsia="Georgia" w:hAnsi="Georgia"/>
                <w:color w:val="1a1a2e"/>
                <w:sz w:val="20"/>
                <w:szCs w:val="20"/>
              </w:rPr>
              <w:t xml:space="preserve">–  2 witnesses, no age note, sign anywhere</w:t>
            </w:r>
          </w:p>
          <w:p>
            <w:pPr>
              <w:spacing w:after="40" w:line="252"/>
            </w:pPr>
            <w:r>
              <w:rPr>
                <w:rFonts w:ascii="Georgia" w:cs="Georgia" w:eastAsia="Georgia" w:hAnsi="Georgia"/>
                <w:color w:val="1a1a2e"/>
                <w:sz w:val="20"/>
                <w:szCs w:val="20"/>
              </w:rPr>
              <w:t xml:space="preserve">–  Declaration-style affidavit (“under penalty of perjury”), NO notary line</w:t>
            </w:r>
          </w:p>
          <w:p>
            <w:pPr>
              <w:spacing w:after="40" w:line="252"/>
            </w:pPr>
            <w:r>
              <w:rPr>
                <w:rFonts w:ascii="Georgia" w:cs="Georgia" w:eastAsia="Georgia" w:hAnsi="Georgia"/>
                <w:color w:val="1a1a2e"/>
                <w:sz w:val="20"/>
                <w:szCs w:val="20"/>
              </w:rPr>
              <w:t xml:space="preserve">–  Community Property article present</w:t>
            </w:r>
          </w:p>
        </w:tc>
      </w:tr>
    </w:tbl>
    <w:p>
      <w:pPr>
        <w:spacing w:after="60" w:before="60" w:line="276"/>
      </w:pPr>
      <w:r>
        <w:rPr>
          <w:rFonts w:ascii="Georgia" w:cs="Georgia" w:eastAsia="Georgia" w:hAnsi="Georgia"/>
          <w:color w:val="1a1a2e"/>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7" w:val="clear"/>
            <w:tcMar>
              <w:top w:type="dxa" w:w="120"/>
              <w:left w:type="dxa" w:w="160"/>
              <w:bottom w:type="dxa" w:w="120"/>
              <w:right w:type="dxa" w:w="160"/>
            </w:tcMar>
          </w:tcPr>
          <w:p>
            <w:pPr>
              <w:spacing w:after="60"/>
            </w:pPr>
            <w:r>
              <w:rPr>
                <w:rFonts w:ascii="Georgia" w:cs="Georgia" w:eastAsia="Georgia" w:hAnsi="Georgia"/>
                <w:b/>
                <w:bCs/>
                <w:color w:val="1f3a5f"/>
                <w:sz w:val="22"/>
                <w:szCs w:val="22"/>
              </w:rPr>
              <w:t xml:space="preserve">Arizona (AZ)</w:t>
            </w:r>
          </w:p>
          <w:p>
            <w:pPr>
              <w:spacing w:after="40" w:line="252"/>
            </w:pPr>
            <w:r>
              <w:rPr>
                <w:rFonts w:ascii="Georgia" w:cs="Georgia" w:eastAsia="Georgia" w:hAnsi="Georgia"/>
                <w:color w:val="1a1a2e"/>
                <w:sz w:val="20"/>
                <w:szCs w:val="20"/>
              </w:rPr>
              <w:t xml:space="preserve">–  2 witnesses, no age note, sign anywhere</w:t>
            </w:r>
          </w:p>
          <w:p>
            <w:pPr>
              <w:spacing w:after="40" w:line="252"/>
            </w:pPr>
            <w:r>
              <w:rPr>
                <w:rFonts w:ascii="Georgia" w:cs="Georgia" w:eastAsia="Georgia" w:hAnsi="Georgia"/>
                <w:color w:val="1a1a2e"/>
                <w:sz w:val="20"/>
                <w:szCs w:val="20"/>
              </w:rPr>
              <w:t xml:space="preserve">–  Notarized self-proving affidavit + Notary Public signature line</w:t>
            </w:r>
          </w:p>
          <w:p>
            <w:pPr>
              <w:spacing w:after="40" w:line="252"/>
            </w:pPr>
            <w:r>
              <w:rPr>
                <w:rFonts w:ascii="Georgia" w:cs="Georgia" w:eastAsia="Georgia" w:hAnsi="Georgia"/>
                <w:color w:val="1a1a2e"/>
                <w:sz w:val="20"/>
                <w:szCs w:val="20"/>
              </w:rPr>
              <w:t xml:space="preserve">–  Community Property article present</w:t>
            </w:r>
          </w:p>
        </w:tc>
      </w:tr>
    </w:tbl>
    <w:p>
      <w:pPr>
        <w:spacing w:after="60" w:before="60" w:line="276"/>
      </w:pPr>
      <w:r>
        <w:rPr>
          <w:rFonts w:ascii="Georgia" w:cs="Georgia" w:eastAsia="Georgia" w:hAnsi="Georgia"/>
          <w:color w:val="1a1a2e"/>
          <w:sz w:val="21"/>
          <w:szCs w:val="21"/>
        </w:rPr>
        <w:t xml:space="preserve"> </w:t>
      </w:r>
    </w:p>
    <w:p>
      <w:pPr>
        <w:pStyle w:val="Heading1"/>
        <w:keepNext/>
        <w:keepLines/>
        <w:spacing w:after="140" w:before="320"/>
      </w:pPr>
      <w:r>
        <w:rPr>
          <w:rFonts w:ascii="Georgia" w:cs="Georgia" w:eastAsia="Georgia" w:hAnsi="Georgia"/>
          <w:b/>
          <w:bCs/>
          <w:color w:val="1f3a5f"/>
          <w:sz w:val="30"/>
          <w:szCs w:val="30"/>
        </w:rPr>
        <w:t xml:space="preserve">6. Minimum test matrix — nine states cover everything</w:t>
      </w:r>
    </w:p>
    <w:p>
      <w:pPr>
        <w:spacing w:after="120" w:before="60" w:line="276"/>
      </w:pPr>
      <w:r>
        <w:rPr>
          <w:rFonts w:ascii="Georgia" w:cs="Georgia" w:eastAsia="Georgia" w:hAnsi="Georgia"/>
          <w:color w:val="1a1a2e"/>
          <w:sz w:val="21"/>
          <w:szCs w:val="21"/>
        </w:rPr>
        <w:t xml:space="preserve">Run a full document generation in each of these and check the listed behaviours. Together they exercise every variation in Section 4 plus the refusal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1f3a5f" w:val="clear"/>
            <w:tcMar>
              <w:top w:type="dxa" w:w="50"/>
              <w:left w:type="dxa" w:w="90"/>
              <w:bottom w:type="dxa" w:w="50"/>
              <w:right w:type="dxa" w:w="90"/>
            </w:tcMar>
          </w:tcPr>
          <w:p>
            <w:pPr>
              <w:spacing w:after="0" w:line="240"/>
            </w:pPr>
            <w:r>
              <w:rPr>
                <w:rFonts w:ascii="Georgia" w:cs="Georgia" w:eastAsia="Georgia" w:hAnsi="Georgia"/>
                <w:b/>
                <w:bCs/>
                <w:color w:val="ffffff"/>
                <w:sz w:val="18"/>
                <w:szCs w:val="18"/>
              </w:rPr>
              <w:t xml:space="preserve">State</w:t>
            </w:r>
          </w:p>
        </w:tc>
        <w:tc>
          <w:tcPr>
            <w:tcW w:type="dxa" w:w="7960"/>
            <w:shd w:fill="1f3a5f" w:val="clear"/>
            <w:tcMar>
              <w:top w:type="dxa" w:w="50"/>
              <w:left w:type="dxa" w:w="90"/>
              <w:bottom w:type="dxa" w:w="50"/>
              <w:right w:type="dxa" w:w="90"/>
            </w:tcMar>
          </w:tcPr>
          <w:p>
            <w:pPr>
              <w:spacing w:after="0" w:line="240"/>
            </w:pPr>
            <w:r>
              <w:rPr>
                <w:rFonts w:ascii="Georgia" w:cs="Georgia" w:eastAsia="Georgia" w:hAnsi="Georgia"/>
                <w:b/>
                <w:bCs/>
                <w:color w:val="ffffff"/>
                <w:sz w:val="18"/>
                <w:szCs w:val="18"/>
              </w:rPr>
              <w:t xml:space="preserve">What it proves</w:t>
            </w:r>
          </w:p>
        </w:tc>
      </w:tr>
      <w:tr>
        <w:tc>
          <w:tcPr>
            <w:tcW w:type="dxa" w:w="140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CA</w:t>
            </w:r>
          </w:p>
        </w:tc>
        <w:tc>
          <w:tcPr>
            <w:tcW w:type="dxa" w:w="796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Omitted affidavit + community property + launch state</w:t>
            </w:r>
          </w:p>
        </w:tc>
      </w:tr>
      <w:tr>
        <w:tc>
          <w:tcPr>
            <w:tcW w:type="dxa" w:w="1400"/>
            <w:shd w:fill="eef2f7" w:val="clear"/>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FL</w:t>
            </w:r>
          </w:p>
        </w:tc>
        <w:tc>
          <w:tcPr>
            <w:tcW w:type="dxa" w:w="7960"/>
            <w:shd w:fill="eef2f7"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Sign-at-end + notarized affidavit + launch state</w:t>
            </w:r>
          </w:p>
        </w:tc>
      </w:tr>
      <w:tr>
        <w:tc>
          <w:tcPr>
            <w:tcW w:type="dxa" w:w="140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NV</w:t>
            </w:r>
          </w:p>
        </w:tc>
        <w:tc>
          <w:tcPr>
            <w:tcW w:type="dxa" w:w="796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No-notary declaration + community property + launch state</w:t>
            </w:r>
          </w:p>
        </w:tc>
      </w:tr>
      <w:tr>
        <w:tc>
          <w:tcPr>
            <w:tcW w:type="dxa" w:w="1400"/>
            <w:shd w:fill="eef2f7" w:val="clear"/>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AZ</w:t>
            </w:r>
          </w:p>
        </w:tc>
        <w:tc>
          <w:tcPr>
            <w:tcW w:type="dxa" w:w="7960"/>
            <w:shd w:fill="eef2f7"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Notarized affidavit + community property + launch state</w:t>
            </w:r>
          </w:p>
        </w:tc>
      </w:tr>
      <w:tr>
        <w:tc>
          <w:tcPr>
            <w:tcW w:type="dxa" w:w="140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GA</w:t>
            </w:r>
          </w:p>
        </w:tc>
        <w:tc>
          <w:tcPr>
            <w:tcW w:type="dxa" w:w="796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Witness age 14 in instructions</w:t>
            </w:r>
          </w:p>
        </w:tc>
      </w:tr>
      <w:tr>
        <w:tc>
          <w:tcPr>
            <w:tcW w:type="dxa" w:w="1400"/>
            <w:shd w:fill="eef2f7" w:val="clear"/>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ID</w:t>
            </w:r>
          </w:p>
        </w:tc>
        <w:tc>
          <w:tcPr>
            <w:tcW w:type="dxa" w:w="7960"/>
            <w:shd w:fill="eef2f7"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Witness age 18 + community property</w:t>
            </w:r>
          </w:p>
        </w:tc>
      </w:tr>
      <w:tr>
        <w:tc>
          <w:tcPr>
            <w:tcW w:type="dxa" w:w="140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DC</w:t>
            </w:r>
          </w:p>
        </w:tc>
        <w:tc>
          <w:tcPr>
            <w:tcW w:type="dxa" w:w="796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No affidavit section at all</w:t>
            </w:r>
          </w:p>
        </w:tc>
      </w:tr>
      <w:tr>
        <w:tc>
          <w:tcPr>
            <w:tcW w:type="dxa" w:w="1400"/>
            <w:shd w:fill="eef2f7" w:val="clear"/>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CO</w:t>
            </w:r>
          </w:p>
        </w:tc>
        <w:tc>
          <w:tcPr>
            <w:tcW w:type="dxa" w:w="7960"/>
            <w:shd w:fill="eef2f7" w:val="clear"/>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A “plain” state: default everything (control case)</w:t>
            </w:r>
          </w:p>
        </w:tc>
      </w:tr>
      <w:tr>
        <w:tc>
          <w:tcPr>
            <w:tcW w:type="dxa" w:w="1400"/>
            <w:tcMar>
              <w:top w:type="dxa" w:w="50"/>
              <w:left w:type="dxa" w:w="90"/>
              <w:bottom w:type="dxa" w:w="50"/>
              <w:right w:type="dxa" w:w="90"/>
            </w:tcMar>
          </w:tcPr>
          <w:p>
            <w:pPr>
              <w:spacing w:after="0" w:line="240"/>
            </w:pPr>
            <w:r>
              <w:rPr>
                <w:rFonts w:ascii="Georgia" w:cs="Georgia" w:eastAsia="Georgia" w:hAnsi="Georgia"/>
                <w:b/>
                <w:bCs/>
                <w:color w:val="1a1a2e"/>
                <w:sz w:val="18"/>
                <w:szCs w:val="18"/>
              </w:rPr>
              <w:t xml:space="preserve">TX</w:t>
            </w:r>
          </w:p>
        </w:tc>
        <w:tc>
          <w:tcPr>
            <w:tcW w:type="dxa" w:w="7960"/>
            <w:tcMar>
              <w:top w:type="dxa" w:w="50"/>
              <w:left w:type="dxa" w:w="90"/>
              <w:bottom w:type="dxa" w:w="50"/>
              <w:right w:type="dxa" w:w="90"/>
            </w:tcMar>
          </w:tcPr>
          <w:p>
            <w:pPr>
              <w:spacing w:after="0" w:line="240"/>
            </w:pPr>
            <w:r>
              <w:rPr>
                <w:rFonts w:ascii="Georgia" w:cs="Georgia" w:eastAsia="Georgia" w:hAnsi="Georgia"/>
                <w:color w:val="1a1a2e"/>
                <w:sz w:val="18"/>
                <w:szCs w:val="18"/>
              </w:rPr>
              <w:t xml:space="preserve">Must refuse — waitlist screen, no interview, no documents</w:t>
            </w:r>
          </w:p>
        </w:tc>
      </w:tr>
    </w:tbl>
    <w:p>
      <w:pPr>
        <w:spacing w:after="40" w:before="60" w:line="276"/>
      </w:pPr>
      <w:r>
        <w:rPr>
          <w:rFonts w:ascii="Georgia" w:cs="Georgia" w:eastAsia="Georgia" w:hAnsi="Georgia"/>
          <w:color w:val="1a1a2e"/>
          <w:sz w:val="21"/>
          <w:szCs w:val="21"/>
        </w:rPr>
        <w:t xml:space="preserve"> </w:t>
      </w:r>
    </w:p>
    <w:p>
      <w:pPr>
        <w:pStyle w:val="Heading1"/>
        <w:keepNext/>
        <w:keepLines/>
        <w:spacing w:after="140" w:before="320"/>
      </w:pPr>
      <w:r>
        <w:rPr>
          <w:rFonts w:ascii="Georgia" w:cs="Georgia" w:eastAsia="Georgia" w:hAnsi="Georgia"/>
          <w:b/>
          <w:bCs/>
          <w:color w:val="1f3a5f"/>
          <w:sz w:val="30"/>
          <w:szCs w:val="30"/>
        </w:rPr>
        <w:t xml:space="preserve">7. Known issues — do not log these as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3e0" w:val="clear"/>
            <w:tcMar>
              <w:top w:type="dxa" w:w="120"/>
              <w:left w:type="dxa" w:w="160"/>
              <w:bottom w:type="dxa" w:w="120"/>
              <w:right w:type="dxa" w:w="160"/>
            </w:tcMar>
          </w:tcPr>
          <w:p>
            <w:pPr>
              <w:spacing w:after="60"/>
            </w:pPr>
            <w:r>
              <w:rPr>
                <w:rFonts w:ascii="Georgia" w:cs="Georgia" w:eastAsia="Georgia" w:hAnsi="Georgia"/>
                <w:b/>
                <w:bCs/>
                <w:color w:val="1a1a2e"/>
                <w:sz w:val="21"/>
                <w:szCs w:val="21"/>
              </w:rPr>
              <w:t xml:space="preserve">Already recorded and deliberately deferred:</w:t>
            </w:r>
          </w:p>
          <w:p>
            <w:pPr>
              <w:spacing w:after="50" w:line="252"/>
            </w:pPr>
            <w:r>
              <w:rPr>
                <w:rFonts w:ascii="Georgia" w:cs="Georgia" w:eastAsia="Georgia" w:hAnsi="Georgia"/>
                <w:color w:val="1a1a2e"/>
                <w:sz w:val="20"/>
                <w:szCs w:val="20"/>
              </w:rPr>
              <w:t xml:space="preserve">–  The POA, healthcare directive and HIPAA each carry a sentence claiming a statutory state form “is used verbatim.” That sentence is wrong and is already logged for correction (docs/PENDING_CORRECTIONS.md §1). Ignore it — but do log anything else that looks factually wrong.</w:t>
            </w:r>
          </w:p>
          <w:p>
            <w:pPr>
              <w:spacing w:after="50" w:line="252"/>
            </w:pPr>
            <w:r>
              <w:rPr>
                <w:rFonts w:ascii="Georgia" w:cs="Georgia" w:eastAsia="Georgia" w:hAnsi="Georgia"/>
                <w:color w:val="1a1a2e"/>
                <w:sz w:val="20"/>
                <w:szCs w:val="20"/>
              </w:rPr>
              <w:t xml:space="preserve">–  [ATTORNEY REVIEW REQUIRED] markers throughout all documents — placeholders until counsel supplies final language.</w:t>
            </w:r>
          </w:p>
          <w:p>
            <w:pPr>
              <w:spacing w:after="0" w:line="252"/>
            </w:pPr>
            <w:r>
              <w:rPr>
                <w:rFonts w:ascii="Georgia" w:cs="Georgia" w:eastAsia="Georgia" w:hAnsi="Georgia"/>
                <w:color w:val="1a1a2e"/>
                <w:sz w:val="20"/>
                <w:szCs w:val="20"/>
              </w:rPr>
              <w:t xml:space="preserve">–  The FAQ page's “pre-launch preview” banner and draft answers — intentional during testing.</w:t>
            </w:r>
          </w:p>
        </w:tc>
      </w:tr>
    </w:tbl>
    <w:p>
      <w:pPr>
        <w:spacing w:after="60" w:before="60" w:line="276"/>
      </w:pPr>
      <w:r>
        <w:rPr>
          <w:rFonts w:ascii="Georgia" w:cs="Georgia" w:eastAsia="Georgia" w:hAnsi="Georgia"/>
          <w:color w:val="1a1a2e"/>
          <w:sz w:val="21"/>
          <w:szCs w:val="21"/>
        </w:rPr>
        <w:t xml:space="preserve"> </w:t>
      </w:r>
    </w:p>
    <w:p>
      <w:r>
        <w:br w:type="page"/>
      </w:r>
    </w:p>
    <w:p>
      <w:pPr>
        <w:pStyle w:val="Heading1"/>
        <w:keepNext/>
        <w:keepLines/>
        <w:spacing w:after="140" w:before="320"/>
      </w:pPr>
      <w:r>
        <w:rPr>
          <w:rFonts w:ascii="Georgia" w:cs="Georgia" w:eastAsia="Georgia" w:hAnsi="Georgia"/>
          <w:b/>
          <w:bCs/>
          <w:color w:val="1f3a5f"/>
          <w:sz w:val="30"/>
          <w:szCs w:val="30"/>
        </w:rPr>
        <w:t xml:space="preserve">8. Full reference — all 51 jurisdictions</w:t>
      </w:r>
    </w:p>
    <w:p>
      <w:pPr>
        <w:spacing w:after="100" w:before="60" w:line="276"/>
      </w:pPr>
      <w:r>
        <w:rPr>
          <w:rFonts w:ascii="Georgia" w:cs="Georgia" w:eastAsia="Georgia" w:hAnsi="Georgia"/>
          <w:b/>
          <w:bCs/>
          <w:color w:val="1a1a2e"/>
          <w:sz w:val="21"/>
          <w:szCs w:val="21"/>
        </w:rPr>
        <w:t xml:space="preserve">Sold</w:t>
      </w:r>
      <w:r>
        <w:rPr>
          <w:rFonts w:ascii="Georgia" w:cs="Georgia" w:eastAsia="Georgia" w:hAnsi="Georgia"/>
          <w:color w:val="1a1a2e"/>
          <w:sz w:val="21"/>
          <w:szCs w:val="21"/>
        </w:rPr>
        <w:t xml:space="preserve"> = the state can complete a purchase and generate documents. </w:t>
      </w:r>
      <w:r>
        <w:rPr>
          <w:rFonts w:ascii="Georgia" w:cs="Georgia" w:eastAsia="Georgia" w:hAnsi="Georgia"/>
          <w:b/>
          <w:bCs/>
          <w:color w:val="1a1a2e"/>
          <w:sz w:val="21"/>
          <w:szCs w:val="21"/>
        </w:rPr>
        <w:t xml:space="preserve">End</w:t>
      </w:r>
      <w:r>
        <w:rPr>
          <w:rFonts w:ascii="Georgia" w:cs="Georgia" w:eastAsia="Georgia" w:hAnsi="Georgia"/>
          <w:color w:val="1a1a2e"/>
          <w:sz w:val="21"/>
          <w:szCs w:val="21"/>
        </w:rPr>
        <w:t xml:space="preserve"> = sign-at-the-end wording. </w:t>
      </w:r>
      <w:r>
        <w:rPr>
          <w:rFonts w:ascii="Georgia" w:cs="Georgia" w:eastAsia="Georgia" w:hAnsi="Georgia"/>
          <w:b/>
          <w:bCs/>
          <w:color w:val="1a1a2e"/>
          <w:sz w:val="21"/>
          <w:szCs w:val="21"/>
        </w:rPr>
        <w:t xml:space="preserve">Affidavit</w:t>
      </w:r>
      <w:r>
        <w:rPr>
          <w:rFonts w:ascii="Georgia" w:cs="Georgia" w:eastAsia="Georgia" w:hAnsi="Georgia"/>
          <w:color w:val="1a1a2e"/>
          <w:sz w:val="21"/>
          <w:szCs w:val="21"/>
        </w:rPr>
        <w:t xml:space="preserve">: Notarized / Declaration / None / Omitted. </w:t>
      </w:r>
      <w:r>
        <w:rPr>
          <w:rFonts w:ascii="Georgia" w:cs="Georgia" w:eastAsia="Georgia" w:hAnsi="Georgia"/>
          <w:b/>
          <w:bCs/>
          <w:color w:val="1a1a2e"/>
          <w:sz w:val="21"/>
          <w:szCs w:val="21"/>
        </w:rPr>
        <w:t xml:space="preserve">CP</w:t>
      </w:r>
      <w:r>
        <w:rPr>
          <w:rFonts w:ascii="Georgia" w:cs="Georgia" w:eastAsia="Georgia" w:hAnsi="Georgia"/>
          <w:color w:val="1a1a2e"/>
          <w:sz w:val="21"/>
          <w:szCs w:val="21"/>
        </w:rPr>
        <w:t xml:space="preserve"> = Community Property article. Age = witness minimum age shown in instructions, if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900"/>
        <w:gridCol w:w="760"/>
        <w:gridCol w:w="760"/>
        <w:gridCol w:w="1900"/>
        <w:gridCol w:w="760"/>
        <w:gridCol w:w="1460"/>
      </w:tblGrid>
      <w:tr>
        <w:trPr>
          <w:tblHeader/>
        </w:trPr>
        <w:tc>
          <w:tcPr>
            <w:tcW w:type="dxa" w:w="660"/>
            <w:shd w:fill="1f3a5f" w:val="clear"/>
            <w:tcMar>
              <w:top w:type="dxa" w:w="50"/>
              <w:left w:type="dxa" w:w="90"/>
              <w:bottom w:type="dxa" w:w="50"/>
              <w:right w:type="dxa" w:w="90"/>
            </w:tcMar>
          </w:tcPr>
          <w:p>
            <w:pPr>
              <w:spacing w:after="0" w:line="240"/>
            </w:pPr>
            <w:r>
              <w:rPr>
                <w:rFonts w:ascii="Georgia" w:cs="Georgia" w:eastAsia="Georgia" w:hAnsi="Georgia"/>
                <w:b/>
                <w:bCs/>
                <w:color w:val="ffffff"/>
                <w:sz w:val="17"/>
                <w:szCs w:val="17"/>
              </w:rPr>
              <w:t xml:space="preserve">St</w:t>
            </w:r>
          </w:p>
        </w:tc>
        <w:tc>
          <w:tcPr>
            <w:tcW w:type="dxa" w:w="2160"/>
            <w:shd w:fill="1f3a5f" w:val="clear"/>
            <w:tcMar>
              <w:top w:type="dxa" w:w="50"/>
              <w:left w:type="dxa" w:w="90"/>
              <w:bottom w:type="dxa" w:w="50"/>
              <w:right w:type="dxa" w:w="90"/>
            </w:tcMar>
          </w:tcPr>
          <w:p>
            <w:pPr>
              <w:spacing w:after="0" w:line="240"/>
            </w:pPr>
            <w:r>
              <w:rPr>
                <w:rFonts w:ascii="Georgia" w:cs="Georgia" w:eastAsia="Georgia" w:hAnsi="Georgia"/>
                <w:b/>
                <w:bCs/>
                <w:color w:val="ffffff"/>
                <w:sz w:val="17"/>
                <w:szCs w:val="17"/>
              </w:rPr>
              <w:t xml:space="preserve">State</w:t>
            </w:r>
          </w:p>
        </w:tc>
        <w:tc>
          <w:tcPr>
            <w:tcW w:type="dxa" w:w="900"/>
            <w:shd w:fill="1f3a5f" w:val="clear"/>
            <w:tcMar>
              <w:top w:type="dxa" w:w="50"/>
              <w:left w:type="dxa" w:w="90"/>
              <w:bottom w:type="dxa" w:w="50"/>
              <w:right w:type="dxa" w:w="90"/>
            </w:tcMar>
          </w:tcPr>
          <w:p>
            <w:pPr>
              <w:spacing w:after="0" w:line="240"/>
            </w:pPr>
            <w:r>
              <w:rPr>
                <w:rFonts w:ascii="Georgia" w:cs="Georgia" w:eastAsia="Georgia" w:hAnsi="Georgia"/>
                <w:b/>
                <w:bCs/>
                <w:color w:val="ffffff"/>
                <w:sz w:val="17"/>
                <w:szCs w:val="17"/>
              </w:rPr>
              <w:t xml:space="preserve">Sold</w:t>
            </w:r>
          </w:p>
        </w:tc>
        <w:tc>
          <w:tcPr>
            <w:tcW w:type="dxa" w:w="760"/>
            <w:shd w:fill="1f3a5f" w:val="clear"/>
            <w:tcMar>
              <w:top w:type="dxa" w:w="50"/>
              <w:left w:type="dxa" w:w="90"/>
              <w:bottom w:type="dxa" w:w="50"/>
              <w:right w:type="dxa" w:w="90"/>
            </w:tcMar>
          </w:tcPr>
          <w:p>
            <w:pPr>
              <w:spacing w:after="0" w:line="240"/>
            </w:pPr>
            <w:r>
              <w:rPr>
                <w:rFonts w:ascii="Georgia" w:cs="Georgia" w:eastAsia="Georgia" w:hAnsi="Georgia"/>
                <w:b/>
                <w:bCs/>
                <w:color w:val="ffffff"/>
                <w:sz w:val="17"/>
                <w:szCs w:val="17"/>
              </w:rPr>
              <w:t xml:space="preserve">Age</w:t>
            </w:r>
          </w:p>
        </w:tc>
        <w:tc>
          <w:tcPr>
            <w:tcW w:type="dxa" w:w="760"/>
            <w:shd w:fill="1f3a5f" w:val="clear"/>
            <w:tcMar>
              <w:top w:type="dxa" w:w="50"/>
              <w:left w:type="dxa" w:w="90"/>
              <w:bottom w:type="dxa" w:w="50"/>
              <w:right w:type="dxa" w:w="90"/>
            </w:tcMar>
          </w:tcPr>
          <w:p>
            <w:pPr>
              <w:spacing w:after="0" w:line="240"/>
            </w:pPr>
            <w:r>
              <w:rPr>
                <w:rFonts w:ascii="Georgia" w:cs="Georgia" w:eastAsia="Georgia" w:hAnsi="Georgia"/>
                <w:b/>
                <w:bCs/>
                <w:color w:val="ffffff"/>
                <w:sz w:val="17"/>
                <w:szCs w:val="17"/>
              </w:rPr>
              <w:t xml:space="preserve">End</w:t>
            </w:r>
          </w:p>
        </w:tc>
        <w:tc>
          <w:tcPr>
            <w:tcW w:type="dxa" w:w="1900"/>
            <w:shd w:fill="1f3a5f" w:val="clear"/>
            <w:tcMar>
              <w:top w:type="dxa" w:w="50"/>
              <w:left w:type="dxa" w:w="90"/>
              <w:bottom w:type="dxa" w:w="50"/>
              <w:right w:type="dxa" w:w="90"/>
            </w:tcMar>
          </w:tcPr>
          <w:p>
            <w:pPr>
              <w:spacing w:after="0" w:line="240"/>
            </w:pPr>
            <w:r>
              <w:rPr>
                <w:rFonts w:ascii="Georgia" w:cs="Georgia" w:eastAsia="Georgia" w:hAnsi="Georgia"/>
                <w:b/>
                <w:bCs/>
                <w:color w:val="ffffff"/>
                <w:sz w:val="17"/>
                <w:szCs w:val="17"/>
              </w:rPr>
              <w:t xml:space="preserve">Affidavit</w:t>
            </w:r>
          </w:p>
        </w:tc>
        <w:tc>
          <w:tcPr>
            <w:tcW w:type="dxa" w:w="760"/>
            <w:shd w:fill="1f3a5f" w:val="clear"/>
            <w:tcMar>
              <w:top w:type="dxa" w:w="50"/>
              <w:left w:type="dxa" w:w="90"/>
              <w:bottom w:type="dxa" w:w="50"/>
              <w:right w:type="dxa" w:w="90"/>
            </w:tcMar>
          </w:tcPr>
          <w:p>
            <w:pPr>
              <w:spacing w:after="0" w:line="240"/>
            </w:pPr>
            <w:r>
              <w:rPr>
                <w:rFonts w:ascii="Georgia" w:cs="Georgia" w:eastAsia="Georgia" w:hAnsi="Georgia"/>
                <w:b/>
                <w:bCs/>
                <w:color w:val="ffffff"/>
                <w:sz w:val="17"/>
                <w:szCs w:val="17"/>
              </w:rPr>
              <w:t xml:space="preserve">CP</w:t>
            </w:r>
          </w:p>
        </w:tc>
        <w:tc>
          <w:tcPr>
            <w:tcW w:type="dxa" w:w="1460"/>
            <w:shd w:fill="1f3a5f" w:val="clear"/>
            <w:tcMar>
              <w:top w:type="dxa" w:w="50"/>
              <w:left w:type="dxa" w:w="90"/>
              <w:bottom w:type="dxa" w:w="50"/>
              <w:right w:type="dxa" w:w="90"/>
            </w:tcMar>
          </w:tcPr>
          <w:p>
            <w:pPr>
              <w:spacing w:after="0" w:line="240"/>
            </w:pPr>
            <w:r>
              <w:rPr>
                <w:rFonts w:ascii="Georgia" w:cs="Georgia" w:eastAsia="Georgia" w:hAnsi="Georgia"/>
                <w:b/>
                <w:bCs/>
                <w:color w:val="ffffff"/>
                <w:sz w:val="17"/>
                <w:szCs w:val="17"/>
              </w:rPr>
              <w:t xml:space="preserve">Notes</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AK</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Alaska</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AL</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Alabama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AR</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Arkansas</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END</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AZ</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Arizona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CP</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CA</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California</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Omitted (CA rule)</w:t>
            </w:r>
          </w:p>
        </w:tc>
        <w:tc>
          <w:tcPr>
            <w:tcW w:type="dxa" w:w="760"/>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CP</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CO</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Colorado</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CT</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Connecticut</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END</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DC</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District of Columbia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None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DE</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Delaware</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FL</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Florida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END</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GA</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Georgia</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14</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age 14</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HI</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Hawaii</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IA</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Iowa</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ID</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Idaho</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18</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CP</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age 18</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IL</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Illinois</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Declaration</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IN</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Indiana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Declaration</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KS</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Kansas</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END</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KY</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Kentucky</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END</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fdf3e0"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LA</w:t>
            </w:r>
          </w:p>
        </w:tc>
        <w:tc>
          <w:tcPr>
            <w:tcW w:type="dxa" w:w="216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Louisiana</w:t>
            </w:r>
          </w:p>
        </w:tc>
        <w:tc>
          <w:tcPr>
            <w:tcW w:type="dxa" w:w="900"/>
            <w:shd w:fill="fdf3e0"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NO</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16</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CP</w:t>
            </w:r>
          </w:p>
        </w:tc>
        <w:tc>
          <w:tcPr>
            <w:tcW w:type="dxa" w:w="146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EXCLUDED — must refuse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MA</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Massachusetts</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MD</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Maryland</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Declaration</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ME</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Maine</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MI</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Michigan</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MN</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Minnesota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fdf3e0"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MO</w:t>
            </w:r>
          </w:p>
        </w:tc>
        <w:tc>
          <w:tcPr>
            <w:tcW w:type="dxa" w:w="216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Missouri</w:t>
            </w:r>
          </w:p>
        </w:tc>
        <w:tc>
          <w:tcPr>
            <w:tcW w:type="dxa" w:w="900"/>
            <w:shd w:fill="fdf3e0"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NO</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EXCLUDED — must refuse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MS</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Mississippi</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MT</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Montana</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fdf3e0"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NC</w:t>
            </w:r>
          </w:p>
        </w:tc>
        <w:tc>
          <w:tcPr>
            <w:tcW w:type="dxa" w:w="216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North Carolina</w:t>
            </w:r>
          </w:p>
        </w:tc>
        <w:tc>
          <w:tcPr>
            <w:tcW w:type="dxa" w:w="900"/>
            <w:shd w:fill="fdf3e0"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NO</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EXCLUDED — must refuse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ND</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North Dakota</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NE</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Nebraska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NH</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New Hampshire</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NJ</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New Jersey</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NM</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New Mexico</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CP</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NV</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Nevada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Declaration</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CP</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NY</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New York</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END</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fdf3e0"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OH</w:t>
            </w:r>
          </w:p>
        </w:tc>
        <w:tc>
          <w:tcPr>
            <w:tcW w:type="dxa" w:w="216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Ohio</w:t>
            </w:r>
          </w:p>
        </w:tc>
        <w:tc>
          <w:tcPr>
            <w:tcW w:type="dxa" w:w="900"/>
            <w:shd w:fill="fdf3e0"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NO</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18</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END</w:t>
            </w:r>
          </w:p>
        </w:tc>
        <w:tc>
          <w:tcPr>
            <w:tcW w:type="dxa" w:w="190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None</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EXCLUDED — must refuse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OK</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Oklahoma</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END</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OR</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Oregon</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PA</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Pennsylvania</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END</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RI</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Rhode Island</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SC</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South Carolina</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SD</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South Dakota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TN</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Tennessee</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fdf3e0"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TX</w:t>
            </w:r>
          </w:p>
        </w:tc>
        <w:tc>
          <w:tcPr>
            <w:tcW w:type="dxa" w:w="216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Texas</w:t>
            </w:r>
          </w:p>
        </w:tc>
        <w:tc>
          <w:tcPr>
            <w:tcW w:type="dxa" w:w="900"/>
            <w:shd w:fill="fdf3e0"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NO</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14</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fdf3e0" w:val="clear"/>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CP</w:t>
            </w:r>
          </w:p>
        </w:tc>
        <w:tc>
          <w:tcPr>
            <w:tcW w:type="dxa" w:w="1460"/>
            <w:shd w:fill="fdf3e0"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EXCLUDED — must refuse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UT</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Utah</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VA</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Virginia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VT</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Vermont</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WA</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Washington</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CP</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WI</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Wisconsin</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bCs/>
                <w:color w:val="1a1a2e"/>
                <w:sz w:val="17"/>
                <w:szCs w:val="17"/>
              </w:rPr>
              <w:t xml:space="preserve">CP</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shd w:fill="eef2f7" w:val="clear"/>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WV</w:t>
            </w:r>
          </w:p>
        </w:tc>
        <w:tc>
          <w:tcPr>
            <w:tcW w:type="dxa" w:w="21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West Virginia</w:t>
            </w:r>
          </w:p>
        </w:tc>
        <w:tc>
          <w:tcPr>
            <w:tcW w:type="dxa" w:w="900"/>
            <w:shd w:fill="eef2f7" w:val="clear"/>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shd w:fill="eef2f7" w:val="clear"/>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shd w:fill="eef2f7" w:val="clear"/>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r>
        <w:tc>
          <w:tcPr>
            <w:tcW w:type="dxa" w:w="660"/>
            <w:tcMar>
              <w:top w:type="dxa" w:w="50"/>
              <w:left w:type="dxa" w:w="90"/>
              <w:bottom w:type="dxa" w:w="50"/>
              <w:right w:type="dxa" w:w="90"/>
            </w:tcMar>
          </w:tcPr>
          <w:p>
            <w:pPr>
              <w:spacing w:after="0" w:line="240"/>
            </w:pPr>
            <w:r>
              <w:rPr>
                <w:rFonts w:ascii="Georgia" w:cs="Georgia" w:eastAsia="Georgia" w:hAnsi="Georgia"/>
                <w:b/>
                <w:bCs/>
                <w:color w:val="1a1a2e"/>
                <w:sz w:val="17"/>
                <w:szCs w:val="17"/>
              </w:rPr>
              <w:t xml:space="preserve">WY</w:t>
            </w:r>
          </w:p>
        </w:tc>
        <w:tc>
          <w:tcPr>
            <w:tcW w:type="dxa" w:w="21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Wyoming</w:t>
            </w:r>
          </w:p>
        </w:tc>
        <w:tc>
          <w:tcPr>
            <w:tcW w:type="dxa" w:w="900"/>
            <w:tcMar>
              <w:top w:type="dxa" w:w="50"/>
              <w:left w:type="dxa" w:w="90"/>
              <w:bottom w:type="dxa" w:w="50"/>
              <w:right w:type="dxa" w:w="90"/>
            </w:tcMar>
          </w:tcPr>
          <w:p>
            <w:pPr>
              <w:spacing w:after="0" w:line="240"/>
            </w:pPr>
            <w:r>
              <w:rPr>
                <w:rFonts w:ascii="Georgia" w:cs="Georgia" w:eastAsia="Georgia" w:hAnsi="Georgia"/>
                <w:b w:val="false"/>
                <w:bCs w:val="false"/>
                <w:color w:val="1a1a2e"/>
                <w:sz w:val="17"/>
                <w:szCs w:val="17"/>
              </w:rPr>
              <w:t xml:space="preserve">yes</w:t>
            </w:r>
          </w:p>
        </w:tc>
        <w:tc>
          <w:tcPr>
            <w:tcW w:type="dxa" w:w="760"/>
            <w:tcMar>
              <w:top w:type="dxa" w:w="50"/>
              <w:left w:type="dxa" w:w="90"/>
              <w:bottom w:type="dxa" w:w="50"/>
              <w:right w:type="dxa" w:w="90"/>
            </w:tcMar>
          </w:tcPr>
          <w:p>
            <w:pPr>
              <w:spacing w:after="0" w:line="240"/>
              <w:jc w:val="center"/>
            </w:pPr>
            <w:r>
              <w:rPr>
                <w:rFonts w:ascii="Georgia" w:cs="Georgia" w:eastAsia="Georgia" w:hAnsi="Georgia"/>
                <w:color w:val="1a1a2e"/>
                <w:sz w:val="17"/>
                <w:szCs w:val="17"/>
              </w:rPr>
              <w:t xml:space="preserve">—</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90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Notarized</w:t>
            </w:r>
          </w:p>
        </w:tc>
        <w:tc>
          <w:tcPr>
            <w:tcW w:type="dxa" w:w="760"/>
            <w:tcMar>
              <w:top w:type="dxa" w:w="50"/>
              <w:left w:type="dxa" w:w="90"/>
              <w:bottom w:type="dxa" w:w="50"/>
              <w:right w:type="dxa" w:w="90"/>
            </w:tcMar>
          </w:tcPr>
          <w:p>
            <w:pPr>
              <w:spacing w:after="0" w:line="240"/>
              <w:jc w:val="center"/>
            </w:pPr>
            <w:r>
              <w:rPr>
                <w:rFonts w:ascii="Georgia" w:cs="Georgia" w:eastAsia="Georgia" w:hAnsi="Georgia"/>
                <w:b w:val="false"/>
                <w:bCs w:val="false"/>
                <w:color w:val="1a1a2e"/>
                <w:sz w:val="17"/>
                <w:szCs w:val="17"/>
              </w:rPr>
              <w:t xml:space="preserve">—</w:t>
            </w:r>
          </w:p>
        </w:tc>
        <w:tc>
          <w:tcPr>
            <w:tcW w:type="dxa" w:w="1460"/>
            <w:tcMar>
              <w:top w:type="dxa" w:w="50"/>
              <w:left w:type="dxa" w:w="90"/>
              <w:bottom w:type="dxa" w:w="50"/>
              <w:right w:type="dxa" w:w="90"/>
            </w:tcMar>
          </w:tcPr>
          <w:p>
            <w:pPr>
              <w:spacing w:after="0" w:line="240"/>
            </w:pPr>
            <w:r>
              <w:rPr>
                <w:rFonts w:ascii="Georgia" w:cs="Georgia" w:eastAsia="Georgia" w:hAnsi="Georgia"/>
                <w:color w:val="1a1a2e"/>
                <w:sz w:val="17"/>
                <w:szCs w:val="17"/>
              </w:rPr>
              <w:t xml:space="preserve">—</w:t>
            </w:r>
          </w:p>
        </w:tc>
      </w:tr>
    </w:tbl>
    <w:p>
      <w:pPr>
        <w:spacing w:after="60" w:before="60" w:line="276"/>
      </w:pPr>
      <w:r>
        <w:rPr>
          <w:rFonts w:ascii="Georgia" w:cs="Georgia" w:eastAsia="Georgia" w:hAnsi="Georgia"/>
          <w:color w:val="1a1a2e"/>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9f2ec" w:val="clear"/>
            <w:tcMar>
              <w:top w:type="dxa" w:w="120"/>
              <w:left w:type="dxa" w:w="160"/>
              <w:bottom w:type="dxa" w:w="120"/>
              <w:right w:type="dxa" w:w="160"/>
            </w:tcMar>
          </w:tcPr>
          <w:p>
            <w:pPr>
              <w:spacing w:after="0" w:line="252"/>
            </w:pPr>
            <w:r>
              <w:rPr>
                <w:rFonts w:ascii="Georgia" w:cs="Georgia" w:eastAsia="Georgia" w:hAnsi="Georgia"/>
                <w:i/>
                <w:iCs/>
                <w:color w:val="1a1a2e"/>
                <w:sz w:val="19"/>
                <w:szCs w:val="19"/>
              </w:rPr>
              <w:t xml:space="preserve">Provenance: generated from supabase/seed.sql (the live state_rules data) and the document generators (will.ts, trust.ts, execution-instructions.ts) at commit eaeaaf7. Every state's rules are still marked “needs review” pending counsel sign-off — this document describes what the software should produce today, not the final attorney-approved rules.</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2026-08-03T16:26:30.148Z</dcterms:created>
  <dcterms:modified xsi:type="dcterms:W3CDTF">2026-08-03T16:26:30.149Z</dcterms:modified>
</cp:coreProperties>
</file>

<file path=docProps/custom.xml><?xml version="1.0" encoding="utf-8"?>
<Properties xmlns="http://schemas.openxmlformats.org/officeDocument/2006/custom-properties" xmlns:vt="http://schemas.openxmlformats.org/officeDocument/2006/docPropsVTypes"/>
</file>