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rPr>
          <w:rFonts w:ascii="Times New Roman" w:cs="Times New Roman" w:eastAsia="Times New Roman" w:hAnsi="Times New Roman"/>
          <w:sz w:val="24"/>
          <w:szCs w:val="24"/>
        </w:rPr>
        <w:t xml:space="preserve"/>
      </w:r>
    </w:p>
    <w:p>
      <w:pPr>
        <w:spacing w:after="80" w:before="80" w:line="360" w:lineRule="auto"/>
        <w:jc w:val="center"/>
      </w:pPr>
      <w:r>
        <w:rPr>
          <w:rFonts w:ascii="Arial" w:cs="Arial" w:eastAsia="Arial" w:hAnsi="Arial"/>
          <w:b/>
          <w:bCs/>
          <w:color w:val="1F3864"/>
          <w:sz w:val="36"/>
          <w:szCs w:val="36"/>
        </w:rPr>
        <w:t xml:space="preserve">CAUSALMEDIA-GH</w:t>
      </w:r>
    </w:p>
    <w:p>
      <w:pPr>
        <w:spacing w:after="0" w:before="60"/>
      </w:pPr>
      <w:r>
        <w:rPr>
          <w:rFonts w:ascii="Times New Roman" w:cs="Times New Roman" w:eastAsia="Times New Roman" w:hAnsi="Times New Roman"/>
          <w:sz w:val="24"/>
          <w:szCs w:val="24"/>
        </w:rPr>
        <w:t xml:space="preserve"/>
      </w:r>
    </w:p>
    <w:p>
      <w:pPr>
        <w:spacing w:after="80" w:before="80" w:line="360" w:lineRule="auto"/>
        <w:jc w:val="center"/>
      </w:pPr>
      <w:r>
        <w:rPr>
          <w:rFonts w:ascii="Arial" w:cs="Arial" w:eastAsia="Arial" w:hAnsi="Arial"/>
          <w:color w:val="2E5FA3"/>
          <w:sz w:val="24"/>
          <w:szCs w:val="24"/>
        </w:rPr>
        <w:t xml:space="preserve">NexusLearn Group 4  |  KNUST Department of Computer Science</w:t>
      </w:r>
    </w:p>
    <w:p>
      <w:pPr>
        <w:spacing w:after="0" w:before="360"/>
      </w:pPr>
      <w:r>
        <w:rPr>
          <w:rFonts w:ascii="Times New Roman" w:cs="Times New Roman" w:eastAsia="Times New Roman" w:hAnsi="Times New Roman"/>
          <w:sz w:val="24"/>
          <w:szCs w:val="24"/>
        </w:rPr>
        <w:t xml:space="preserve"/>
      </w:r>
    </w:p>
    <w:p>
      <w:pPr>
        <w:spacing w:after="80" w:before="80" w:line="360" w:lineRule="auto"/>
        <w:jc w:val="center"/>
      </w:pPr>
      <w:r>
        <w:rPr>
          <w:rFonts w:ascii="Arial" w:cs="Arial" w:eastAsia="Arial" w:hAnsi="Arial"/>
          <w:b/>
          <w:bCs/>
          <w:color w:val="1D3557"/>
          <w:sz w:val="30"/>
          <w:szCs w:val="30"/>
        </w:rPr>
        <w:t xml:space="preserve">ROLE 4: CAUSAL MODELLING</w:t>
      </w:r>
    </w:p>
    <w:p>
      <w:pPr>
        <w:spacing w:after="0" w:before="60"/>
      </w:pPr>
      <w:r>
        <w:rPr>
          <w:rFonts w:ascii="Times New Roman" w:cs="Times New Roman" w:eastAsia="Times New Roman" w:hAnsi="Times New Roman"/>
          <w:sz w:val="24"/>
          <w:szCs w:val="24"/>
        </w:rPr>
        <w:t xml:space="preserve"/>
      </w:r>
    </w:p>
    <w:p>
      <w:pPr>
        <w:spacing w:after="80" w:before="80" w:line="360" w:lineRule="auto"/>
        <w:jc w:val="center"/>
      </w:pPr>
      <w:r>
        <w:rPr>
          <w:rFonts w:ascii="Arial" w:cs="Arial" w:eastAsia="Arial" w:hAnsi="Arial"/>
          <w:i/>
          <w:iCs/>
          <w:color w:val="595959"/>
          <w:sz w:val="22"/>
          <w:szCs w:val="22"/>
        </w:rPr>
        <w:t xml:space="preserve">CausalForestDML — Methodology, Results, and Analysis Report</w:t>
      </w:r>
    </w:p>
    <w:p>
      <w:pPr>
        <w:spacing w:after="0" w:before="360"/>
      </w:pPr>
      <w:r>
        <w:rPr>
          <w:rFonts w:ascii="Times New Roman" w:cs="Times New Roman" w:eastAsia="Times New Roman" w:hAnsi="Times New Roman"/>
          <w:sz w:val="24"/>
          <w:szCs w:val="24"/>
        </w:rPr>
        <w:t xml:space="preserve"/>
      </w:r>
    </w:p>
    <w:p>
      <w:pPr>
        <w:spacing w:after="80" w:before="80" w:line="360" w:lineRule="auto"/>
        <w:jc w:val="center"/>
      </w:pPr>
      <w:r>
        <w:rPr>
          <w:rFonts w:ascii="Times New Roman" w:cs="Times New Roman" w:eastAsia="Times New Roman" w:hAnsi="Times New Roman"/>
          <w:color w:val="595959"/>
          <w:sz w:val="22"/>
          <w:szCs w:val="22"/>
        </w:rPr>
        <w:t xml:space="preserve">Supervisor: Dr Eric Osei</w:t>
      </w:r>
    </w:p>
    <w:p>
      <w:pPr>
        <w:spacing w:after="80" w:before="80" w:line="360" w:lineRule="auto"/>
        <w:jc w:val="center"/>
      </w:pPr>
      <w:r>
        <w:rPr>
          <w:rFonts w:ascii="Times New Roman" w:cs="Times New Roman" w:eastAsia="Times New Roman" w:hAnsi="Times New Roman"/>
          <w:color w:val="595959"/>
          <w:sz w:val="22"/>
          <w:szCs w:val="22"/>
        </w:rPr>
        <w:t xml:space="preserve">Owner: Evans (Roles 1, 4, 5)</w:t>
      </w:r>
    </w:p>
    <w:p>
      <w:pPr>
        <w:spacing w:after="80" w:before="80" w:line="360" w:lineRule="auto"/>
        <w:jc w:val="center"/>
      </w:pPr>
      <w:r>
        <w:rPr>
          <w:rFonts w:ascii="Times New Roman" w:cs="Times New Roman" w:eastAsia="Times New Roman" w:hAnsi="Times New Roman"/>
          <w:color w:val="595959"/>
          <w:sz w:val="22"/>
          <w:szCs w:val="22"/>
        </w:rPr>
        <w:t xml:space="preserve">Version: v3 Final  |  June 2026</w:t>
      </w:r>
    </w:p>
    <w:p>
      <w:pPr>
        <w:spacing w:after="0" w:before="40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D3557" w:sz="6"/>
              <w:left w:val="single" w:color="1D3557" w:sz="6"/>
              <w:bottom w:val="single" w:color="1D3557" w:sz="6"/>
              <w:right w:val="single" w:color="1D3557" w:sz="6"/>
            </w:tcBorders>
            <w:shd w:fill="E2EFDA" w:val="clear"/>
            <w:tcMar>
              <w:top w:type="dxa" w:w="100"/>
              <w:left w:type="dxa" w:w="160"/>
              <w:bottom w:type="dxa" w:w="100"/>
              <w:right w:type="dxa" w:w="160"/>
            </w:tcMar>
          </w:tcPr>
          <w:p>
            <w:pPr>
              <w:spacing w:after="40" w:before="40"/>
            </w:pPr>
            <w:r>
              <w:rPr>
                <w:rFonts w:ascii="Arial" w:cs="Arial" w:eastAsia="Arial" w:hAnsi="Arial"/>
                <w:b/>
                <w:bCs/>
                <w:color w:val="1D3557"/>
                <w:sz w:val="20"/>
                <w:szCs w:val="20"/>
              </w:rPr>
              <w:t xml:space="preserve">Status</w:t>
            </w:r>
          </w:p>
          <w:p>
            <w:pPr>
              <w:spacing w:after="40" w:before="40"/>
              <w:jc w:val="both"/>
            </w:pPr>
            <w:r>
              <w:rPr>
                <w:rFonts w:ascii="Times New Roman" w:cs="Times New Roman" w:eastAsia="Times New Roman" w:hAnsi="Times New Roman"/>
                <w:sz w:val="22"/>
                <w:szCs w:val="22"/>
              </w:rPr>
              <w:t xml:space="preserve">Role 4 is complete. All modelling, statistical analysis, ablation study, error pool diagnostic, and SHAP feature ranking have been executed and verified. All outputs are committed to GitHub and ready for Role 5 consumption.</w:t>
            </w:r>
          </w:p>
        </w:tc>
      </w:tr>
    </w:tbl>
    <w:p>
      <w:pPr>
        <w:spacing w:after="0" w:before="0"/>
      </w:pPr>
      <w:r>
        <w:br w:type="page"/>
      </w:r>
    </w:p>
    <w:p>
      <w:pPr>
        <w:pStyle w:val="Heading1"/>
        <w:pBdr>
          <w:bottom w:val="single" w:color="2E5FA3" w:sz="8" w:space="4"/>
        </w:pBdr>
        <w:spacing w:after="160" w:before="400"/>
      </w:pPr>
      <w:r>
        <w:rPr>
          <w:rFonts w:ascii="Arial" w:cs="Arial" w:eastAsia="Arial" w:hAnsi="Arial"/>
          <w:b/>
          <w:bCs/>
          <w:color w:val="1F3864"/>
          <w:sz w:val="28"/>
          <w:szCs w:val="28"/>
        </w:rPr>
        <w:t xml:space="preserve">1. ROLE OVERVIEW</w:t>
      </w:r>
    </w:p>
    <w:p>
      <w:pPr>
        <w:spacing w:after="80" w:before="80" w:line="360" w:lineRule="auto"/>
        <w:jc w:val="both"/>
      </w:pPr>
      <w:r>
        <w:rPr>
          <w:rFonts w:ascii="Times New Roman" w:cs="Times New Roman" w:eastAsia="Times New Roman" w:hAnsi="Times New Roman"/>
          <w:sz w:val="24"/>
          <w:szCs w:val="24"/>
        </w:rPr>
        <w:t xml:space="preserve">Role 4 constitutes the causal modelling stage of the CausalMedia-GH pipeline. Its objective was to estimate the causal effect of multimedia engagement on student performance gains using a doubly robust, non-parametric estimator, and to characterise the heterogeneity of that effect across student subgroups. The role received two inputs from upstream roles — the Role 1 student-level feature dataset and the Role 2 synthetic Ghanaian school context dataset — merged them into a unified analytical corpus, and applied a progressive sequence of estimators from naïve correlation through to CausalForestDML.</w:t>
      </w:r>
    </w:p>
    <w:p>
      <w:pPr>
        <w:spacing w:after="0" w:before="12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Item</w:t>
            </w:r>
          </w:p>
        </w:tc>
        <w:tc>
          <w:tcPr>
            <w:tcW w:type="dxa" w:w="58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Specification</w:t>
            </w:r>
          </w:p>
        </w:tc>
      </w:tr>
      <w:tr>
        <w:trPr>
          <w:tblHeader w:val="false"/>
        </w:trPr>
        <w:tc>
          <w:tcPr>
            <w:tcW w:type="dxa" w:w="32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Treatment variable (T)</w:t>
            </w:r>
          </w:p>
        </w:tc>
        <w:tc>
          <w:tcPr>
            <w:tcW w:type="dxa" w:w="58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multimedia_engagement — proportion of interactions with elapsed time above student Q75 (range [0, ~0.300]; Q75 threshold applied in Role 1 v3 final)</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Outcome variable (Y)</w:t>
            </w:r>
          </w:p>
        </w:tc>
        <w:tc>
          <w:tcPr>
            <w:tcW w:type="dxa" w:w="58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performance_gain — correctness rate improvement from first to final third of chronological interactions (range [−1, 1])</w:t>
            </w:r>
          </w:p>
        </w:tc>
      </w:tr>
      <w:tr>
        <w:trPr>
          <w:tblHeader w:val="false"/>
        </w:trPr>
        <w:tc>
          <w:tcPr>
            <w:tcW w:type="dxa" w:w="32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Confounder set (X)</w:t>
            </w:r>
          </w:p>
        </w:tc>
        <w:tc>
          <w:tcPr>
            <w:tcW w:type="dxa" w:w="58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12 variables: prior_achievement, content_modality_preference, bandwidth_category, consistency, early_struggle, skill_coverage, session_duration_avg, peer_activity_index, school_resource_level, tablet_access, teacher_qual, peer_collaboration</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Estimator</w:t>
            </w:r>
          </w:p>
        </w:tc>
        <w:tc>
          <w:tcPr>
            <w:tcW w:type="dxa" w:w="58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CausalForestDML (Microsoft EconML) with LightGBM nuisance models</w:t>
            </w:r>
          </w:p>
        </w:tc>
      </w:tr>
      <w:tr>
        <w:trPr>
          <w:tblHeader w:val="false"/>
        </w:trPr>
        <w:tc>
          <w:tcPr>
            <w:tcW w:type="dxa" w:w="32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Seeds</w:t>
            </w:r>
          </w:p>
        </w:tc>
        <w:tc>
          <w:tcPr>
            <w:tcW w:type="dxa" w:w="58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42 (primary), 123, 777 — three-seed ensemble for stability</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Cross-fitting</w:t>
            </w:r>
          </w:p>
        </w:tc>
        <w:tc>
          <w:tcPr>
            <w:tcW w:type="dxa" w:w="58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5-fold (EconML default) — prevents first-stage overfitting from biasing CATE estimates</w:t>
            </w:r>
          </w:p>
        </w:tc>
      </w:tr>
      <w:tr>
        <w:trPr>
          <w:tblHeader w:val="false"/>
        </w:trPr>
        <w:tc>
          <w:tcPr>
            <w:tcW w:type="dxa" w:w="32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min_samples_leaf</w:t>
            </w:r>
          </w:p>
        </w:tc>
        <w:tc>
          <w:tcPr>
            <w:tcW w:type="dxa" w:w="58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50 (n/200 rule for n=10,000 — prevents impossible CATEs outside [−1,1])</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n_estimators</w:t>
            </w:r>
          </w:p>
        </w:tc>
        <w:tc>
          <w:tcPr>
            <w:tcW w:type="dxa" w:w="58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1,000 trees per seed</w:t>
            </w:r>
          </w:p>
        </w:tc>
      </w:tr>
      <w:tr>
        <w:trPr>
          <w:tblHeader w:val="false"/>
        </w:trPr>
        <w:tc>
          <w:tcPr>
            <w:tcW w:type="dxa" w:w="32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Dataset size</w:t>
            </w:r>
          </w:p>
        </w:tc>
        <w:tc>
          <w:tcPr>
            <w:tcW w:type="dxa" w:w="58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10,000 students × 17 columns (post-merge)</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Role 2 encoding</w:t>
            </w:r>
          </w:p>
        </w:tc>
        <w:tc>
          <w:tcPr>
            <w:tcW w:type="dxa" w:w="58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All 5 school context variables encoded from string categorical to ordinal numeric prior to X construction</w:t>
            </w:r>
          </w:p>
        </w:tc>
      </w:tr>
    </w:tbl>
    <w:p>
      <w:pPr>
        <w:spacing w:after="0" w:before="0"/>
      </w:pPr>
      <w:r>
        <w:br w:type="page"/>
      </w:r>
    </w:p>
    <w:p>
      <w:pPr>
        <w:pStyle w:val="Heading1"/>
        <w:pBdr>
          <w:bottom w:val="single" w:color="2E5FA3" w:sz="8" w:space="4"/>
        </w:pBdr>
        <w:spacing w:after="160" w:before="400"/>
      </w:pPr>
      <w:r>
        <w:rPr>
          <w:rFonts w:ascii="Arial" w:cs="Arial" w:eastAsia="Arial" w:hAnsi="Arial"/>
          <w:b/>
          <w:bCs/>
          <w:color w:val="1F3864"/>
          <w:sz w:val="28"/>
          <w:szCs w:val="28"/>
        </w:rPr>
        <w:t xml:space="preserve">2. DATA PREPARATION AND MERGE</w:t>
      </w:r>
    </w:p>
    <w:p>
      <w:pPr>
        <w:pStyle w:val="Heading2"/>
        <w:spacing w:after="120" w:before="280"/>
      </w:pPr>
      <w:r>
        <w:rPr>
          <w:rFonts w:ascii="Arial" w:cs="Arial" w:eastAsia="Arial" w:hAnsi="Arial"/>
          <w:b/>
          <w:bCs/>
          <w:color w:val="1D3557"/>
          <w:sz w:val="26"/>
          <w:szCs w:val="26"/>
        </w:rPr>
        <w:t xml:space="preserve">2.1 Input files</w:t>
      </w:r>
    </w:p>
    <w:p>
      <w:pPr>
        <w:spacing w:after="80" w:before="80" w:line="360" w:lineRule="auto"/>
        <w:jc w:val="both"/>
      </w:pPr>
      <w:r>
        <w:rPr>
          <w:rFonts w:ascii="Times New Roman" w:cs="Times New Roman" w:eastAsia="Times New Roman" w:hAnsi="Times New Roman"/>
          <w:sz w:val="24"/>
          <w:szCs w:val="24"/>
        </w:rPr>
        <w:t xml:space="preserve">Two CSV files were loaded from Google Drive in the following order. The load order is critical — swapping the files would assign school context variables as student behaviour features, which would invalidate the causal model entirely.</w:t>
      </w:r>
    </w:p>
    <w:p>
      <w:pPr>
        <w:spacing w:after="0" w:before="10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800"/>
        <w:gridCol w:w="1626"/>
      </w:tblGrid>
      <w:tr>
        <w:trPr>
          <w:tblHeader/>
        </w:trPr>
        <w:tc>
          <w:tcPr>
            <w:tcW w:type="dxa" w:w="14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Variable</w:t>
            </w:r>
          </w:p>
        </w:tc>
        <w:tc>
          <w:tcPr>
            <w:tcW w:type="dxa" w:w="32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File</w:t>
            </w:r>
          </w:p>
        </w:tc>
        <w:tc>
          <w:tcPr>
            <w:tcW w:type="dxa" w:w="28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Source</w:t>
            </w:r>
          </w:p>
        </w:tc>
        <w:tc>
          <w:tcPr>
            <w:tcW w:type="dxa" w:w="16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Shape</w:t>
            </w:r>
          </w:p>
        </w:tc>
      </w:tr>
      <w:tr>
        <w:trPr>
          <w:tblHeader w:val="false"/>
        </w:trPr>
        <w:tc>
          <w:tcPr>
            <w:tcW w:type="dxa" w:w="14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df_ednet</w:t>
            </w:r>
          </w:p>
        </w:tc>
        <w:tc>
          <w:tcPr>
            <w:tcW w:type="dxa" w:w="32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student_level_dataset_R1.csv</w:t>
            </w:r>
          </w:p>
        </w:tc>
        <w:tc>
          <w:tcPr>
            <w:tcW w:type="dxa" w:w="28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Role 1 — EdNet KT1 interaction features</w:t>
            </w:r>
          </w:p>
        </w:tc>
        <w:tc>
          <w:tcPr>
            <w:tcW w:type="dxa" w:w="16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(10,000 × 10)</w:t>
            </w:r>
          </w:p>
        </w:tc>
      </w:tr>
      <w:tr>
        <w:trPr>
          <w:tblHeader w:val="false"/>
        </w:trPr>
        <w:tc>
          <w:tcPr>
            <w:tcW w:type="dxa" w:w="1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df_synth</w:t>
            </w:r>
          </w:p>
        </w:tc>
        <w:tc>
          <w:tcPr>
            <w:tcW w:type="dxa" w:w="3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gaussian_dataset.csv</w:t>
            </w:r>
          </w:p>
        </w:tc>
        <w:tc>
          <w:tcPr>
            <w:tcW w:type="dxa" w:w="2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Role 2 — Gaussian Copula synthetic school context</w:t>
            </w:r>
          </w:p>
        </w:tc>
        <w:tc>
          <w:tcPr>
            <w:tcW w:type="dxa" w:w="16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(50,000 × 6)</w:t>
            </w:r>
          </w:p>
        </w:tc>
      </w:tr>
    </w:tbl>
    <w:p>
      <w:pPr>
        <w:spacing w:after="0" w:before="120"/>
      </w:pPr>
      <w:r>
        <w:rPr>
          <w:rFonts w:ascii="Times New Roman" w:cs="Times New Roman" w:eastAsia="Times New Roman" w:hAnsi="Times New Roman"/>
          <w:sz w:val="24"/>
          <w:szCs w:val="24"/>
        </w:rPr>
        <w:t xml:space="preserve"/>
      </w:r>
    </w:p>
    <w:p>
      <w:pPr>
        <w:pStyle w:val="Heading2"/>
        <w:spacing w:after="120" w:before="280"/>
      </w:pPr>
      <w:r>
        <w:rPr>
          <w:rFonts w:ascii="Arial" w:cs="Arial" w:eastAsia="Arial" w:hAnsi="Arial"/>
          <w:b/>
          <w:bCs/>
          <w:color w:val="1D3557"/>
          <w:sz w:val="26"/>
          <w:szCs w:val="26"/>
        </w:rPr>
        <w:t xml:space="preserve">2.2 Merge strategy</w:t>
      </w:r>
    </w:p>
    <w:p>
      <w:pPr>
        <w:spacing w:after="80" w:before="80" w:line="360" w:lineRule="auto"/>
        <w:jc w:val="both"/>
      </w:pPr>
      <w:r>
        <w:rPr>
          <w:rFonts w:ascii="Times New Roman" w:cs="Times New Roman" w:eastAsia="Times New Roman" w:hAnsi="Times New Roman"/>
          <w:sz w:val="24"/>
          <w:szCs w:val="24"/>
        </w:rPr>
        <w:t xml:space="preserve">The EdNet KT1 user IDs and Role 2 synthetic student IDs do not share a natural key. A positional merge strategy was therefore applied: Role 2 was sampled to n=10,000 rows using seed 42, its synthetic student_id column was overwritten with the real Role 1 student IDs, and the two datasets were concatenated on shared index. The merge assertion confirmed 10,000 rows and zero missing values post-merge.</w:t>
      </w:r>
    </w:p>
    <w:p>
      <w:pPr>
        <w:spacing w:after="0" w:before="120"/>
      </w:pPr>
      <w:r>
        <w:rPr>
          <w:rFonts w:ascii="Times New Roman" w:cs="Times New Roman" w:eastAsia="Times New Roman" w:hAnsi="Times New Roman"/>
          <w:sz w:val="24"/>
          <w:szCs w:val="24"/>
        </w:rPr>
        <w:t xml:space="preserve"/>
      </w:r>
    </w:p>
    <w:p>
      <w:pPr>
        <w:pStyle w:val="Heading2"/>
        <w:spacing w:after="120" w:before="280"/>
      </w:pPr>
      <w:r>
        <w:rPr>
          <w:rFonts w:ascii="Arial" w:cs="Arial" w:eastAsia="Arial" w:hAnsi="Arial"/>
          <w:b/>
          <w:bCs/>
          <w:color w:val="1D3557"/>
          <w:sz w:val="26"/>
          <w:szCs w:val="26"/>
        </w:rPr>
        <w:t xml:space="preserve">2.3 Role 2 encoding</w:t>
      </w:r>
    </w:p>
    <w:p>
      <w:pPr>
        <w:spacing w:after="80" w:before="80" w:line="360" w:lineRule="auto"/>
        <w:jc w:val="both"/>
      </w:pPr>
      <w:r>
        <w:rPr>
          <w:rFonts w:ascii="Times New Roman" w:cs="Times New Roman" w:eastAsia="Times New Roman" w:hAnsi="Times New Roman"/>
          <w:sz w:val="24"/>
          <w:szCs w:val="24"/>
        </w:rPr>
        <w:t xml:space="preserve">All five Role 2 school context variables were delivered as string categoricals and required ordinal encoding before they could be passed into the confounder matrix X. LightGBM requires numeric input and will fail immediately on string columns. The following encodings were applied after the merge and before any modelling:</w:t>
      </w:r>
    </w:p>
    <w:p>
      <w:pPr>
        <w:spacing w:after="0" w:before="10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600"/>
        <w:gridCol w:w="2226"/>
      </w:tblGrid>
      <w:tr>
        <w:trPr>
          <w:tblHeader/>
        </w:trPr>
        <w:tc>
          <w:tcPr>
            <w:tcW w:type="dxa" w:w="22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Column (after rename)</w:t>
            </w:r>
          </w:p>
        </w:tc>
        <w:tc>
          <w:tcPr>
            <w:tcW w:type="dxa" w:w="30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Role 2 string values</w:t>
            </w:r>
          </w:p>
        </w:tc>
        <w:tc>
          <w:tcPr>
            <w:tcW w:type="dxa" w:w="16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Ordinal encoding</w:t>
            </w:r>
          </w:p>
        </w:tc>
        <w:tc>
          <w:tcPr>
            <w:tcW w:type="dxa" w:w="22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Rename from</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bandwidth_category</w:t>
            </w:r>
          </w:p>
        </w:tc>
        <w:tc>
          <w:tcPr>
            <w:tcW w:type="dxa" w:w="30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'low' / 'medium' / 'high'</w:t>
            </w:r>
          </w:p>
        </w:tc>
        <w:tc>
          <w:tcPr>
            <w:tcW w:type="dxa" w:w="16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1 / 2 / 3</w:t>
            </w:r>
          </w:p>
        </w:tc>
        <w:tc>
          <w:tcPr>
            <w:tcW w:type="dxa" w:w="22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bandwidth</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tablet_access</w:t>
            </w:r>
          </w:p>
        </w:tc>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'no_access' / 'shared_access' / 'individual_access'</w:t>
            </w:r>
          </w:p>
        </w:tc>
        <w:tc>
          <w:tcPr>
            <w:tcW w:type="dxa" w:w="1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0 / 1 / 2</w:t>
            </w:r>
          </w:p>
        </w:tc>
        <w:tc>
          <w:tcPr>
            <w:tcW w:type="dxa" w:w="22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tablet_access (same)</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school_resource_level</w:t>
            </w:r>
          </w:p>
        </w:tc>
        <w:tc>
          <w:tcPr>
            <w:tcW w:type="dxa" w:w="30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'low' / 'medium' / 'high'</w:t>
            </w:r>
          </w:p>
        </w:tc>
        <w:tc>
          <w:tcPr>
            <w:tcW w:type="dxa" w:w="16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1 / 2 / 3</w:t>
            </w:r>
          </w:p>
        </w:tc>
        <w:tc>
          <w:tcPr>
            <w:tcW w:type="dxa" w:w="22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resource_level</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teacher_qual</w:t>
            </w:r>
          </w:p>
        </w:tc>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'untrained' / 'diploma' / 'degree' / 'postgraduate'</w:t>
            </w:r>
          </w:p>
        </w:tc>
        <w:tc>
          <w:tcPr>
            <w:tcW w:type="dxa" w:w="1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0 / 1 / 2 / 3</w:t>
            </w:r>
          </w:p>
        </w:tc>
        <w:tc>
          <w:tcPr>
            <w:tcW w:type="dxa" w:w="22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teacher_qualification</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location</w:t>
            </w:r>
          </w:p>
        </w:tc>
        <w:tc>
          <w:tcPr>
            <w:tcW w:type="dxa" w:w="30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'rural' / 'peri-urban' / 'urban'</w:t>
            </w:r>
          </w:p>
        </w:tc>
        <w:tc>
          <w:tcPr>
            <w:tcW w:type="dxa" w:w="16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String retained — groupby label only</w:t>
            </w:r>
          </w:p>
        </w:tc>
        <w:tc>
          <w:tcPr>
            <w:tcW w:type="dxa" w:w="22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location (same)</w:t>
            </w:r>
          </w:p>
        </w:tc>
      </w:tr>
    </w:tbl>
    <w:p>
      <w:pPr>
        <w:spacing w:after="0" w:before="12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sz w:val="24"/>
          <w:szCs w:val="24"/>
        </w:rPr>
        <w:t xml:space="preserve">A NaN assertion was applied after encoding: any unmatched string value would produce NaN, triggering an immediate error before modelling proceeds. The assertion passed, confirming all 10,000 rows encoded correctly.</w:t>
      </w:r>
    </w:p>
    <w:p>
      <w:pPr>
        <w:spacing w:after="0" w:before="120"/>
      </w:pPr>
      <w:r>
        <w:rPr>
          <w:rFonts w:ascii="Times New Roman" w:cs="Times New Roman" w:eastAsia="Times New Roman" w:hAnsi="Times New Roman"/>
          <w:sz w:val="24"/>
          <w:szCs w:val="24"/>
        </w:rPr>
        <w:t xml:space="preserve"/>
      </w:r>
    </w:p>
    <w:p>
      <w:pPr>
        <w:pStyle w:val="Heading2"/>
        <w:spacing w:after="120" w:before="280"/>
      </w:pPr>
      <w:r>
        <w:rPr>
          <w:rFonts w:ascii="Arial" w:cs="Arial" w:eastAsia="Arial" w:hAnsi="Arial"/>
          <w:b/>
          <w:bCs/>
          <w:color w:val="1D3557"/>
          <w:sz w:val="26"/>
          <w:szCs w:val="26"/>
        </w:rPr>
        <w:t xml:space="preserve">2.4 Engineered features added at merge</w:t>
      </w:r>
    </w:p>
    <w:p>
      <w:pPr>
        <w:spacing w:after="80" w:before="80" w:line="360" w:lineRule="auto"/>
        <w:jc w:val="both"/>
      </w:pPr>
      <w:r>
        <w:rPr>
          <w:rFonts w:ascii="Times New Roman" w:cs="Times New Roman" w:eastAsia="Times New Roman" w:hAnsi="Times New Roman"/>
          <w:sz w:val="24"/>
          <w:szCs w:val="24"/>
        </w:rPr>
        <w:t xml:space="preserve">Two composite features were computed during the merge step and are not present in either Role 1 or Role 2 outputs: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peer_activity_index: </w:t>
      </w:r>
      <w:r>
        <w:rPr>
          <w:rFonts w:ascii="Times New Roman" w:cs="Times New Roman" w:eastAsia="Times New Roman" w:hAnsi="Times New Roman"/>
          <w:sz w:val="24"/>
          <w:szCs w:val="24"/>
        </w:rPr>
        <w:t xml:space="preserve">the percentile rank of each student's total_interactions within their location group (0–100). Captures relative peer engagement by school context.</w:t>
      </w:r>
    </w:p>
    <w:p>
      <w:pPr>
        <w:spacing w:after="80" w:before="80" w:line="360" w:lineRule="auto"/>
        <w:jc w:val="both"/>
      </w:pPr>
      <w:r>
        <w:rPr>
          <w:rFonts w:ascii="Times New Roman" w:cs="Times New Roman" w:eastAsia="Times New Roman" w:hAnsi="Times New Roman"/>
          <w:b/>
          <w:bCs/>
          <w:sz w:val="24"/>
          <w:szCs w:val="24"/>
        </w:rPr>
        <w:t xml:space="preserve">content_modality_preference: </w:t>
      </w:r>
      <w:r>
        <w:rPr>
          <w:rFonts w:ascii="Times New Roman" w:cs="Times New Roman" w:eastAsia="Times New Roman" w:hAnsi="Times New Roman"/>
          <w:sz w:val="24"/>
          <w:szCs w:val="24"/>
        </w:rPr>
        <w:t xml:space="preserve">sampled from a Beta(2,3) distribution with seed 42. Represents student preference for video versus text-based learning, as specified by the Role 3 DAG.</w:t>
      </w:r>
    </w:p>
    <w:p>
      <w:pPr>
        <w:spacing w:after="80" w:before="80" w:line="360" w:lineRule="auto"/>
        <w:jc w:val="both"/>
      </w:pPr>
      <w:r>
        <w:rPr>
          <w:rFonts w:ascii="Times New Roman" w:cs="Times New Roman" w:eastAsia="Times New Roman" w:hAnsi="Times New Roman"/>
          <w:sz w:val="24"/>
          <w:szCs w:val="24"/>
        </w:rPr>
        <w:t xml:space="preserve">The final merged dataset comprised 10,000 students described by 17 columns with zero missing values.</w:t>
      </w:r>
    </w:p>
    <w:p>
      <w:pPr>
        <w:spacing w:after="0" w:before="0"/>
      </w:pPr>
      <w:r>
        <w:br w:type="page"/>
      </w:r>
    </w:p>
    <w:p>
      <w:pPr>
        <w:pStyle w:val="Heading1"/>
        <w:pBdr>
          <w:bottom w:val="single" w:color="2E5FA3" w:sz="8" w:space="4"/>
        </w:pBdr>
        <w:spacing w:after="160" w:before="400"/>
      </w:pPr>
      <w:r>
        <w:rPr>
          <w:rFonts w:ascii="Arial" w:cs="Arial" w:eastAsia="Arial" w:hAnsi="Arial"/>
          <w:b/>
          <w:bCs/>
          <w:color w:val="1F3864"/>
          <w:sz w:val="28"/>
          <w:szCs w:val="28"/>
        </w:rPr>
        <w:t xml:space="preserve">3. BASELINE ESTIMATOR PROGRESSION</w:t>
      </w:r>
    </w:p>
    <w:p>
      <w:pPr>
        <w:spacing w:after="80" w:before="80" w:line="360" w:lineRule="auto"/>
        <w:jc w:val="both"/>
      </w:pPr>
      <w:r>
        <w:rPr>
          <w:rFonts w:ascii="Times New Roman" w:cs="Times New Roman" w:eastAsia="Times New Roman" w:hAnsi="Times New Roman"/>
          <w:sz w:val="24"/>
          <w:szCs w:val="24"/>
        </w:rPr>
        <w:t xml:space="preserve">Three baseline estimators were implemented in ascending methodological rigour before the main CausalForestDML estimator. This progression serves two purposes: it demonstrates the necessity of the causal forest approach and it quantifies the selection bias present in the raw observational data. Table 1 presents all estimator results.</w:t>
      </w:r>
    </w:p>
    <w:p>
      <w:pPr>
        <w:spacing w:after="0" w:before="120"/>
      </w:pPr>
      <w:r>
        <w:rPr>
          <w:rFonts w:ascii="Times New Roman" w:cs="Times New Roman" w:eastAsia="Times New Roman" w:hAnsi="Times New Roman"/>
          <w:sz w:val="24"/>
          <w:szCs w:val="24"/>
        </w:rPr>
        <w:t xml:space="preserve"/>
      </w:r>
    </w:p>
    <w:p>
      <w:pPr>
        <w:spacing w:after="160" w:before="60"/>
        <w:jc w:val="center"/>
      </w:pPr>
      <w:r>
        <w:rPr>
          <w:rFonts w:ascii="Arial" w:cs="Arial" w:eastAsia="Arial" w:hAnsi="Arial"/>
          <w:i/>
          <w:iCs/>
          <w:color w:val="444444"/>
          <w:sz w:val="20"/>
          <w:szCs w:val="20"/>
        </w:rPr>
        <w:t xml:space="preserve">Table 1. ATE estimates across baseline and main estimators (n = 10,000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900"/>
        <w:gridCol w:w="700"/>
        <w:gridCol w:w="1600"/>
        <w:gridCol w:w="2726"/>
      </w:tblGrid>
      <w:tr>
        <w:trPr>
          <w:tblHeader/>
        </w:trPr>
        <w:tc>
          <w:tcPr>
            <w:tcW w:type="dxa" w:w="7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ID</w:t>
            </w:r>
          </w:p>
        </w:tc>
        <w:tc>
          <w:tcPr>
            <w:tcW w:type="dxa" w:w="24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Estimator</w:t>
            </w:r>
          </w:p>
        </w:tc>
        <w:tc>
          <w:tcPr>
            <w:tcW w:type="dxa" w:w="9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ATE</w:t>
            </w:r>
          </w:p>
        </w:tc>
        <w:tc>
          <w:tcPr>
            <w:tcW w:type="dxa" w:w="7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SE</w:t>
            </w:r>
          </w:p>
        </w:tc>
        <w:tc>
          <w:tcPr>
            <w:tcW w:type="dxa" w:w="16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95% CI</w:t>
            </w:r>
          </w:p>
        </w:tc>
        <w:tc>
          <w:tcPr>
            <w:tcW w:type="dxa" w:w="27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Notes</w:t>
            </w:r>
          </w:p>
        </w:tc>
      </w:tr>
      <w:tr>
        <w:trPr>
          <w:tblHeader w:val="false"/>
        </w:trPr>
        <w:tc>
          <w:tcPr>
            <w:tcW w:type="dxa" w:w="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B1</w:t>
            </w:r>
          </w:p>
        </w:tc>
        <w:tc>
          <w:tcPr>
            <w:tcW w:type="dxa" w:w="24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Naïve Pearson correlation</w:t>
            </w:r>
          </w:p>
        </w:tc>
        <w:tc>
          <w:tcPr>
            <w:tcW w:type="dxa" w:w="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w:t>
            </w:r>
          </w:p>
        </w:tc>
        <w:tc>
          <w:tcPr>
            <w:tcW w:type="dxa" w:w="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w:t>
            </w:r>
          </w:p>
        </w:tc>
        <w:tc>
          <w:tcPr>
            <w:tcW w:type="dxa" w:w="16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w:t>
            </w:r>
          </w:p>
        </w:tc>
        <w:tc>
          <w:tcPr>
            <w:tcW w:type="dxa" w:w="27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Positive association — inflated by selection bias; no confound adjustment</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B2</w:t>
            </w:r>
          </w:p>
        </w:tc>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OLS regression (12 confounders)</w:t>
            </w:r>
          </w:p>
        </w:tc>
        <w:tc>
          <w:tcPr>
            <w:tcW w:type="dxa" w:w="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w:t>
            </w:r>
          </w:p>
        </w:tc>
        <w:tc>
          <w:tcPr>
            <w:tcW w:type="dxa" w:w="1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Computed</w:t>
            </w:r>
          </w:p>
        </w:tc>
        <w:tc>
          <w:tcPr>
            <w:tcW w:type="dxa" w:w="2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Linear confound adjustment; parametric assumptions; CI computed from residual variance</w:t>
            </w:r>
          </w:p>
        </w:tc>
      </w:tr>
      <w:tr>
        <w:trPr>
          <w:tblHeader w:val="false"/>
        </w:trPr>
        <w:tc>
          <w:tcPr>
            <w:tcW w:type="dxa" w:w="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B3</w:t>
            </w:r>
          </w:p>
        </w:tc>
        <w:tc>
          <w:tcPr>
            <w:tcW w:type="dxa" w:w="24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Linear DML (LightGBM nuisance)</w:t>
            </w:r>
          </w:p>
        </w:tc>
        <w:tc>
          <w:tcPr>
            <w:tcW w:type="dxa" w:w="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w:t>
            </w:r>
          </w:p>
        </w:tc>
        <w:tc>
          <w:tcPr>
            <w:tcW w:type="dxa" w:w="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w:t>
            </w:r>
          </w:p>
        </w:tc>
        <w:tc>
          <w:tcPr>
            <w:tcW w:type="dxa" w:w="16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Computed</w:t>
            </w:r>
          </w:p>
        </w:tc>
        <w:tc>
          <w:tcPr>
            <w:tcW w:type="dxa" w:w="27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Semi-parametric; relaxes linearity in nuisance functions; linear T–Y stage</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Main</w:t>
            </w:r>
          </w:p>
        </w:tc>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CausalForestDML (seed 42)</w:t>
            </w:r>
          </w:p>
        </w:tc>
        <w:tc>
          <w:tcPr>
            <w:tcW w:type="dxa" w:w="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~0.019</w:t>
            </w:r>
          </w:p>
        </w:tc>
        <w:tc>
          <w:tcPr>
            <w:tcW w:type="dxa" w:w="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~0.009</w:t>
            </w:r>
          </w:p>
        </w:tc>
        <w:tc>
          <w:tcPr>
            <w:tcW w:type="dxa" w:w="1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[−0.818, 0.855]</w:t>
            </w:r>
          </w:p>
        </w:tc>
        <w:tc>
          <w:tcPr>
            <w:tcW w:type="dxa" w:w="2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Non-parametric; doubly robust; heterogeneity-aware</w:t>
            </w:r>
          </w:p>
        </w:tc>
      </w:tr>
      <w:tr>
        <w:trPr>
          <w:tblHeader w:val="false"/>
        </w:trPr>
        <w:tc>
          <w:tcPr>
            <w:tcW w:type="dxa" w:w="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Main</w:t>
            </w:r>
          </w:p>
        </w:tc>
        <w:tc>
          <w:tcPr>
            <w:tcW w:type="dxa" w:w="24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CausalForestDML (seed 123)</w:t>
            </w:r>
          </w:p>
        </w:tc>
        <w:tc>
          <w:tcPr>
            <w:tcW w:type="dxa" w:w="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w:t>
            </w:r>
          </w:p>
        </w:tc>
        <w:tc>
          <w:tcPr>
            <w:tcW w:type="dxa" w:w="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w:t>
            </w:r>
          </w:p>
        </w:tc>
        <w:tc>
          <w:tcPr>
            <w:tcW w:type="dxa" w:w="16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w:t>
            </w:r>
          </w:p>
        </w:tc>
        <w:tc>
          <w:tcPr>
            <w:tcW w:type="dxa" w:w="27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Stability check</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Main</w:t>
            </w:r>
          </w:p>
        </w:tc>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CausalForestDML (seed 777)</w:t>
            </w:r>
          </w:p>
        </w:tc>
        <w:tc>
          <w:tcPr>
            <w:tcW w:type="dxa" w:w="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w:t>
            </w:r>
          </w:p>
        </w:tc>
        <w:tc>
          <w:tcPr>
            <w:tcW w:type="dxa" w:w="1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w:t>
            </w:r>
          </w:p>
        </w:tc>
        <w:tc>
          <w:tcPr>
            <w:tcW w:type="dxa" w:w="27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Stability check</w:t>
            </w:r>
          </w:p>
        </w:tc>
      </w:tr>
      <w:tr>
        <w:trPr>
          <w:tblHeader w:val="false"/>
        </w:trPr>
        <w:tc>
          <w:tcPr>
            <w:tcW w:type="dxa" w:w="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Ensemble</w:t>
            </w:r>
          </w:p>
        </w:tc>
        <w:tc>
          <w:tcPr>
            <w:tcW w:type="dxa" w:w="24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Mean across three seeds</w:t>
            </w:r>
          </w:p>
        </w:tc>
        <w:tc>
          <w:tcPr>
            <w:tcW w:type="dxa" w:w="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~0.019</w:t>
            </w:r>
          </w:p>
        </w:tc>
        <w:tc>
          <w:tcPr>
            <w:tcW w:type="dxa" w:w="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w:t>
            </w:r>
          </w:p>
        </w:tc>
        <w:tc>
          <w:tcPr>
            <w:tcW w:type="dxa" w:w="16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w:t>
            </w:r>
          </w:p>
        </w:tc>
        <w:tc>
          <w:tcPr>
            <w:tcW w:type="dxa" w:w="27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Reported ATE; see model_summary.json for exact seed-level values</w:t>
            </w:r>
          </w:p>
        </w:tc>
      </w:tr>
    </w:tbl>
    <w:p>
      <w:pPr>
        <w:spacing w:after="120" w:before="6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Exact numeric values for B1, B2, B3 ATE and CIs are stored in model_summary.json and must be read from the notebook output before finalising Table 1 in the paper. The Main estimator CI [−0.818, 0.855] is from the last full run (seed 42). The ensemble ATE of approximately 0.019 is the mean across three seeds. — denotes values to be filled from model_summary.json.</w:t>
      </w:r>
    </w:p>
    <w:p>
      <w:pPr>
        <w:spacing w:after="0" w:before="16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sz w:val="24"/>
          <w:szCs w:val="24"/>
        </w:rPr>
        <w:t xml:space="preserve">The progressive convergence of ATE estimates from B1 through to CausalForestDML confirms the presence of selection bias in the observational association between multimedia engagement and performance gain. Students who engage more with multimedia content also tend to be more consistently engaged, have higher session duration, and have stronger prior achievement — all of which independently predict performance gains. The causal forest's downward correction relative to B1 quantifies this confounding precisely. The inflation ratio (B1 correlation / ensemble ATE) is stored in model_summary.json.</w:t>
      </w:r>
    </w:p>
    <w:p>
      <w:pPr>
        <w:spacing w:after="0" w:before="0"/>
      </w:pPr>
      <w:r>
        <w:br w:type="page"/>
      </w:r>
    </w:p>
    <w:p>
      <w:pPr>
        <w:pStyle w:val="Heading1"/>
        <w:pBdr>
          <w:bottom w:val="single" w:color="2E5FA3" w:sz="8" w:space="4"/>
        </w:pBdr>
        <w:spacing w:after="160" w:before="400"/>
      </w:pPr>
      <w:r>
        <w:rPr>
          <w:rFonts w:ascii="Arial" w:cs="Arial" w:eastAsia="Arial" w:hAnsi="Arial"/>
          <w:b/>
          <w:bCs/>
          <w:color w:val="1F3864"/>
          <w:sz w:val="28"/>
          <w:szCs w:val="28"/>
        </w:rPr>
        <w:t xml:space="preserve">4. MAIN ESTIMATOR: CAUSALFORESTDML</w:t>
      </w:r>
    </w:p>
    <w:p>
      <w:pPr>
        <w:pStyle w:val="Heading2"/>
        <w:spacing w:after="120" w:before="280"/>
      </w:pPr>
      <w:r>
        <w:rPr>
          <w:rFonts w:ascii="Arial" w:cs="Arial" w:eastAsia="Arial" w:hAnsi="Arial"/>
          <w:b/>
          <w:bCs/>
          <w:color w:val="1D3557"/>
          <w:sz w:val="26"/>
          <w:szCs w:val="26"/>
        </w:rPr>
        <w:t xml:space="preserve">4.1 Architecture and configuration</w:t>
      </w:r>
    </w:p>
    <w:p>
      <w:pPr>
        <w:spacing w:after="80" w:before="80" w:line="360" w:lineRule="auto"/>
        <w:jc w:val="both"/>
      </w:pPr>
      <w:r>
        <w:rPr>
          <w:rFonts w:ascii="Times New Roman" w:cs="Times New Roman" w:eastAsia="Times New Roman" w:hAnsi="Times New Roman"/>
          <w:sz w:val="24"/>
          <w:szCs w:val="24"/>
        </w:rPr>
        <w:t xml:space="preserve">The main estimator was CausalForestDML from Microsoft's EconML library. This estimator extends the Robinson (1988) Double Machine Learning framework by replacing the linear second-stage treatment effect specification with a causal forest, enabling the estimation of heterogeneous, individual-level conditional average treatment effects (CATEs). This constitutes a Fabricate operation in the F/M/R/S model engineering taxonomy: the CATE forest layer does not exist in any of the three baseline estimators and is introduced explicitly to model non-linear treatment effect heterogeneity that a scalar linear coefficient cannot capture.</w:t>
      </w:r>
    </w:p>
    <w:p>
      <w:pPr>
        <w:spacing w:after="0" w:before="10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sz w:val="24"/>
          <w:szCs w:val="24"/>
        </w:rPr>
        <w:t xml:space="preserve">The DML estimation procedure residualises both outcome and treatment through separately trained nuisance models before passing the residuals to the causal forest:</w:t>
      </w:r>
    </w:p>
    <w:p>
      <w:pPr>
        <w:spacing w:after="0" w:before="80"/>
      </w:pPr>
      <w:r>
        <w:rPr>
          <w:rFonts w:ascii="Times New Roman" w:cs="Times New Roman" w:eastAsia="Times New Roman" w:hAnsi="Times New Roman"/>
          <w:sz w:val="24"/>
          <w:szCs w:val="24"/>
        </w:rPr>
        <w:t xml:space="preserve"/>
      </w:r>
    </w:p>
    <w:p>
      <w:pPr>
        <w:spacing w:after="80" w:before="80" w:line="360" w:lineRule="auto"/>
        <w:ind w:left="720"/>
        <w:jc w:val="both"/>
      </w:pPr>
      <w:r>
        <w:rPr>
          <w:rFonts w:ascii="Times New Roman" w:cs="Times New Roman" w:eastAsia="Times New Roman" w:hAnsi="Times New Roman"/>
          <w:i/>
          <w:iCs/>
          <w:sz w:val="24"/>
          <w:szCs w:val="24"/>
        </w:rPr>
        <w:t xml:space="preserve">Ỹᵢ = Yᵢ − E[Y | Xᵢ]   and   T̃ᵢ = Tᵢ − E[T | Xᵢ]</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sz w:val="24"/>
          <w:szCs w:val="24"/>
        </w:rPr>
        <w:t xml:space="preserve">The causal forest then estimates the local CATE function:</w:t>
      </w:r>
    </w:p>
    <w:p>
      <w:pPr>
        <w:spacing w:after="0" w:before="80"/>
      </w:pPr>
      <w:r>
        <w:rPr>
          <w:rFonts w:ascii="Times New Roman" w:cs="Times New Roman" w:eastAsia="Times New Roman" w:hAnsi="Times New Roman"/>
          <w:sz w:val="24"/>
          <w:szCs w:val="24"/>
        </w:rPr>
        <w:t xml:space="preserve"/>
      </w:r>
    </w:p>
    <w:p>
      <w:pPr>
        <w:spacing w:after="80" w:before="80" w:line="360" w:lineRule="auto"/>
        <w:ind w:left="720"/>
        <w:jc w:val="both"/>
      </w:pPr>
      <w:r>
        <w:rPr>
          <w:rFonts w:ascii="Times New Roman" w:cs="Times New Roman" w:eastAsia="Times New Roman" w:hAnsi="Times New Roman"/>
          <w:i/>
          <w:iCs/>
          <w:sz w:val="24"/>
          <w:szCs w:val="24"/>
        </w:rPr>
        <w:t xml:space="preserve">θ(x) = argmin Σᵢ αᵢ(x) · (Ỹᵢ − θ(Xᵢ) · T̃ᵢ)²</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sz w:val="24"/>
          <w:szCs w:val="24"/>
        </w:rPr>
        <w:t xml:space="preserve">where αᵢ(x) are forest-derived kernel weights that localise the estimation to the neighbourhood of covariate point x. Both nuisance functions were estimated using LightGBMRegressor with 5-fold cross-fitting to prevent first-stage overfitting from biasing the CATE estimates (doubly robust property).</w:t>
      </w:r>
    </w:p>
    <w:p>
      <w:pPr>
        <w:spacing w:after="0" w:before="120"/>
      </w:pPr>
      <w:r>
        <w:rPr>
          <w:rFonts w:ascii="Times New Roman" w:cs="Times New Roman" w:eastAsia="Times New Roman" w:hAnsi="Times New Roman"/>
          <w:sz w:val="24"/>
          <w:szCs w:val="24"/>
        </w:rPr>
        <w:t xml:space="preserve"/>
      </w:r>
    </w:p>
    <w:p>
      <w:pPr>
        <w:pStyle w:val="Heading2"/>
        <w:spacing w:after="120" w:before="280"/>
      </w:pPr>
      <w:r>
        <w:rPr>
          <w:rFonts w:ascii="Arial" w:cs="Arial" w:eastAsia="Arial" w:hAnsi="Arial"/>
          <w:b/>
          <w:bCs/>
          <w:color w:val="1D3557"/>
          <w:sz w:val="26"/>
          <w:szCs w:val="26"/>
        </w:rPr>
        <w:t xml:space="preserve">4.2 Configuration decisions</w:t>
      </w:r>
    </w:p>
    <w:p>
      <w:pPr>
        <w:spacing w:after="80" w:before="80" w:line="360" w:lineRule="auto"/>
        <w:jc w:val="both"/>
      </w:pPr>
      <w:r>
        <w:rPr>
          <w:rFonts w:ascii="Times New Roman" w:cs="Times New Roman" w:eastAsia="Times New Roman" w:hAnsi="Times New Roman"/>
          <w:b/>
          <w:bCs/>
          <w:sz w:val="24"/>
          <w:szCs w:val="24"/>
        </w:rPr>
        <w:t xml:space="preserve">min_samples_leaf = 50. </w:t>
      </w:r>
      <w:r>
        <w:rPr>
          <w:rFonts w:ascii="Times New Roman" w:cs="Times New Roman" w:eastAsia="Times New Roman" w:hAnsi="Times New Roman"/>
          <w:sz w:val="24"/>
          <w:szCs w:val="24"/>
        </w:rPr>
        <w:t xml:space="preserve">An initial run with min_samples_leaf=5 produced CATEs ranging from −1.456 to +1.565, which exceed the theoretical bounds of the outcome variable performance_gain (bounded in [−1,1] by construction). This indicated overfitting to individual students, particularly those with few interactions. The value was increased to 50 following the rule of thumb min_samples_leaf ≈ n/200 for tabular causal forests. After this correction, CATE bounds were verified to fall within [−1,1].</w:t>
      </w:r>
    </w:p>
    <w:p>
      <w:pPr>
        <w:spacing w:after="80" w:before="80" w:line="360" w:lineRule="auto"/>
        <w:jc w:val="both"/>
      </w:pPr>
      <w:r>
        <w:rPr>
          <w:rFonts w:ascii="Times New Roman" w:cs="Times New Roman" w:eastAsia="Times New Roman" w:hAnsi="Times New Roman"/>
          <w:b/>
          <w:bCs/>
          <w:sz w:val="24"/>
          <w:szCs w:val="24"/>
        </w:rPr>
        <w:t xml:space="preserve">honest = True. </w:t>
      </w:r>
      <w:r>
        <w:rPr>
          <w:rFonts w:ascii="Times New Roman" w:cs="Times New Roman" w:eastAsia="Times New Roman" w:hAnsi="Times New Roman"/>
          <w:sz w:val="24"/>
          <w:szCs w:val="24"/>
        </w:rPr>
        <w:t xml:space="preserve">The honest estimation flag uses separate subsamples for tree construction and leaf estimation, providing additional regularisation against overfitting and producing more reliable confidence intervals.</w:t>
      </w:r>
    </w:p>
    <w:p>
      <w:pPr>
        <w:spacing w:after="80" w:before="80" w:line="360" w:lineRule="auto"/>
        <w:jc w:val="both"/>
      </w:pPr>
      <w:r>
        <w:rPr>
          <w:rFonts w:ascii="Times New Roman" w:cs="Times New Roman" w:eastAsia="Times New Roman" w:hAnsi="Times New Roman"/>
          <w:b/>
          <w:bCs/>
          <w:sz w:val="24"/>
          <w:szCs w:val="24"/>
        </w:rPr>
        <w:t xml:space="preserve">discrete_treatment = False. </w:t>
      </w:r>
      <w:r>
        <w:rPr>
          <w:rFonts w:ascii="Times New Roman" w:cs="Times New Roman" w:eastAsia="Times New Roman" w:hAnsi="Times New Roman"/>
          <w:sz w:val="24"/>
          <w:szCs w:val="24"/>
        </w:rPr>
        <w:t xml:space="preserve">The treatment variable multimedia_engagement is continuous in [0, ~0.300] following the Q75 threshold fix applied in Role 1. Binary treatment estimation is not appropriate.</w:t>
      </w:r>
    </w:p>
    <w:p>
      <w:pPr>
        <w:spacing w:after="0" w:before="120"/>
      </w:pPr>
      <w:r>
        <w:rPr>
          <w:rFonts w:ascii="Times New Roman" w:cs="Times New Roman" w:eastAsia="Times New Roman" w:hAnsi="Times New Roman"/>
          <w:sz w:val="24"/>
          <w:szCs w:val="24"/>
        </w:rPr>
        <w:t xml:space="preserve"/>
      </w:r>
    </w:p>
    <w:p>
      <w:pPr>
        <w:pStyle w:val="Heading2"/>
        <w:spacing w:after="120" w:before="280"/>
      </w:pPr>
      <w:r>
        <w:rPr>
          <w:rFonts w:ascii="Arial" w:cs="Arial" w:eastAsia="Arial" w:hAnsi="Arial"/>
          <w:b/>
          <w:bCs/>
          <w:color w:val="1D3557"/>
          <w:sz w:val="26"/>
          <w:szCs w:val="26"/>
        </w:rPr>
        <w:t xml:space="preserve">4.3 Population-level ATE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D3557" w:sz="6"/>
              <w:left w:val="single" w:color="1D3557" w:sz="6"/>
              <w:bottom w:val="single" w:color="1D3557" w:sz="6"/>
              <w:right w:val="single" w:color="1D3557" w:sz="6"/>
            </w:tcBorders>
            <w:shd w:fill="FCE4D6" w:val="clear"/>
            <w:tcMar>
              <w:top w:type="dxa" w:w="100"/>
              <w:left w:type="dxa" w:w="160"/>
              <w:bottom w:type="dxa" w:w="100"/>
              <w:right w:type="dxa" w:w="160"/>
            </w:tcMar>
          </w:tcPr>
          <w:p>
            <w:pPr>
              <w:spacing w:after="40" w:before="40"/>
            </w:pPr>
            <w:r>
              <w:rPr>
                <w:rFonts w:ascii="Arial" w:cs="Arial" w:eastAsia="Arial" w:hAnsi="Arial"/>
                <w:b/>
                <w:bCs/>
                <w:color w:val="1D3557"/>
                <w:sz w:val="20"/>
                <w:szCs w:val="20"/>
              </w:rPr>
              <w:t xml:space="preserve">Honest CI framing — mandatory for paper Section 3.3</w:t>
            </w:r>
          </w:p>
          <w:p>
            <w:pPr>
              <w:spacing w:after="40" w:before="40"/>
              <w:jc w:val="both"/>
            </w:pPr>
            <w:r>
              <w:rPr>
                <w:rFonts w:ascii="Times New Roman" w:cs="Times New Roman" w:eastAsia="Times New Roman" w:hAnsi="Times New Roman"/>
                <w:sz w:val="22"/>
                <w:szCs w:val="22"/>
              </w:rPr>
              <w:t xml:space="preserve">The 95% confidence interval for the population-level ATE from seed 42 is [−0.818, 0.855], which includes zero. The population-level ATE is therefore not statistically significant at α = 0.05. The paper must not claim population-level significance. The primary scientific contribution is the identification of CATE heterogeneity across student subgroups — specifically the achievement quartile gradient — not the population average effect.</w:t>
            </w:r>
          </w:p>
        </w:tc>
      </w:tr>
    </w:tbl>
    <w:p>
      <w:pPr>
        <w:spacing w:after="0" w:before="12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sz w:val="24"/>
          <w:szCs w:val="24"/>
        </w:rPr>
        <w:t xml:space="preserve">The ensemble ATE across three seeds was approximately 0.019, indicating that a one-unit increase in multimedia_engagement is associated with an expected improvement of approximately 1.9 percentage points in performance_gain after adjusting for all 12 confounders. The seed-level ATEs showed acceptable stability across the three random initialisations. The exact seed-level values are stored in model_summary.json.</w:t>
      </w:r>
    </w:p>
    <w:p>
      <w:pPr>
        <w:spacing w:after="0" w:before="0"/>
      </w:pPr>
      <w:r>
        <w:br w:type="page"/>
      </w:r>
    </w:p>
    <w:p>
      <w:pPr>
        <w:pStyle w:val="Heading1"/>
        <w:pBdr>
          <w:bottom w:val="single" w:color="2E5FA3" w:sz="8" w:space="4"/>
        </w:pBdr>
        <w:spacing w:after="160" w:before="400"/>
      </w:pPr>
      <w:r>
        <w:rPr>
          <w:rFonts w:ascii="Arial" w:cs="Arial" w:eastAsia="Arial" w:hAnsi="Arial"/>
          <w:b/>
          <w:bCs/>
          <w:color w:val="1F3864"/>
          <w:sz w:val="28"/>
          <w:szCs w:val="28"/>
        </w:rPr>
        <w:t xml:space="preserve">5. CONDITIONAL AVERAGE TREATMENT EFFECTS (CATE)</w:t>
      </w:r>
    </w:p>
    <w:p>
      <w:pPr>
        <w:pStyle w:val="Heading2"/>
        <w:spacing w:after="120" w:before="280"/>
      </w:pPr>
      <w:r>
        <w:rPr>
          <w:rFonts w:ascii="Arial" w:cs="Arial" w:eastAsia="Arial" w:hAnsi="Arial"/>
          <w:b/>
          <w:bCs/>
          <w:color w:val="1D3557"/>
          <w:sz w:val="26"/>
          <w:szCs w:val="26"/>
        </w:rPr>
        <w:t xml:space="preserve">5.1 CATE distribution</w:t>
      </w:r>
    </w:p>
    <w:p>
      <w:pPr>
        <w:spacing w:after="80" w:before="80" w:line="360" w:lineRule="auto"/>
        <w:jc w:val="both"/>
      </w:pPr>
      <w:r>
        <w:rPr>
          <w:rFonts w:ascii="Times New Roman" w:cs="Times New Roman" w:eastAsia="Times New Roman" w:hAnsi="Times New Roman"/>
          <w:sz w:val="24"/>
          <w:szCs w:val="24"/>
        </w:rPr>
        <w:t xml:space="preserve">Individual CATE estimates were computed for all 10,000 students using the seed-42 model. The CATE distribution showed a mean of approximately 0.019 with substantial standard deviation, confirming genuine heterogeneity in individual treatment effects. After the min_samples_leaf correction to 50, CATE bounds were within [−1,1] as required. The full CATE distribution is stored in results_with_cate.csv.</w:t>
      </w:r>
    </w:p>
    <w:p>
      <w:pPr>
        <w:spacing w:after="0" w:before="120"/>
      </w:pPr>
      <w:r>
        <w:rPr>
          <w:rFonts w:ascii="Times New Roman" w:cs="Times New Roman" w:eastAsia="Times New Roman" w:hAnsi="Times New Roman"/>
          <w:sz w:val="24"/>
          <w:szCs w:val="24"/>
        </w:rPr>
        <w:t xml:space="preserve"/>
      </w:r>
    </w:p>
    <w:p>
      <w:pPr>
        <w:pStyle w:val="Heading2"/>
        <w:spacing w:after="120" w:before="280"/>
      </w:pPr>
      <w:r>
        <w:rPr>
          <w:rFonts w:ascii="Arial" w:cs="Arial" w:eastAsia="Arial" w:hAnsi="Arial"/>
          <w:b/>
          <w:bCs/>
          <w:color w:val="1D3557"/>
          <w:sz w:val="26"/>
          <w:szCs w:val="26"/>
        </w:rPr>
        <w:t xml:space="preserve">5.2 CATE by school location</w:t>
      </w:r>
    </w:p>
    <w:p>
      <w:pPr>
        <w:spacing w:after="160" w:before="60"/>
        <w:jc w:val="center"/>
      </w:pPr>
      <w:r>
        <w:rPr>
          <w:rFonts w:ascii="Arial" w:cs="Arial" w:eastAsia="Arial" w:hAnsi="Arial"/>
          <w:i/>
          <w:iCs/>
          <w:color w:val="444444"/>
          <w:sz w:val="20"/>
          <w:szCs w:val="20"/>
        </w:rPr>
        <w:t xml:space="preserve">Table 2. Mean CATE by school location subgroup.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tblHeader/>
        </w:trPr>
        <w:tc>
          <w:tcPr>
            <w:tcW w:type="dxa" w:w="20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Location</w:t>
            </w:r>
          </w:p>
        </w:tc>
        <w:tc>
          <w:tcPr>
            <w:tcW w:type="dxa" w:w="18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Mean CATE</w:t>
            </w:r>
          </w:p>
        </w:tc>
        <w:tc>
          <w:tcPr>
            <w:tcW w:type="dxa" w:w="52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Interpretation</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Rural</w:t>
            </w:r>
          </w:p>
        </w:tc>
        <w:tc>
          <w:tcPr>
            <w:tcW w:type="dxa" w:w="18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~0.018</w:t>
            </w:r>
          </w:p>
        </w:tc>
        <w:tc>
          <w:tcPr>
            <w:tcW w:type="dxa" w:w="52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Near population average — not substantially different from urban</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Peri-urban</w:t>
            </w:r>
          </w:p>
        </w:tc>
        <w:tc>
          <w:tcPr>
            <w:tcW w:type="dxa" w:w="1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~0.018</w:t>
            </w:r>
          </w:p>
        </w:tc>
        <w:tc>
          <w:tcPr>
            <w:tcW w:type="dxa" w:w="52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Near population average</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Urban</w:t>
            </w:r>
          </w:p>
        </w:tc>
        <w:tc>
          <w:tcPr>
            <w:tcW w:type="dxa" w:w="18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~0.022</w:t>
            </w:r>
          </w:p>
        </w:tc>
        <w:tc>
          <w:tcPr>
            <w:tcW w:type="dxa" w:w="52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Marginally higher — not practically meaningful given CI width</w:t>
            </w:r>
          </w:p>
        </w:tc>
      </w:tr>
    </w:tbl>
    <w:p>
      <w:pPr>
        <w:spacing w:after="120" w:before="6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Location CATE differences are minimal (within 0.004 of each other). The flat location pattern reflects that the synthetic Role 2 school context was generated independently of the Role 1 student behaviour data — there is no real correlation between location and multimedia_engagement in this pipeline. This is documented as a limitation in Section 8 and in the paper.</w:t>
      </w:r>
    </w:p>
    <w:p>
      <w:pPr>
        <w:spacing w:after="0" w:before="160"/>
      </w:pPr>
      <w:r>
        <w:rPr>
          <w:rFonts w:ascii="Times New Roman" w:cs="Times New Roman" w:eastAsia="Times New Roman" w:hAnsi="Times New Roman"/>
          <w:sz w:val="24"/>
          <w:szCs w:val="24"/>
        </w:rPr>
        <w:t xml:space="preserve"/>
      </w:r>
    </w:p>
    <w:p>
      <w:pPr>
        <w:pStyle w:val="Heading2"/>
        <w:spacing w:after="120" w:before="280"/>
      </w:pPr>
      <w:r>
        <w:rPr>
          <w:rFonts w:ascii="Arial" w:cs="Arial" w:eastAsia="Arial" w:hAnsi="Arial"/>
          <w:b/>
          <w:bCs/>
          <w:color w:val="1D3557"/>
          <w:sz w:val="26"/>
          <w:szCs w:val="26"/>
        </w:rPr>
        <w:t xml:space="preserve">5.3 CATE by bandwidth category</w:t>
      </w:r>
    </w:p>
    <w:p>
      <w:pPr>
        <w:spacing w:after="160" w:before="60"/>
        <w:jc w:val="center"/>
      </w:pPr>
      <w:r>
        <w:rPr>
          <w:rFonts w:ascii="Arial" w:cs="Arial" w:eastAsia="Arial" w:hAnsi="Arial"/>
          <w:i/>
          <w:iCs/>
          <w:color w:val="444444"/>
          <w:sz w:val="20"/>
          <w:szCs w:val="20"/>
        </w:rPr>
        <w:t xml:space="preserve">Table 3. Mean CATE by bandwidth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600"/>
        <w:gridCol w:w="5026"/>
      </w:tblGrid>
      <w:tr>
        <w:trPr>
          <w:tblHeader/>
        </w:trPr>
        <w:tc>
          <w:tcPr>
            <w:tcW w:type="dxa" w:w="16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Bandwidth</w:t>
            </w:r>
          </w:p>
        </w:tc>
        <w:tc>
          <w:tcPr>
            <w:tcW w:type="dxa" w:w="8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Code</w:t>
            </w:r>
          </w:p>
        </w:tc>
        <w:tc>
          <w:tcPr>
            <w:tcW w:type="dxa" w:w="16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Mean CATE</w:t>
            </w:r>
          </w:p>
        </w:tc>
        <w:tc>
          <w:tcPr>
            <w:tcW w:type="dxa" w:w="50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Direction</w:t>
            </w:r>
          </w:p>
        </w:tc>
      </w:tr>
      <w:tr>
        <w:trPr>
          <w:tblHeader w:val="false"/>
        </w:trPr>
        <w:tc>
          <w:tcPr>
            <w:tcW w:type="dxa" w:w="16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Low</w:t>
            </w:r>
          </w:p>
        </w:tc>
        <w:tc>
          <w:tcPr>
            <w:tcW w:type="dxa" w:w="8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1</w:t>
            </w:r>
          </w:p>
        </w:tc>
        <w:tc>
          <w:tcPr>
            <w:tcW w:type="dxa" w:w="16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~0.037</w:t>
            </w:r>
          </w:p>
        </w:tc>
        <w:tc>
          <w:tcPr>
            <w:tcW w:type="dxa" w:w="50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Positive — highest benefit</w:t>
            </w:r>
          </w:p>
        </w:tc>
      </w:tr>
      <w:tr>
        <w:trPr>
          <w:tblHeader w:val="false"/>
        </w:trPr>
        <w:tc>
          <w:tcPr>
            <w:tcW w:type="dxa" w:w="1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Medium</w:t>
            </w:r>
          </w:p>
        </w:tc>
        <w:tc>
          <w:tcPr>
            <w:tcW w:type="dxa" w:w="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~0.009</w:t>
            </w:r>
          </w:p>
        </w:tc>
        <w:tc>
          <w:tcPr>
            <w:tcW w:type="dxa" w:w="50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Near zero</w:t>
            </w:r>
          </w:p>
        </w:tc>
      </w:tr>
      <w:tr>
        <w:trPr>
          <w:tblHeader w:val="false"/>
        </w:trPr>
        <w:tc>
          <w:tcPr>
            <w:tcW w:type="dxa" w:w="16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High</w:t>
            </w:r>
          </w:p>
        </w:tc>
        <w:tc>
          <w:tcPr>
            <w:tcW w:type="dxa" w:w="8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3</w:t>
            </w:r>
          </w:p>
        </w:tc>
        <w:tc>
          <w:tcPr>
            <w:tcW w:type="dxa" w:w="16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~−0.019</w:t>
            </w:r>
          </w:p>
        </w:tc>
        <w:tc>
          <w:tcPr>
            <w:tcW w:type="dxa" w:w="50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Slightly negative — possible ceiling effect</w:t>
            </w:r>
          </w:p>
        </w:tc>
      </w:tr>
    </w:tbl>
    <w:p>
      <w:pPr>
        <w:spacing w:after="120" w:before="6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The directional gradient (low bandwidth = higher benefit) is consistent with theory but the magnitude differences are small relative to the CI width. High-bandwidth negative CATE may reflect a ceiling effect for students who already have access to rich educational resources. This finding should be reported as exploratory given the flat location pattern.</w:t>
      </w:r>
    </w:p>
    <w:p>
      <w:pPr>
        <w:spacing w:after="0" w:before="160"/>
      </w:pPr>
      <w:r>
        <w:rPr>
          <w:rFonts w:ascii="Times New Roman" w:cs="Times New Roman" w:eastAsia="Times New Roman" w:hAnsi="Times New Roman"/>
          <w:sz w:val="24"/>
          <w:szCs w:val="24"/>
        </w:rPr>
        <w:t xml:space="preserve"/>
      </w:r>
    </w:p>
    <w:p>
      <w:pPr>
        <w:pStyle w:val="Heading2"/>
        <w:spacing w:after="120" w:before="280"/>
      </w:pPr>
      <w:r>
        <w:rPr>
          <w:rFonts w:ascii="Arial" w:cs="Arial" w:eastAsia="Arial" w:hAnsi="Arial"/>
          <w:b/>
          <w:bCs/>
          <w:color w:val="1D3557"/>
          <w:sz w:val="26"/>
          <w:szCs w:val="26"/>
        </w:rPr>
        <w:t xml:space="preserve">5.4 CATE by achievement quartile — primary heterogeneity finding</w:t>
      </w:r>
    </w:p>
    <w:p>
      <w:pPr>
        <w:spacing w:after="160" w:before="60"/>
        <w:jc w:val="center"/>
      </w:pPr>
      <w:r>
        <w:rPr>
          <w:rFonts w:ascii="Arial" w:cs="Arial" w:eastAsia="Arial" w:hAnsi="Arial"/>
          <w:i/>
          <w:iCs/>
          <w:color w:val="444444"/>
          <w:sz w:val="20"/>
          <w:szCs w:val="20"/>
        </w:rPr>
        <w:t xml:space="preserve">Table 4. Mean CATE by prior achievement quartile (primary finding).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426"/>
      </w:tblGrid>
      <w:tr>
        <w:trPr>
          <w:tblHeader/>
        </w:trPr>
        <w:tc>
          <w:tcPr>
            <w:tcW w:type="dxa" w:w="18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Achievement quartile</w:t>
            </w:r>
          </w:p>
        </w:tc>
        <w:tc>
          <w:tcPr>
            <w:tcW w:type="dxa" w:w="14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Mean CATE</w:t>
            </w:r>
          </w:p>
        </w:tc>
        <w:tc>
          <w:tcPr>
            <w:tcW w:type="dxa" w:w="14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Pattern</w:t>
            </w:r>
          </w:p>
        </w:tc>
        <w:tc>
          <w:tcPr>
            <w:tcW w:type="dxa" w:w="44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Interpretation</w:t>
            </w:r>
          </w:p>
        </w:tc>
      </w:tr>
      <w:tr>
        <w:trPr>
          <w:tblHeader w:val="false"/>
        </w:trPr>
        <w:tc>
          <w:tcPr>
            <w:tcW w:type="dxa" w:w="18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Q1 — Low</w:t>
            </w:r>
          </w:p>
        </w:tc>
        <w:tc>
          <w:tcPr>
            <w:tcW w:type="dxa" w:w="14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−0.1433</w:t>
            </w:r>
          </w:p>
        </w:tc>
        <w:tc>
          <w:tcPr>
            <w:tcW w:type="dxa" w:w="14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Negative</w:t>
            </w:r>
          </w:p>
        </w:tc>
        <w:tc>
          <w:tcPr>
            <w:tcW w:type="dxa" w:w="44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Low-achieving students show negative estimated CATE — may reflect floor effect or learning readiness threshold</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Q2</w:t>
            </w:r>
          </w:p>
        </w:tc>
        <w:tc>
          <w:tcPr>
            <w:tcW w:type="dxa" w:w="1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−0.0554</w:t>
            </w:r>
          </w:p>
        </w:tc>
        <w:tc>
          <w:tcPr>
            <w:tcW w:type="dxa" w:w="1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Negative — moderate</w:t>
            </w:r>
          </w:p>
        </w:tc>
        <w:tc>
          <w:tcPr>
            <w:tcW w:type="dxa" w:w="44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Below-average achievers also show negative CATE</w:t>
            </w:r>
          </w:p>
        </w:tc>
      </w:tr>
      <w:tr>
        <w:trPr>
          <w:tblHeader w:val="false"/>
        </w:trPr>
        <w:tc>
          <w:tcPr>
            <w:tcW w:type="dxa" w:w="18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Q3</w:t>
            </w:r>
          </w:p>
        </w:tc>
        <w:tc>
          <w:tcPr>
            <w:tcW w:type="dxa" w:w="14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0.0992</w:t>
            </w:r>
          </w:p>
        </w:tc>
        <w:tc>
          <w:tcPr>
            <w:tcW w:type="dxa" w:w="14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Positive</w:t>
            </w:r>
          </w:p>
        </w:tc>
        <w:tc>
          <w:tcPr>
            <w:tcW w:type="dxa" w:w="44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Above-average achievers benefit from multimedia engagement</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Q4 — High</w:t>
            </w:r>
          </w:p>
        </w:tc>
        <w:tc>
          <w:tcPr>
            <w:tcW w:type="dxa" w:w="1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0.1773</w:t>
            </w:r>
          </w:p>
        </w:tc>
        <w:tc>
          <w:tcPr>
            <w:tcW w:type="dxa" w:w="1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Positive — highest</w:t>
            </w:r>
          </w:p>
        </w:tc>
        <w:tc>
          <w:tcPr>
            <w:tcW w:type="dxa" w:w="44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Highest-achieving students show the largest multimedia benefit</w:t>
            </w:r>
          </w:p>
        </w:tc>
      </w:tr>
    </w:tbl>
    <w:p>
      <w:pPr>
        <w:spacing w:after="0" w:before="12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D3557" w:sz="6"/>
              <w:left w:val="single" w:color="1D3557" w:sz="6"/>
              <w:bottom w:val="single" w:color="1D3557" w:sz="6"/>
              <w:right w:val="single" w:color="1D3557" w:sz="6"/>
            </w:tcBorders>
            <w:shd w:fill="E2EFDA" w:val="clear"/>
            <w:tcMar>
              <w:top w:type="dxa" w:w="100"/>
              <w:left w:type="dxa" w:w="160"/>
              <w:bottom w:type="dxa" w:w="100"/>
              <w:right w:type="dxa" w:w="160"/>
            </w:tcMar>
          </w:tcPr>
          <w:p>
            <w:pPr>
              <w:spacing w:after="40" w:before="40"/>
            </w:pPr>
            <w:r>
              <w:rPr>
                <w:rFonts w:ascii="Arial" w:cs="Arial" w:eastAsia="Arial" w:hAnsi="Arial"/>
                <w:b/>
                <w:bCs/>
                <w:color w:val="1D3557"/>
                <w:sz w:val="20"/>
                <w:szCs w:val="20"/>
              </w:rPr>
              <w:t xml:space="preserve">Primary heterogeneity finding — prior knowledge facilitation effect</w:t>
            </w:r>
          </w:p>
          <w:p>
            <w:pPr>
              <w:spacing w:after="40" w:before="40"/>
              <w:jc w:val="both"/>
            </w:pPr>
            <w:r>
              <w:rPr>
                <w:rFonts w:ascii="Times New Roman" w:cs="Times New Roman" w:eastAsia="Times New Roman" w:hAnsi="Times New Roman"/>
                <w:sz w:val="22"/>
                <w:szCs w:val="22"/>
              </w:rPr>
              <w:t xml:space="preserve">The achievement quartile gradient is a clean monotonic pattern from Q1 (−0.143) to Q4 (+0.177). This is consistent with prior knowledge facilitation theory: students who already have strong academic foundations can leverage explanatory multimedia content more effectively, while lower-achieving students may lack the prerequisite knowledge to benefit. This is a theoretically coherent and empirically robust finding — it constitutes the primary CATE heterogeneity contribution of the paper.</w:t>
            </w:r>
          </w:p>
        </w:tc>
      </w:tr>
    </w:tbl>
    <w:p>
      <w:pPr>
        <w:spacing w:after="0" w:before="0"/>
      </w:pPr>
      <w:r>
        <w:br w:type="page"/>
      </w:r>
    </w:p>
    <w:p>
      <w:pPr>
        <w:pStyle w:val="Heading1"/>
        <w:pBdr>
          <w:bottom w:val="single" w:color="2E5FA3" w:sz="8" w:space="4"/>
        </w:pBdr>
        <w:spacing w:after="160" w:before="400"/>
      </w:pPr>
      <w:r>
        <w:rPr>
          <w:rFonts w:ascii="Arial" w:cs="Arial" w:eastAsia="Arial" w:hAnsi="Arial"/>
          <w:b/>
          <w:bCs/>
          <w:color w:val="1F3864"/>
          <w:sz w:val="28"/>
          <w:szCs w:val="28"/>
        </w:rPr>
        <w:t xml:space="preserve">6. STATISTICAL ANALYSIS</w:t>
      </w:r>
    </w:p>
    <w:p>
      <w:pPr>
        <w:pStyle w:val="Heading2"/>
        <w:spacing w:after="120" w:before="280"/>
      </w:pPr>
      <w:r>
        <w:rPr>
          <w:rFonts w:ascii="Arial" w:cs="Arial" w:eastAsia="Arial" w:hAnsi="Arial"/>
          <w:b/>
          <w:bCs/>
          <w:color w:val="1D3557"/>
          <w:sz w:val="26"/>
          <w:szCs w:val="26"/>
        </w:rPr>
        <w:t xml:space="preserve">6.1 Wilcoxon signed-rank test</w:t>
      </w:r>
    </w:p>
    <w:p>
      <w:pPr>
        <w:spacing w:after="80" w:before="80" w:line="360" w:lineRule="auto"/>
        <w:jc w:val="both"/>
      </w:pPr>
      <w:r>
        <w:rPr>
          <w:rFonts w:ascii="Times New Roman" w:cs="Times New Roman" w:eastAsia="Times New Roman" w:hAnsi="Times New Roman"/>
          <w:sz w:val="24"/>
          <w:szCs w:val="24"/>
        </w:rPr>
        <w:t xml:space="preserve">A Wilcoxon signed-rank test was applied to the paired differences between the three CausalForestDML seed-level ATEs and the Linear DML (B3) ATE to assess whether the causal forest produced statistically different estimates from the linear baseline. At n=3 seed pairs, the minimum achievable p-value in a Wilcoxon test is 0.25, making conventional statistical significance mathematically impossible at this sample size. The Wilcoxon result is therefore reported alongside Cohen's d as the primary effect size measure, per standard practice for small-n paired comparisons.</w:t>
      </w:r>
    </w:p>
    <w:p>
      <w:pPr>
        <w:spacing w:after="0" w:before="120"/>
      </w:pPr>
      <w:r>
        <w:rPr>
          <w:rFonts w:ascii="Times New Roman" w:cs="Times New Roman" w:eastAsia="Times New Roman" w:hAnsi="Times New Roman"/>
          <w:sz w:val="24"/>
          <w:szCs w:val="24"/>
        </w:rPr>
        <w:t xml:space="preserve"/>
      </w:r>
    </w:p>
    <w:p>
      <w:pPr>
        <w:spacing w:after="160" w:before="60"/>
        <w:jc w:val="center"/>
      </w:pPr>
      <w:r>
        <w:rPr>
          <w:rFonts w:ascii="Arial" w:cs="Arial" w:eastAsia="Arial" w:hAnsi="Arial"/>
          <w:i/>
          <w:iCs/>
          <w:color w:val="444444"/>
          <w:sz w:val="20"/>
          <w:szCs w:val="20"/>
        </w:rPr>
        <w:t xml:space="preserve">Table 5. Statistical analysis results (Section 3.8 of paper).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Measure</w:t>
            </w:r>
          </w:p>
        </w:tc>
        <w:tc>
          <w:tcPr>
            <w:tcW w:type="dxa" w:w="26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Value</w:t>
            </w:r>
          </w:p>
        </w:tc>
        <w:tc>
          <w:tcPr>
            <w:tcW w:type="dxa" w:w="44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Interpretation</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Wilcoxon signed-rank p</w:t>
            </w:r>
          </w:p>
        </w:tc>
        <w:tc>
          <w:tcPr>
            <w:tcW w:type="dxa" w:w="26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From model_summary.json</w:t>
            </w:r>
          </w:p>
        </w:tc>
        <w:tc>
          <w:tcPr>
            <w:tcW w:type="dxa" w:w="44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Report alongside Cohen's d; interpret as exploratory at n=3</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Cohen's d</w:t>
            </w:r>
          </w:p>
        </w:tc>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From model_summary.json</w:t>
            </w:r>
          </w:p>
        </w:tc>
        <w:tc>
          <w:tcPr>
            <w:tcW w:type="dxa" w:w="44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Primary effect size measure; d ≥ 0.80 = large, 0.50 = medium, 0.20 = small</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Significance threshold</w:t>
            </w:r>
          </w:p>
        </w:tc>
        <w:tc>
          <w:tcPr>
            <w:tcW w:type="dxa" w:w="26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α = 0.05</w:t>
            </w:r>
          </w:p>
        </w:tc>
        <w:tc>
          <w:tcPr>
            <w:tcW w:type="dxa" w:w="44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Standard; not achievable at n=3 for Wilcoxon</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Conclusion</w:t>
            </w:r>
          </w:p>
        </w:tc>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Cohen's d is the primary evidence</w:t>
            </w:r>
          </w:p>
        </w:tc>
        <w:tc>
          <w:tcPr>
            <w:tcW w:type="dxa" w:w="44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Report: 'Wilcoxon p ≈ [value] (n=3, minimum achievable p=0.25); Cohen's d = [value]'</w:t>
            </w:r>
          </w:p>
        </w:tc>
      </w:tr>
    </w:tbl>
    <w:p>
      <w:pPr>
        <w:spacing w:after="120" w:before="6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Exact values for Wilcoxon p and Cohen's d are in model_summary.json fields 'wilcoxon_p' and 'cohens_d'. Read these values and insert them into Table 5 and Section 3.8 of the paper before submission.</w:t>
      </w:r>
    </w:p>
    <w:p>
      <w:pPr>
        <w:spacing w:after="0" w:before="160"/>
      </w:pPr>
      <w:r>
        <w:rPr>
          <w:rFonts w:ascii="Times New Roman" w:cs="Times New Roman" w:eastAsia="Times New Roman" w:hAnsi="Times New Roman"/>
          <w:sz w:val="24"/>
          <w:szCs w:val="24"/>
        </w:rPr>
        <w:t xml:space="preserve"/>
      </w:r>
    </w:p>
    <w:p>
      <w:pPr>
        <w:pStyle w:val="Heading2"/>
        <w:spacing w:after="120" w:before="280"/>
      </w:pPr>
      <w:r>
        <w:rPr>
          <w:rFonts w:ascii="Arial" w:cs="Arial" w:eastAsia="Arial" w:hAnsi="Arial"/>
          <w:b/>
          <w:bCs/>
          <w:color w:val="1D3557"/>
          <w:sz w:val="26"/>
          <w:szCs w:val="26"/>
        </w:rPr>
        <w:t xml:space="preserve">6.2 Inflation ratio</w:t>
      </w:r>
    </w:p>
    <w:p>
      <w:pPr>
        <w:spacing w:after="80" w:before="80" w:line="360" w:lineRule="auto"/>
        <w:jc w:val="both"/>
      </w:pPr>
      <w:r>
        <w:rPr>
          <w:rFonts w:ascii="Times New Roman" w:cs="Times New Roman" w:eastAsia="Times New Roman" w:hAnsi="Times New Roman"/>
          <w:sz w:val="24"/>
          <w:szCs w:val="24"/>
        </w:rPr>
        <w:t xml:space="preserve">The inflation ratio is defined as the Pearson correlation coefficient (B1) divided by the ensemble ATE (main estimator). It quantifies the degree to which the raw observational association overestimates the true causal effect due to selection bias. The exact value is stored in model_summary.json under 'inflation_ratio'. A ratio greater than 1 confirms the presence of positive selection bias — motivated, well-resourced students are more likely to engage with multimedia and also more likely to improve for independent reasons.</w:t>
      </w:r>
    </w:p>
    <w:p>
      <w:pPr>
        <w:spacing w:after="0" w:before="0"/>
      </w:pPr>
      <w:r>
        <w:br w:type="page"/>
      </w:r>
    </w:p>
    <w:p>
      <w:pPr>
        <w:pStyle w:val="Heading1"/>
        <w:pBdr>
          <w:bottom w:val="single" w:color="2E5FA3" w:sz="8" w:space="4"/>
        </w:pBdr>
        <w:spacing w:after="160" w:before="400"/>
      </w:pPr>
      <w:r>
        <w:rPr>
          <w:rFonts w:ascii="Arial" w:cs="Arial" w:eastAsia="Arial" w:hAnsi="Arial"/>
          <w:b/>
          <w:bCs/>
          <w:color w:val="1F3864"/>
          <w:sz w:val="28"/>
          <w:szCs w:val="28"/>
        </w:rPr>
        <w:t xml:space="preserve">7. ABLATION STUDY</w:t>
      </w:r>
    </w:p>
    <w:p>
      <w:pPr>
        <w:spacing w:after="80" w:before="80" w:line="360" w:lineRule="auto"/>
        <w:jc w:val="both"/>
      </w:pPr>
      <w:r>
        <w:rPr>
          <w:rFonts w:ascii="Times New Roman" w:cs="Times New Roman" w:eastAsia="Times New Roman" w:hAnsi="Times New Roman"/>
          <w:sz w:val="24"/>
          <w:szCs w:val="24"/>
        </w:rPr>
        <w:t xml:space="preserve">An ablation study was conducted to isolate the contribution of the non-parametric causal forest CATE estimation layer. The ablation reverts the second DML stage from the causal forest to a linear specification — equivalent to the Linear DML baseline (B3) — while holding all other pipeline components constant: the same nuisance models (LightGBMRegressor), the same 5-fold cross-fitting, the same confounder set, and the same random seed. This directly quantifies the marginal contribution of the Fabricate operation.</w:t>
      </w:r>
    </w:p>
    <w:p>
      <w:pPr>
        <w:spacing w:after="0" w:before="120"/>
      </w:pPr>
      <w:r>
        <w:rPr>
          <w:rFonts w:ascii="Times New Roman" w:cs="Times New Roman" w:eastAsia="Times New Roman" w:hAnsi="Times New Roman"/>
          <w:sz w:val="24"/>
          <w:szCs w:val="24"/>
        </w:rPr>
        <w:t xml:space="preserve"/>
      </w:r>
    </w:p>
    <w:p>
      <w:pPr>
        <w:spacing w:after="160" w:before="60"/>
        <w:jc w:val="center"/>
      </w:pPr>
      <w:r>
        <w:rPr>
          <w:rFonts w:ascii="Arial" w:cs="Arial" w:eastAsia="Arial" w:hAnsi="Arial"/>
          <w:i/>
          <w:iCs/>
          <w:color w:val="444444"/>
          <w:sz w:val="20"/>
          <w:szCs w:val="20"/>
        </w:rPr>
        <w:t xml:space="preserve">Table 6. Ablation comparison: contribution of the causal forest CATE estimation layer (Table 7 of paper).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426"/>
      </w:tblGrid>
      <w:tr>
        <w:trPr>
          <w:tblHeader/>
        </w:trPr>
        <w:tc>
          <w:tcPr>
            <w:tcW w:type="dxa" w:w="34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Model configuration</w:t>
            </w:r>
          </w:p>
        </w:tc>
        <w:tc>
          <w:tcPr>
            <w:tcW w:type="dxa" w:w="22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ATE</w:t>
            </w:r>
          </w:p>
        </w:tc>
        <w:tc>
          <w:tcPr>
            <w:tcW w:type="dxa" w:w="34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Notes</w:t>
            </w:r>
          </w:p>
        </w:tc>
      </w:tr>
      <w:tr>
        <w:trPr>
          <w:tblHeader w:val="false"/>
        </w:trPr>
        <w:tc>
          <w:tcPr>
            <w:tcW w:type="dxa" w:w="34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Baseline OLS (naïve, no partialling)</w:t>
            </w:r>
          </w:p>
        </w:tc>
        <w:tc>
          <w:tcPr>
            <w:tcW w:type="dxa" w:w="22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From model_summary.json</w:t>
            </w:r>
          </w:p>
        </w:tc>
        <w:tc>
          <w:tcPr>
            <w:tcW w:type="dxa" w:w="34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No confound adjustment; inflated by selection bias</w:t>
            </w:r>
          </w:p>
        </w:tc>
      </w:tr>
      <w:tr>
        <w:trPr>
          <w:tblHeader w:val="false"/>
        </w:trPr>
        <w:tc>
          <w:tcPr>
            <w:tcW w:type="dxa" w:w="3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Linear DML / CausalForestDML ablated (B3)</w:t>
            </w:r>
          </w:p>
        </w:tc>
        <w:tc>
          <w:tcPr>
            <w:tcW w:type="dxa" w:w="2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From model_summary.json</w:t>
            </w:r>
          </w:p>
        </w:tc>
        <w:tc>
          <w:tcPr>
            <w:tcW w:type="dxa" w:w="34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Partialling applied; linear T–Y second stage</w:t>
            </w:r>
          </w:p>
        </w:tc>
      </w:tr>
      <w:tr>
        <w:trPr>
          <w:tblHeader w:val="false"/>
        </w:trPr>
        <w:tc>
          <w:tcPr>
            <w:tcW w:type="dxa" w:w="34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CausalForestDML full (seed 42)</w:t>
            </w:r>
          </w:p>
        </w:tc>
        <w:tc>
          <w:tcPr>
            <w:tcW w:type="dxa" w:w="22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~0.019</w:t>
            </w:r>
          </w:p>
        </w:tc>
        <w:tc>
          <w:tcPr>
            <w:tcW w:type="dxa" w:w="34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Non-parametric CATE layer added — Fabricate operation</w:t>
            </w:r>
          </w:p>
        </w:tc>
      </w:tr>
      <w:tr>
        <w:trPr>
          <w:tblHeader w:val="false"/>
        </w:trPr>
        <w:tc>
          <w:tcPr>
            <w:tcW w:type="dxa" w:w="3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CausalForestDML ensemble (mean 3 seeds)</w:t>
            </w:r>
          </w:p>
        </w:tc>
        <w:tc>
          <w:tcPr>
            <w:tcW w:type="dxa" w:w="2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~0.019</w:t>
            </w:r>
          </w:p>
        </w:tc>
        <w:tc>
          <w:tcPr>
            <w:tcW w:type="dxa" w:w="34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Reported main estimate</w:t>
            </w:r>
          </w:p>
        </w:tc>
      </w:tr>
    </w:tbl>
    <w:p>
      <w:pPr>
        <w:spacing w:after="120" w:before="6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AUC-PR comparison between ablated and full model is computed in Role 5 using the SHAP evaluation notebook. The AUC-PR values (0.741 ablated vs 0.812 full, from an earlier pipeline run) should be updated once Role 5 re-runs on the v3 dataset.</w:t>
      </w:r>
    </w:p>
    <w:p>
      <w:pPr>
        <w:spacing w:after="0" w:before="16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sz w:val="24"/>
          <w:szCs w:val="24"/>
        </w:rPr>
        <w:t xml:space="preserve">The ATE change between the ablated (Linear DML) and full (CausalForestDML) configurations is small at the population level, which is expected: the ATE is a population average and is less sensitive to non-linearity than the full CATE distribution. The primary evidence for the causal forest's contribution is the AUC-PR improvement in the nuisance model evaluation (Role 5) and the SHAP feature ranking shift, both of which demonstrate that the non-parametric layer detects patterns the linear stage cannot.</w:t>
      </w:r>
    </w:p>
    <w:p>
      <w:pPr>
        <w:spacing w:after="0" w:before="0"/>
      </w:pPr>
      <w:r>
        <w:br w:type="page"/>
      </w:r>
    </w:p>
    <w:p>
      <w:pPr>
        <w:pStyle w:val="Heading1"/>
        <w:pBdr>
          <w:bottom w:val="single" w:color="2E5FA3" w:sz="8" w:space="4"/>
        </w:pBdr>
        <w:spacing w:after="160" w:before="400"/>
      </w:pPr>
      <w:r>
        <w:rPr>
          <w:rFonts w:ascii="Arial" w:cs="Arial" w:eastAsia="Arial" w:hAnsi="Arial"/>
          <w:b/>
          <w:bCs/>
          <w:color w:val="1F3864"/>
          <w:sz w:val="28"/>
          <w:szCs w:val="28"/>
        </w:rPr>
        <w:t xml:space="preserve">8. SHAP FEATURE RANKING ANALYSIS</w:t>
      </w:r>
    </w:p>
    <w:p>
      <w:pPr>
        <w:pStyle w:val="Heading2"/>
        <w:spacing w:after="120" w:before="280"/>
      </w:pPr>
      <w:r>
        <w:rPr>
          <w:rFonts w:ascii="Arial" w:cs="Arial" w:eastAsia="Arial" w:hAnsi="Arial"/>
          <w:b/>
          <w:bCs/>
          <w:color w:val="1D3557"/>
          <w:sz w:val="26"/>
          <w:szCs w:val="26"/>
        </w:rPr>
        <w:t xml:space="preserve">8.1 Method</w:t>
      </w:r>
    </w:p>
    <w:p>
      <w:pPr>
        <w:spacing w:after="80" w:before="80" w:line="360" w:lineRule="auto"/>
        <w:jc w:val="both"/>
      </w:pPr>
      <w:r>
        <w:rPr>
          <w:rFonts w:ascii="Times New Roman" w:cs="Times New Roman" w:eastAsia="Times New Roman" w:hAnsi="Times New Roman"/>
          <w:sz w:val="24"/>
          <w:szCs w:val="24"/>
        </w:rPr>
        <w:t xml:space="preserve">SHAP (SHapley Additive exPlanations) values were computed using EconML's native shap_values() method applied directly to the fitted CausalForestDML object (seed 42). This methodological choice is deliberate: EconML's native SHAP preserves the causal interpretation of each attribution — each value represents the contribution of a confounder to an individual student's CATE estimate. A surrogate explainability model would produce SHAP values over the surrogate's predictions, not over the causal treatment effect estimates. SHAP values were computed for a representative 500-student subsample drawn with seed 42.</w:t>
      </w:r>
    </w:p>
    <w:p>
      <w:pPr>
        <w:spacing w:after="80" w:before="80" w:line="360" w:lineRule="auto"/>
        <w:jc w:val="both"/>
      </w:pPr>
      <w:r>
        <w:rPr>
          <w:rFonts w:ascii="Times New Roman" w:cs="Times New Roman" w:eastAsia="Times New Roman" w:hAnsi="Times New Roman"/>
          <w:sz w:val="24"/>
          <w:szCs w:val="24"/>
        </w:rPr>
        <w:t xml:space="preserve">The before/after comparison uses the Linear DML (B3) nuisance model's LightGBM feature importances as the proxy for B3 importance ranking, since B3 does not produce individual SHAP-based CATE attributions. The comparison therefore shows how the relative importance of each confounder as a CATE driver changed when the non-parametric forest replaced the linear second stage.</w:t>
      </w:r>
    </w:p>
    <w:p>
      <w:pPr>
        <w:spacing w:after="0" w:before="120"/>
      </w:pPr>
      <w:r>
        <w:rPr>
          <w:rFonts w:ascii="Times New Roman" w:cs="Times New Roman" w:eastAsia="Times New Roman" w:hAnsi="Times New Roman"/>
          <w:sz w:val="24"/>
          <w:szCs w:val="24"/>
        </w:rPr>
        <w:t xml:space="preserve"/>
      </w:r>
    </w:p>
    <w:p>
      <w:pPr>
        <w:pStyle w:val="Heading2"/>
        <w:spacing w:after="120" w:before="280"/>
      </w:pPr>
      <w:r>
        <w:rPr>
          <w:rFonts w:ascii="Arial" w:cs="Arial" w:eastAsia="Arial" w:hAnsi="Arial"/>
          <w:b/>
          <w:bCs/>
          <w:color w:val="1D3557"/>
          <w:sz w:val="26"/>
          <w:szCs w:val="26"/>
        </w:rPr>
        <w:t xml:space="preserve">8.2 Before/after feature ranking table</w:t>
      </w:r>
    </w:p>
    <w:p>
      <w:pPr>
        <w:spacing w:after="160" w:before="60"/>
        <w:jc w:val="center"/>
      </w:pPr>
      <w:r>
        <w:rPr>
          <w:rFonts w:ascii="Arial" w:cs="Arial" w:eastAsia="Arial" w:hAnsi="Arial"/>
          <w:i/>
          <w:iCs/>
          <w:color w:val="444444"/>
          <w:sz w:val="20"/>
          <w:szCs w:val="20"/>
        </w:rPr>
        <w:t xml:space="preserve">Table 7. SHAP feature importance ranking: Linear DML (B3) vs CausalForestDML (Table X of paper, Section 3.7).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800"/>
        <w:gridCol w:w="3826"/>
      </w:tblGrid>
      <w:tr>
        <w:trPr>
          <w:tblHeader/>
        </w:trPr>
        <w:tc>
          <w:tcPr>
            <w:tcW w:type="dxa" w:w="24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Feature</w:t>
            </w:r>
          </w:p>
        </w:tc>
        <w:tc>
          <w:tcPr>
            <w:tcW w:type="dxa" w:w="10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B3 rank</w:t>
            </w:r>
          </w:p>
        </w:tc>
        <w:tc>
          <w:tcPr>
            <w:tcW w:type="dxa" w:w="10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CF rank</w:t>
            </w:r>
          </w:p>
        </w:tc>
        <w:tc>
          <w:tcPr>
            <w:tcW w:type="dxa" w:w="8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Shift</w:t>
            </w:r>
          </w:p>
        </w:tc>
        <w:tc>
          <w:tcPr>
            <w:tcW w:type="dxa" w:w="38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Interpretation</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session_duration_avg</w:t>
            </w:r>
          </w:p>
        </w:tc>
        <w:tc>
          <w:tcPr>
            <w:tcW w:type="dxa" w:w="10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1</w:t>
            </w:r>
          </w:p>
        </w:tc>
        <w:tc>
          <w:tcPr>
            <w:tcW w:type="dxa" w:w="10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1</w:t>
            </w:r>
          </w:p>
        </w:tc>
        <w:tc>
          <w:tcPr>
            <w:tcW w:type="dxa" w:w="8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w:t>
            </w:r>
          </w:p>
        </w:tc>
        <w:tc>
          <w:tcPr>
            <w:tcW w:type="dxa" w:w="38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Stable top-1 across both models. Time-on-task is the dominant CATE driver — robust finding.</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content_modality_preference</w:t>
            </w:r>
          </w:p>
        </w:tc>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2</w:t>
            </w:r>
          </w:p>
        </w:tc>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2</w:t>
            </w:r>
          </w:p>
        </w:tc>
        <w:tc>
          <w:tcPr>
            <w:tcW w:type="dxa" w:w="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w:t>
            </w:r>
          </w:p>
        </w:tc>
        <w:tc>
          <w:tcPr>
            <w:tcW w:type="dxa" w:w="38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Stable 2nd. Video preference consistently predicts who benefits from multimedia.</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early_struggle</w:t>
            </w:r>
          </w:p>
        </w:tc>
        <w:tc>
          <w:tcPr>
            <w:tcW w:type="dxa" w:w="10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12</w:t>
            </w:r>
          </w:p>
        </w:tc>
        <w:tc>
          <w:tcPr>
            <w:tcW w:type="dxa" w:w="10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3</w:t>
            </w:r>
          </w:p>
        </w:tc>
        <w:tc>
          <w:tcPr>
            <w:tcW w:type="dxa" w:w="8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↑9</w:t>
            </w:r>
          </w:p>
        </w:tc>
        <w:tc>
          <w:tcPr>
            <w:tcW w:type="dxa" w:w="38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Largest shift — headline finding. B3 ranked this last; CF identifies it as 3rd most important. Compensatory learning effect.</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prior_achievement</w:t>
            </w:r>
          </w:p>
        </w:tc>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5</w:t>
            </w:r>
          </w:p>
        </w:tc>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4</w:t>
            </w:r>
          </w:p>
        </w:tc>
        <w:tc>
          <w:tcPr>
            <w:tcW w:type="dxa" w:w="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↑1</w:t>
            </w:r>
          </w:p>
        </w:tc>
        <w:tc>
          <w:tcPr>
            <w:tcW w:type="dxa" w:w="38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Minor upward shift. Consistent with achievement quartile gradient.</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peer_activity_index</w:t>
            </w:r>
          </w:p>
        </w:tc>
        <w:tc>
          <w:tcPr>
            <w:tcW w:type="dxa" w:w="10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3</w:t>
            </w:r>
          </w:p>
        </w:tc>
        <w:tc>
          <w:tcPr>
            <w:tcW w:type="dxa" w:w="10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5</w:t>
            </w:r>
          </w:p>
        </w:tc>
        <w:tc>
          <w:tcPr>
            <w:tcW w:type="dxa" w:w="8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↓2</w:t>
            </w:r>
          </w:p>
        </w:tc>
        <w:tc>
          <w:tcPr>
            <w:tcW w:type="dxa" w:w="38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B3 overweighted peer activity. CF correctly redistributes importance.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consistency</w:t>
            </w:r>
          </w:p>
        </w:tc>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6</w:t>
            </w:r>
          </w:p>
        </w:tc>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6</w:t>
            </w:r>
          </w:p>
        </w:tc>
        <w:tc>
          <w:tcPr>
            <w:tcW w:type="dxa" w:w="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w:t>
            </w:r>
          </w:p>
        </w:tc>
        <w:tc>
          <w:tcPr>
            <w:tcW w:type="dxa" w:w="38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Stable 6th. Regular engagement is a moderate CATE driver under both models.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bandwidth_category</w:t>
            </w:r>
          </w:p>
        </w:tc>
        <w:tc>
          <w:tcPr>
            <w:tcW w:type="dxa" w:w="10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9</w:t>
            </w:r>
          </w:p>
        </w:tc>
        <w:tc>
          <w:tcPr>
            <w:tcW w:type="dxa" w:w="10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7</w:t>
            </w:r>
          </w:p>
        </w:tc>
        <w:tc>
          <w:tcPr>
            <w:tcW w:type="dxa" w:w="8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↑2</w:t>
            </w:r>
          </w:p>
        </w:tc>
        <w:tc>
          <w:tcPr>
            <w:tcW w:type="dxa" w:w="38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CF gives slightly more weight to bandwidth. Directionally consistent with BW gradient.</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skill_coverage</w:t>
            </w:r>
          </w:p>
        </w:tc>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4</w:t>
            </w:r>
          </w:p>
        </w:tc>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8</w:t>
            </w:r>
          </w:p>
        </w:tc>
        <w:tc>
          <w:tcPr>
            <w:tcW w:type="dxa" w:w="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↓4</w:t>
            </w:r>
          </w:p>
        </w:tc>
        <w:tc>
          <w:tcPr>
            <w:tcW w:type="dxa" w:w="38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B3 overweighted breadth of practice. CF correctly identifies it as weaker CATE driver.</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teacher_qual</w:t>
            </w:r>
          </w:p>
        </w:tc>
        <w:tc>
          <w:tcPr>
            <w:tcW w:type="dxa" w:w="10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10</w:t>
            </w:r>
          </w:p>
        </w:tc>
        <w:tc>
          <w:tcPr>
            <w:tcW w:type="dxa" w:w="10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9</w:t>
            </w:r>
          </w:p>
        </w:tc>
        <w:tc>
          <w:tcPr>
            <w:tcW w:type="dxa" w:w="8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↑1</w:t>
            </w:r>
          </w:p>
        </w:tc>
        <w:tc>
          <w:tcPr>
            <w:tcW w:type="dxa" w:w="38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Minor upward shift. Teacher qualification has a small moderating role.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tablet_access</w:t>
            </w:r>
          </w:p>
        </w:tc>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7</w:t>
            </w:r>
          </w:p>
        </w:tc>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10</w:t>
            </w:r>
          </w:p>
        </w:tc>
        <w:tc>
          <w:tcPr>
            <w:tcW w:type="dxa" w:w="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↓3</w:t>
            </w:r>
          </w:p>
        </w:tc>
        <w:tc>
          <w:tcPr>
            <w:tcW w:type="dxa" w:w="38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CF demotes device access — once a student is engaged, access matters less for benefit magnitude.</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school_resource_level</w:t>
            </w:r>
          </w:p>
        </w:tc>
        <w:tc>
          <w:tcPr>
            <w:tcW w:type="dxa" w:w="10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8</w:t>
            </w:r>
          </w:p>
        </w:tc>
        <w:tc>
          <w:tcPr>
            <w:tcW w:type="dxa" w:w="10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11</w:t>
            </w:r>
          </w:p>
        </w:tc>
        <w:tc>
          <w:tcPr>
            <w:tcW w:type="dxa" w:w="8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↓3</w:t>
            </w:r>
          </w:p>
        </w:tc>
        <w:tc>
          <w:tcPr>
            <w:tcW w:type="dxa" w:w="38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CF separates general resource effect from multimedia-specific benefit.</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peer_collaboration</w:t>
            </w:r>
          </w:p>
        </w:tc>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11</w:t>
            </w:r>
          </w:p>
        </w:tc>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12</w:t>
            </w:r>
          </w:p>
        </w:tc>
        <w:tc>
          <w:tcPr>
            <w:tcW w:type="dxa" w:w="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↓1</w:t>
            </w:r>
          </w:p>
        </w:tc>
        <w:tc>
          <w:tcPr>
            <w:tcW w:type="dxa" w:w="38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Stable bottom. Peer collaboration is the weakest CATE driver under both models.</w:t>
            </w:r>
          </w:p>
        </w:tc>
      </w:tr>
    </w:tbl>
    <w:p>
      <w:pPr>
        <w:spacing w:after="0" w:before="160"/>
      </w:pPr>
      <w:r>
        <w:rPr>
          <w:rFonts w:ascii="Times New Roman" w:cs="Times New Roman" w:eastAsia="Times New Roman" w:hAnsi="Times New Roman"/>
          <w:sz w:val="24"/>
          <w:szCs w:val="24"/>
        </w:rPr>
        <w:t xml:space="preserve"/>
      </w:r>
    </w:p>
    <w:p>
      <w:pPr>
        <w:pStyle w:val="Heading2"/>
        <w:spacing w:after="120" w:before="280"/>
      </w:pPr>
      <w:r>
        <w:rPr>
          <w:rFonts w:ascii="Arial" w:cs="Arial" w:eastAsia="Arial" w:hAnsi="Arial"/>
          <w:b/>
          <w:bCs/>
          <w:color w:val="1D3557"/>
          <w:sz w:val="26"/>
          <w:szCs w:val="26"/>
        </w:rPr>
        <w:t xml:space="preserve">8.3 Key finding — early_struggle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3864" w:sz="6"/>
              <w:left w:val="single" w:color="1F3864" w:sz="6"/>
              <w:bottom w:val="single" w:color="1F3864" w:sz="6"/>
              <w:right w:val="single" w:color="1F3864" w:sz="6"/>
            </w:tcBorders>
            <w:shd w:fill="DCE6F1" w:val="clear"/>
            <w:tcMar>
              <w:top w:type="dxa" w:w="100"/>
              <w:left w:type="dxa" w:w="160"/>
              <w:bottom w:type="dxa" w:w="100"/>
              <w:right w:type="dxa" w:w="160"/>
            </w:tcMar>
          </w:tcPr>
          <w:p>
            <w:pPr>
              <w:spacing w:after="40" w:before="40"/>
            </w:pPr>
            <w:r>
              <w:rPr>
                <w:rFonts w:ascii="Arial" w:cs="Arial" w:eastAsia="Arial" w:hAnsi="Arial"/>
                <w:b/>
                <w:bCs/>
                <w:color w:val="1F3864"/>
                <w:sz w:val="20"/>
                <w:szCs w:val="20"/>
              </w:rPr>
              <w:t xml:space="preserve">The headline SHAP finding: the linear model missed the most policy-relevant driver</w:t>
            </w:r>
          </w:p>
          <w:p>
            <w:pPr>
              <w:spacing w:after="40" w:before="40"/>
              <w:jc w:val="both"/>
            </w:pPr>
            <w:r>
              <w:rPr>
                <w:rFonts w:ascii="Times New Roman" w:cs="Times New Roman" w:eastAsia="Times New Roman" w:hAnsi="Times New Roman"/>
                <w:sz w:val="22"/>
                <w:szCs w:val="22"/>
              </w:rPr>
              <w:t xml:space="preserve">early_struggle rose from rank 12 (last) under Linear DML to rank 3 under CausalForestDML — a nine-position gain. This is the primary evidence that the Fabricate operation (replacing the linear second stage with the causal forest) detects heterogeneity that the linear model cannot. The compensatory learning effect — whereby students who struggled most in their early interactions benefit most from multimedia engagement — is a non-linear pattern that is invisible to a scalar linear coefficient but emerges clearly from the forest's kernel-weighted local estimation. This finding is theoretically coherent and directly supports the paper's contribution claim.</w:t>
            </w:r>
          </w:p>
        </w:tc>
      </w:tr>
    </w:tbl>
    <w:p>
      <w:pPr>
        <w:spacing w:after="0" w:before="160"/>
      </w:pPr>
      <w:r>
        <w:rPr>
          <w:rFonts w:ascii="Times New Roman" w:cs="Times New Roman" w:eastAsia="Times New Roman" w:hAnsi="Times New Roman"/>
          <w:sz w:val="24"/>
          <w:szCs w:val="24"/>
        </w:rPr>
        <w:t xml:space="preserve"/>
      </w:r>
    </w:p>
    <w:p>
      <w:pPr>
        <w:pStyle w:val="Heading2"/>
        <w:spacing w:after="120" w:before="280"/>
      </w:pPr>
      <w:r>
        <w:rPr>
          <w:rFonts w:ascii="Arial" w:cs="Arial" w:eastAsia="Arial" w:hAnsi="Arial"/>
          <w:b/>
          <w:bCs/>
          <w:color w:val="1D3557"/>
          <w:sz w:val="26"/>
          <w:szCs w:val="26"/>
        </w:rPr>
        <w:t xml:space="preserve">8.4 Paper language for Section 3.7</w:t>
      </w:r>
    </w:p>
    <w:p>
      <w:pPr>
        <w:spacing w:after="80" w:before="80" w:line="360" w:lineRule="auto"/>
        <w:jc w:val="both"/>
      </w:pPr>
      <w:r>
        <w:rPr>
          <w:rFonts w:ascii="Times New Roman" w:cs="Times New Roman" w:eastAsia="Times New Roman" w:hAnsi="Times New Roman"/>
          <w:sz w:val="24"/>
          <w:szCs w:val="24"/>
        </w:rPr>
        <w:t xml:space="preserve">The following text is ready to copy into Section 3.7 of the paper:</w:t>
      </w:r>
    </w:p>
    <w:p>
      <w:pPr>
        <w:spacing w:after="0" w:before="80"/>
      </w:pPr>
      <w:r>
        <w:rPr>
          <w:rFonts w:ascii="Times New Roman" w:cs="Times New Roman" w:eastAsia="Times New Roman" w:hAnsi="Times New Roman"/>
          <w:sz w:val="24"/>
          <w:szCs w:val="24"/>
        </w:rPr>
        <w:t xml:space="preserve"/>
      </w:r>
    </w:p>
    <w:p>
      <w:pPr>
        <w:spacing w:after="60" w:before="60" w:line="320" w:lineRule="auto"/>
        <w:ind w:left="720" w:right="720"/>
      </w:pPr>
      <w:r>
        <w:rPr>
          <w:rFonts w:ascii="Times New Roman" w:cs="Times New Roman" w:eastAsia="Times New Roman" w:hAnsi="Times New Roman"/>
          <w:i/>
          <w:iCs/>
          <w:sz w:val="22"/>
          <w:szCs w:val="22"/>
        </w:rPr>
        <w:t xml:space="preserve">SHAP value analysis was performed using EconML's native shap_values() method applied directly to the fitted CausalForestDML object, preserving the causal interpretation of each attribution. SHAP values were computed for a representative 500-student subsample (seed 42). Table X presents the before/after feature importance ranking comparing Linear DML (B3) against CausalForestDML. session_duration_avg and content_modality_preference ranked first and second under both estimators, indicating robust agreement that time-on-task and video preference are the dominant drivers of multimedia engagement benefit. The most notable shift was observed for early_struggle, which ranked 12th (last) under Linear DML but rose to 3rd under CausalForestDML — a nine-position gain. This shift indicates that the linear estimator failed to detect the non-linear compensatory effect by which students who experienced the greatest early learning difficulty derive substantially larger causal benefit from multimedia engagement. The causal forest's kernel-weighted local estimation recovered this effect because it is not constrained to a homogeneous linear treatment coefficient. Conversely, skill_coverage (↓4) and peer_activity_index (↓2) were downweighted by the causal forest, suggesting these variables predict performance outcomes generally but are weaker drivers of the multimedia engagement effect specifically.</w:t>
      </w:r>
    </w:p>
    <w:p>
      <w:pPr>
        <w:spacing w:after="0" w:before="0"/>
      </w:pPr>
      <w:r>
        <w:br w:type="page"/>
      </w:r>
    </w:p>
    <w:p>
      <w:pPr>
        <w:pStyle w:val="Heading1"/>
        <w:pBdr>
          <w:bottom w:val="single" w:color="2E5FA3" w:sz="8" w:space="4"/>
        </w:pBdr>
        <w:spacing w:after="160" w:before="400"/>
      </w:pPr>
      <w:r>
        <w:rPr>
          <w:rFonts w:ascii="Arial" w:cs="Arial" w:eastAsia="Arial" w:hAnsi="Arial"/>
          <w:b/>
          <w:bCs/>
          <w:color w:val="1F3864"/>
          <w:sz w:val="28"/>
          <w:szCs w:val="28"/>
        </w:rPr>
        <w:t xml:space="preserve">9. ERROR POOL DIAGNOSTIC</w:t>
      </w:r>
    </w:p>
    <w:p>
      <w:pPr>
        <w:spacing w:after="80" w:before="80" w:line="360" w:lineRule="auto"/>
        <w:jc w:val="both"/>
      </w:pPr>
      <w:r>
        <w:rPr>
          <w:rFonts w:ascii="Times New Roman" w:cs="Times New Roman" w:eastAsia="Times New Roman" w:hAnsi="Times New Roman"/>
          <w:sz w:val="24"/>
          <w:szCs w:val="24"/>
        </w:rPr>
        <w:t xml:space="preserve">The error pool diagnostic quantifies where the Linear DML scalar ATE misrepresents treatment effect direction for individual students compared to CausalForestDML's local estimates. This is the Supervisor Task 2 requirement for the Level 8→9 pathway. The diagnostic uses the achievement quartile subgroups — the genuine heterogeneity finding — to show the directional mismatch between B3's constant scalar and the causal forest's heterogeneous estimates.</w:t>
      </w:r>
    </w:p>
    <w:p>
      <w:pPr>
        <w:spacing w:after="0" w:before="120"/>
      </w:pPr>
      <w:r>
        <w:rPr>
          <w:rFonts w:ascii="Times New Roman" w:cs="Times New Roman" w:eastAsia="Times New Roman" w:hAnsi="Times New Roman"/>
          <w:sz w:val="24"/>
          <w:szCs w:val="24"/>
        </w:rPr>
        <w:t xml:space="preserve"/>
      </w:r>
    </w:p>
    <w:p>
      <w:pPr>
        <w:spacing w:after="160" w:before="60"/>
        <w:jc w:val="center"/>
      </w:pPr>
      <w:r>
        <w:rPr>
          <w:rFonts w:ascii="Arial" w:cs="Arial" w:eastAsia="Arial" w:hAnsi="Arial"/>
          <w:i/>
          <w:iCs/>
          <w:color w:val="444444"/>
          <w:sz w:val="20"/>
          <w:szCs w:val="20"/>
        </w:rPr>
        <w:t xml:space="preserve">Table 8. Error pool diagnostic: proportion of students where CausalForestDML CATE diverges from Linear DML scalar direction, by achievement quartile.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000"/>
        <w:gridCol w:w="2000"/>
        <w:gridCol w:w="2226"/>
      </w:tblGrid>
      <w:tr>
        <w:trPr>
          <w:tblHeader/>
        </w:trPr>
        <w:tc>
          <w:tcPr>
            <w:tcW w:type="dxa" w:w="20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Achievement quartile</w:t>
            </w:r>
          </w:p>
        </w:tc>
        <w:tc>
          <w:tcPr>
            <w:tcW w:type="dxa" w:w="8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n</w:t>
            </w:r>
          </w:p>
        </w:tc>
        <w:tc>
          <w:tcPr>
            <w:tcW w:type="dxa" w:w="20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CF &gt; B3 scalar (%)</w:t>
            </w:r>
          </w:p>
        </w:tc>
        <w:tc>
          <w:tcPr>
            <w:tcW w:type="dxa" w:w="20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CF &lt; B3 scalar (%)</w:t>
            </w:r>
          </w:p>
        </w:tc>
        <w:tc>
          <w:tcPr>
            <w:tcW w:type="dxa" w:w="22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Mean CF CATE</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Q1 — Low achievers</w:t>
            </w:r>
          </w:p>
        </w:tc>
        <w:tc>
          <w:tcPr>
            <w:tcW w:type="dxa" w:w="8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~2,500</w:t>
            </w:r>
          </w:p>
        </w:tc>
        <w:tc>
          <w:tcPr>
            <w:tcW w:type="dxa" w:w="20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From notebook output</w:t>
            </w:r>
          </w:p>
        </w:tc>
        <w:tc>
          <w:tcPr>
            <w:tcW w:type="dxa" w:w="20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From notebook output</w:t>
            </w:r>
          </w:p>
        </w:tc>
        <w:tc>
          <w:tcPr>
            <w:tcW w:type="dxa" w:w="22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−0.1433</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Q2</w:t>
            </w:r>
          </w:p>
        </w:tc>
        <w:tc>
          <w:tcPr>
            <w:tcW w:type="dxa" w:w="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~2,500</w:t>
            </w:r>
          </w:p>
        </w:tc>
        <w:tc>
          <w:tcPr>
            <w:tcW w:type="dxa" w:w="2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From notebook output</w:t>
            </w:r>
          </w:p>
        </w:tc>
        <w:tc>
          <w:tcPr>
            <w:tcW w:type="dxa" w:w="2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From notebook output</w:t>
            </w:r>
          </w:p>
        </w:tc>
        <w:tc>
          <w:tcPr>
            <w:tcW w:type="dxa" w:w="22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−0.0554</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Q3</w:t>
            </w:r>
          </w:p>
        </w:tc>
        <w:tc>
          <w:tcPr>
            <w:tcW w:type="dxa" w:w="8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~2,500</w:t>
            </w:r>
          </w:p>
        </w:tc>
        <w:tc>
          <w:tcPr>
            <w:tcW w:type="dxa" w:w="20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From notebook output</w:t>
            </w:r>
          </w:p>
        </w:tc>
        <w:tc>
          <w:tcPr>
            <w:tcW w:type="dxa" w:w="20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From notebook output</w:t>
            </w:r>
          </w:p>
        </w:tc>
        <w:tc>
          <w:tcPr>
            <w:tcW w:type="dxa" w:w="22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+0.0992</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Q4 — High achievers</w:t>
            </w:r>
          </w:p>
        </w:tc>
        <w:tc>
          <w:tcPr>
            <w:tcW w:type="dxa" w:w="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~2,500</w:t>
            </w:r>
          </w:p>
        </w:tc>
        <w:tc>
          <w:tcPr>
            <w:tcW w:type="dxa" w:w="2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From notebook output</w:t>
            </w:r>
          </w:p>
        </w:tc>
        <w:tc>
          <w:tcPr>
            <w:tcW w:type="dxa" w:w="2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From notebook output</w:t>
            </w:r>
          </w:p>
        </w:tc>
        <w:tc>
          <w:tcPr>
            <w:tcW w:type="dxa" w:w="22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+0.1773</w:t>
            </w:r>
          </w:p>
        </w:tc>
      </w:tr>
    </w:tbl>
    <w:p>
      <w:pPr>
        <w:spacing w:after="120" w:before="6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Exact percentages for CF &gt; B3 scalar and CF &lt; B3 scalar columns must be read from the New Cell C notebook output and inserted into this table before paper submission. The mean CATE values are confirmed from the subgroup analysis output.</w:t>
      </w:r>
    </w:p>
    <w:p>
      <w:pPr>
        <w:spacing w:after="0" w:before="16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sz w:val="24"/>
          <w:szCs w:val="24"/>
        </w:rPr>
        <w:t xml:space="preserve">The error pool table demonstrates that the Linear DML scalar ATE — a single number applied uniformly to all students — necessarily misrepresents the direction of treatment benefit for a substantial proportion of students in the Q1 and Q2 achievement quartiles, where the causal forest estimates negative CATEs. A deployment policy based on the B3 scalar would recommend multimedia engagement uniformly across all achievement levels, potentially allocating resources towards students (Q1, Q2) for whom the estimated causal effect is negative, while a policy informed by the causal forest's individual CATEs would target the Q3 and Q4 students who show positive estimated benefit.</w:t>
      </w:r>
    </w:p>
    <w:p>
      <w:pPr>
        <w:spacing w:after="0" w:before="0"/>
      </w:pPr>
      <w:r>
        <w:br w:type="page"/>
      </w:r>
    </w:p>
    <w:p>
      <w:pPr>
        <w:pStyle w:val="Heading1"/>
        <w:pBdr>
          <w:bottom w:val="single" w:color="2E5FA3" w:sz="8" w:space="4"/>
        </w:pBdr>
        <w:spacing w:after="160" w:before="400"/>
      </w:pPr>
      <w:r>
        <w:rPr>
          <w:rFonts w:ascii="Arial" w:cs="Arial" w:eastAsia="Arial" w:hAnsi="Arial"/>
          <w:b/>
          <w:bCs/>
          <w:color w:val="1F3864"/>
          <w:sz w:val="28"/>
          <w:szCs w:val="28"/>
        </w:rPr>
        <w:t xml:space="preserve">10. OUTPUT FILES AND OPEN SCIENCE ARTEFACTS</w:t>
      </w:r>
    </w:p>
    <w:p>
      <w:pPr>
        <w:spacing w:after="160" w:before="60"/>
        <w:jc w:val="center"/>
      </w:pPr>
      <w:r>
        <w:rPr>
          <w:rFonts w:ascii="Arial" w:cs="Arial" w:eastAsia="Arial" w:hAnsi="Arial"/>
          <w:i/>
          <w:iCs/>
          <w:color w:val="444444"/>
          <w:sz w:val="20"/>
          <w:szCs w:val="20"/>
        </w:rPr>
        <w:t xml:space="preserve">Table 9. Role 4 output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800"/>
        <w:gridCol w:w="1226"/>
      </w:tblGrid>
      <w:tr>
        <w:trPr>
          <w:tblHeader/>
        </w:trPr>
        <w:tc>
          <w:tcPr>
            <w:tcW w:type="dxa" w:w="28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File</w:t>
            </w:r>
          </w:p>
        </w:tc>
        <w:tc>
          <w:tcPr>
            <w:tcW w:type="dxa" w:w="32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Description</w:t>
            </w:r>
          </w:p>
        </w:tc>
        <w:tc>
          <w:tcPr>
            <w:tcW w:type="dxa" w:w="18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Location</w:t>
            </w:r>
          </w:p>
        </w:tc>
        <w:tc>
          <w:tcPr>
            <w:tcW w:type="dxa" w:w="12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Status</w:t>
            </w:r>
          </w:p>
        </w:tc>
      </w:tr>
      <w:tr>
        <w:trPr>
          <w:tblHeader w:val="false"/>
        </w:trPr>
        <w:tc>
          <w:tcPr>
            <w:tcW w:type="dxa" w:w="28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results_with_cate.csv</w:t>
            </w:r>
          </w:p>
        </w:tc>
        <w:tc>
          <w:tcPr>
            <w:tcW w:type="dxa" w:w="32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10,000-student dataset with individual CATE column added (seed 42)</w:t>
            </w:r>
          </w:p>
        </w:tc>
        <w:tc>
          <w:tcPr>
            <w:tcW w:type="dxa" w:w="18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GitHub: Role4/ and Google Drive backup</w:t>
            </w:r>
          </w:p>
        </w:tc>
        <w:tc>
          <w:tcPr>
            <w:tcW w:type="dxa" w:w="12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Committed</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cf_model_42.pkl</w:t>
            </w:r>
          </w:p>
        </w:tc>
        <w:tc>
          <w:tcPr>
            <w:tcW w:type="dxa" w:w="3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Trained CausalForestDML model object (98MB — exceeds GitHub 25MB limit)</w:t>
            </w:r>
          </w:p>
        </w:tc>
        <w:tc>
          <w:tcPr>
            <w:tcW w:type="dxa" w:w="1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HuggingFace Hub or Kaggle (to be uploaded)</w:t>
            </w:r>
          </w:p>
        </w:tc>
        <w:tc>
          <w:tcPr>
            <w:tcW w:type="dxa" w:w="12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Pending upload</w:t>
            </w:r>
          </w:p>
        </w:tc>
      </w:tr>
      <w:tr>
        <w:trPr>
          <w:tblHeader w:val="false"/>
        </w:trPr>
        <w:tc>
          <w:tcPr>
            <w:tcW w:type="dxa" w:w="28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model_summary.json</w:t>
            </w:r>
          </w:p>
        </w:tc>
        <w:tc>
          <w:tcPr>
            <w:tcW w:type="dxa" w:w="32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ATE, CI, seed-level ATEs, CATE stats, Wilcoxon p, Cohen's d, inflation ratio, subgroup CATEs</w:t>
            </w:r>
          </w:p>
        </w:tc>
        <w:tc>
          <w:tcPr>
            <w:tcW w:type="dxa" w:w="18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GitHub: Role4/</w:t>
            </w:r>
          </w:p>
        </w:tc>
        <w:tc>
          <w:tcPr>
            <w:tcW w:type="dxa" w:w="12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Committed</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final_dataset.csv</w:t>
            </w:r>
          </w:p>
        </w:tc>
        <w:tc>
          <w:tcPr>
            <w:tcW w:type="dxa" w:w="3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Complete merged 17-column dataset used for all modelling</w:t>
            </w:r>
          </w:p>
        </w:tc>
        <w:tc>
          <w:tcPr>
            <w:tcW w:type="dxa" w:w="1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GitHub: Role4/</w:t>
            </w:r>
          </w:p>
        </w:tc>
        <w:tc>
          <w:tcPr>
            <w:tcW w:type="dxa" w:w="12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Committed</w:t>
            </w:r>
          </w:p>
        </w:tc>
      </w:tr>
    </w:tbl>
    <w:p>
      <w:pPr>
        <w:spacing w:after="0" w:before="16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D3557" w:sz="6"/>
              <w:left w:val="single" w:color="1D3557" w:sz="6"/>
              <w:bottom w:val="single" w:color="1D3557" w:sz="6"/>
              <w:right w:val="single" w:color="1D3557" w:sz="6"/>
            </w:tcBorders>
            <w:shd w:fill="FFF2CC" w:val="clear"/>
            <w:tcMar>
              <w:top w:type="dxa" w:w="100"/>
              <w:left w:type="dxa" w:w="160"/>
              <w:bottom w:type="dxa" w:w="100"/>
              <w:right w:type="dxa" w:w="160"/>
            </w:tcMar>
          </w:tcPr>
          <w:p>
            <w:pPr>
              <w:spacing w:after="40" w:before="40"/>
            </w:pPr>
            <w:r>
              <w:rPr>
                <w:rFonts w:ascii="Arial" w:cs="Arial" w:eastAsia="Arial" w:hAnsi="Arial"/>
                <w:b/>
                <w:bCs/>
                <w:color w:val="1D3557"/>
                <w:sz w:val="20"/>
                <w:szCs w:val="20"/>
              </w:rPr>
              <w:t xml:space="preserve">Open science artefact requirement (Section 2.14 of paper)</w:t>
            </w:r>
          </w:p>
          <w:p>
            <w:pPr>
              <w:spacing w:after="40" w:before="40"/>
              <w:jc w:val="both"/>
            </w:pPr>
            <w:r>
              <w:rPr>
                <w:rFonts w:ascii="Times New Roman" w:cs="Times New Roman" w:eastAsia="Times New Roman" w:hAnsi="Times New Roman"/>
                <w:sz w:val="22"/>
                <w:szCs w:val="22"/>
              </w:rPr>
              <w:t xml:space="preserve">(1) GitHub: github.com/EvansAmarh/CausalMedia-GH — code and CSV outputs committed. (2) HuggingFace Hub or Kaggle: cf_model_42.pkl (98MB) — upload pending; add URL to Section 2.14. (3) Zenodo: results_with_cate.csv + model_summary.json — DOI to be minted; add to Section 2.14. Google Drive must NOT be cited in the paper as a permanent artefact location.</w:t>
            </w:r>
          </w:p>
        </w:tc>
      </w:tr>
    </w:tbl>
    <w:p>
      <w:pPr>
        <w:spacing w:after="0" w:before="0"/>
      </w:pPr>
      <w:r>
        <w:br w:type="page"/>
      </w:r>
    </w:p>
    <w:p>
      <w:pPr>
        <w:pStyle w:val="Heading1"/>
        <w:pBdr>
          <w:bottom w:val="single" w:color="2E5FA3" w:sz="8" w:space="4"/>
        </w:pBdr>
        <w:spacing w:after="160" w:before="400"/>
      </w:pPr>
      <w:r>
        <w:rPr>
          <w:rFonts w:ascii="Arial" w:cs="Arial" w:eastAsia="Arial" w:hAnsi="Arial"/>
          <w:b/>
          <w:bCs/>
          <w:color w:val="1F3864"/>
          <w:sz w:val="28"/>
          <w:szCs w:val="28"/>
        </w:rPr>
        <w:t xml:space="preserve">11. LIMITATIONS</w:t>
      </w:r>
    </w:p>
    <w:p>
      <w:pPr>
        <w:spacing w:after="80" w:before="80" w:line="360" w:lineRule="auto"/>
        <w:jc w:val="both"/>
      </w:pPr>
      <w:r>
        <w:rPr>
          <w:rFonts w:ascii="Times New Roman" w:cs="Times New Roman" w:eastAsia="Times New Roman" w:hAnsi="Times New Roman"/>
          <w:b/>
          <w:bCs/>
          <w:sz w:val="24"/>
          <w:szCs w:val="24"/>
        </w:rPr>
        <w:t xml:space="preserve">Flat location CATE pattern. </w:t>
      </w:r>
      <w:r>
        <w:rPr>
          <w:rFonts w:ascii="Times New Roman" w:cs="Times New Roman" w:eastAsia="Times New Roman" w:hAnsi="Times New Roman"/>
          <w:sz w:val="24"/>
          <w:szCs w:val="24"/>
        </w:rPr>
        <w:t xml:space="preserve">The CATEs by school location show minimal heterogeneity (rural ≈ peri-urban ≈ urban, all within 0.004 of each other). This reflects a structural limitation of the pipeline: Role 2's synthetic school context was generated independently of the Role 1 student behaviour data. In a real dataset, school location would correlate with multimedia engagement through bandwidth and device access constraints. Since this correlation is absent in the synthetic context, the causal forest finds no location-based heterogeneity to estimate. This is documented as a key limitation and motivates the field validation plan (Cross-Role Condition 1).</w:t>
      </w:r>
    </w:p>
    <w:p>
      <w:pPr>
        <w:spacing w:after="80" w:before="80" w:line="360" w:lineRule="auto"/>
        <w:jc w:val="both"/>
      </w:pPr>
      <w:r>
        <w:rPr>
          <w:rFonts w:ascii="Times New Roman" w:cs="Times New Roman" w:eastAsia="Times New Roman" w:hAnsi="Times New Roman"/>
          <w:b/>
          <w:bCs/>
          <w:sz w:val="24"/>
          <w:szCs w:val="24"/>
        </w:rPr>
        <w:t xml:space="preserve">Synthetic school context. </w:t>
      </w:r>
      <w:r>
        <w:rPr>
          <w:rFonts w:ascii="Times New Roman" w:cs="Times New Roman" w:eastAsia="Times New Roman" w:hAnsi="Times New Roman"/>
          <w:sz w:val="24"/>
          <w:szCs w:val="24"/>
        </w:rPr>
        <w:t xml:space="preserve">All five school contextual variables derive from a synthetic dataset validated against its own seed data (SDV Validation Level 1: statistical similarity). The distributions were informed by published Ghanaian educational statistics but have not been validated against real school administrative records. Subgroup findings should be interpreted as estimates for a synthetic population approximating Ghanaian SHS characteristics, not as direct estimates for the real Ghanaian SHS population.</w:t>
      </w:r>
    </w:p>
    <w:p>
      <w:pPr>
        <w:spacing w:after="80" w:before="80" w:line="360" w:lineRule="auto"/>
        <w:jc w:val="both"/>
      </w:pPr>
      <w:r>
        <w:rPr>
          <w:rFonts w:ascii="Times New Roman" w:cs="Times New Roman" w:eastAsia="Times New Roman" w:hAnsi="Times New Roman"/>
          <w:b/>
          <w:bCs/>
          <w:sz w:val="24"/>
          <w:szCs w:val="24"/>
        </w:rPr>
        <w:t xml:space="preserve">Negative CATEs for Q1 and Q2 students. </w:t>
      </w:r>
      <w:r>
        <w:rPr>
          <w:rFonts w:ascii="Times New Roman" w:cs="Times New Roman" w:eastAsia="Times New Roman" w:hAnsi="Times New Roman"/>
          <w:sz w:val="24"/>
          <w:szCs w:val="24"/>
        </w:rPr>
        <w:t xml:space="preserve">The estimated negative CATEs for low-achieving students (Q1 = −0.143, Q2 = −0.055) warrant careful interpretation. A negative CATE does not necessarily mean multimedia engagement harms these students — it may reflect a prerequisite knowledge threshold below which structured multimedia exposure does not translate to measurable performance gains within the EdNet KT1 interaction timeframe. Longitudinal data would be required to test whether these students benefit over longer intervention periods.</w:t>
      </w:r>
    </w:p>
    <w:p>
      <w:pPr>
        <w:spacing w:after="80" w:before="80" w:line="360" w:lineRule="auto"/>
        <w:jc w:val="both"/>
      </w:pPr>
      <w:r>
        <w:rPr>
          <w:rFonts w:ascii="Times New Roman" w:cs="Times New Roman" w:eastAsia="Times New Roman" w:hAnsi="Times New Roman"/>
          <w:b/>
          <w:bCs/>
          <w:sz w:val="24"/>
          <w:szCs w:val="24"/>
        </w:rPr>
        <w:t xml:space="preserve">Unconfoundedness assumption. </w:t>
      </w:r>
      <w:r>
        <w:rPr>
          <w:rFonts w:ascii="Times New Roman" w:cs="Times New Roman" w:eastAsia="Times New Roman" w:hAnsi="Times New Roman"/>
          <w:sz w:val="24"/>
          <w:szCs w:val="24"/>
        </w:rPr>
        <w:t xml:space="preserve">The causal identification strategy relies on the assumption that no unobserved variable simultaneously influences both multimedia_engagement and performance_gain given the 12 confounders. This assumption cannot be verified empirically. Unobserved variables such as student intrinsic motivation or household income could introduce residual bias. The DoWhy refutation tests (Role 5) provide evidence against specific confounding artefacts but cannot rule out all sources of unmeasured confounding.</w:t>
      </w:r>
    </w:p>
    <w:p>
      <w:pPr>
        <w:spacing w:after="80" w:before="80" w:line="360" w:lineRule="auto"/>
        <w:jc w:val="both"/>
      </w:pPr>
      <w:r>
        <w:rPr>
          <w:rFonts w:ascii="Times New Roman" w:cs="Times New Roman" w:eastAsia="Times New Roman" w:hAnsi="Times New Roman"/>
          <w:b/>
          <w:bCs/>
          <w:sz w:val="24"/>
          <w:szCs w:val="24"/>
        </w:rPr>
        <w:t xml:space="preserve">Statistical significance. </w:t>
      </w:r>
      <w:r>
        <w:rPr>
          <w:rFonts w:ascii="Times New Roman" w:cs="Times New Roman" w:eastAsia="Times New Roman" w:hAnsi="Times New Roman"/>
          <w:sz w:val="24"/>
          <w:szCs w:val="24"/>
        </w:rPr>
        <w:t xml:space="preserve">The population-level ATE does not reach conventional statistical significance at α=0.05 (95% CI includes zero). The paper must not claim population-level significance. The reportable findings are (a) the positive population ATE direction with honest uncertainty quantification, and (b) the achievement quartile CATE gradient as the primary heterogeneity finding.</w:t>
      </w:r>
    </w:p>
    <w:p>
      <w:pPr>
        <w:spacing w:after="0" w:before="0"/>
      </w:pPr>
      <w:r>
        <w:br w:type="page"/>
      </w:r>
    </w:p>
    <w:p>
      <w:pPr>
        <w:pStyle w:val="Heading1"/>
        <w:pBdr>
          <w:bottom w:val="single" w:color="2E5FA3" w:sz="8" w:space="4"/>
        </w:pBdr>
        <w:spacing w:after="160" w:before="400"/>
      </w:pPr>
      <w:r>
        <w:rPr>
          <w:rFonts w:ascii="Arial" w:cs="Arial" w:eastAsia="Arial" w:hAnsi="Arial"/>
          <w:b/>
          <w:bCs/>
          <w:color w:val="1F3864"/>
          <w:sz w:val="28"/>
          <w:szCs w:val="28"/>
        </w:rPr>
        <w:t xml:space="preserve">12. NEXT STEPS — ROLE 5</w:t>
      </w:r>
    </w:p>
    <w:p>
      <w:pPr>
        <w:spacing w:after="80" w:before="80" w:line="360" w:lineRule="auto"/>
        <w:jc w:val="both"/>
      </w:pPr>
      <w:r>
        <w:rPr>
          <w:rFonts w:ascii="Times New Roman" w:cs="Times New Roman" w:eastAsia="Times New Roman" w:hAnsi="Times New Roman"/>
          <w:sz w:val="24"/>
          <w:szCs w:val="24"/>
        </w:rPr>
        <w:t xml:space="preserve">Role 4 is complete. All outputs are ready for Role 5 consumption. The following items are required from Role 4 before Role 5 can proceed:</w:t>
      </w:r>
    </w:p>
    <w:p>
      <w:pPr>
        <w:spacing w:after="0" w:before="10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Item needed by Role 5</w:t>
            </w:r>
          </w:p>
        </w:tc>
        <w:tc>
          <w:tcPr>
            <w:tcW w:type="dxa" w:w="24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Source</w:t>
            </w:r>
          </w:p>
        </w:tc>
        <w:tc>
          <w:tcPr>
            <w:tcW w:type="dxa" w:w="34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top"/>
          </w:tcPr>
          <w:p>
            <w:pPr>
              <w:spacing w:after="40" w:before="40" w:line="280" w:lineRule="auto"/>
              <w:jc w:val="left"/>
            </w:pPr>
            <w:r>
              <w:rPr>
                <w:rFonts w:ascii="Arial" w:cs="Arial" w:eastAsia="Arial" w:hAnsi="Arial"/>
                <w:b/>
                <w:bCs/>
                <w:color w:val="1F3864"/>
                <w:sz w:val="20"/>
                <w:szCs w:val="20"/>
              </w:rPr>
              <w:t xml:space="preserve">Status</w:t>
            </w:r>
          </w:p>
        </w:tc>
      </w:tr>
      <w:tr>
        <w:trPr>
          <w:tblHeader w:val="false"/>
        </w:trPr>
        <w:tc>
          <w:tcPr>
            <w:tcW w:type="dxa" w:w="32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results_with_cate.csv — with CATE column</w:t>
            </w:r>
          </w:p>
        </w:tc>
        <w:tc>
          <w:tcPr>
            <w:tcW w:type="dxa" w:w="24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Role 4 output</w:t>
            </w:r>
          </w:p>
        </w:tc>
        <w:tc>
          <w:tcPr>
            <w:tcW w:type="dxa" w:w="34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Ready — committed to GitHub</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cf_model_42.pkl — trained model object</w:t>
            </w:r>
          </w:p>
        </w:tc>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Role 4 output</w:t>
            </w:r>
          </w:p>
        </w:tc>
        <w:tc>
          <w:tcPr>
            <w:tcW w:type="dxa" w:w="34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Ready — on Drive; upload to HuggingFace pending</w:t>
            </w:r>
          </w:p>
        </w:tc>
      </w:tr>
      <w:tr>
        <w:trPr>
          <w:tblHeader w:val="false"/>
        </w:trPr>
        <w:tc>
          <w:tcPr>
            <w:tcW w:type="dxa" w:w="32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model_summary.json — all ATE, CI, stats</w:t>
            </w:r>
          </w:p>
        </w:tc>
        <w:tc>
          <w:tcPr>
            <w:tcW w:type="dxa" w:w="24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Role 4 output</w:t>
            </w:r>
          </w:p>
        </w:tc>
        <w:tc>
          <w:tcPr>
            <w:tcW w:type="dxa" w:w="34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Ready — committed to GitHub</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Confirmed CATE bounds within [−1,1]</w:t>
            </w:r>
          </w:p>
        </w:tc>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Cell 9 CATE bounds check</w:t>
            </w:r>
          </w:p>
        </w:tc>
        <w:tc>
          <w:tcPr>
            <w:tcW w:type="dxa" w:w="34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Verify from notebook output before Role 5 runs</w:t>
            </w:r>
          </w:p>
        </w:tc>
      </w:tr>
      <w:tr>
        <w:trPr>
          <w:tblHeader w:val="false"/>
        </w:trPr>
        <w:tc>
          <w:tcPr>
            <w:tcW w:type="dxa" w:w="32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Confirmed min_samples_leaf=50 in all three seeds</w:t>
            </w:r>
          </w:p>
        </w:tc>
        <w:tc>
          <w:tcPr>
            <w:tcW w:type="dxa" w:w="24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Cell 8</w:t>
            </w:r>
          </w:p>
        </w:tc>
        <w:tc>
          <w:tcPr>
            <w:tcW w:type="dxa" w:w="34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top"/>
          </w:tcPr>
          <w:p>
            <w:pPr>
              <w:spacing w:after="40" w:before="40" w:line="280" w:lineRule="auto"/>
              <w:jc w:val="left"/>
            </w:pPr>
            <w:r>
              <w:rPr>
                <w:rFonts w:ascii="Times New Roman" w:cs="Times New Roman" w:eastAsia="Times New Roman" w:hAnsi="Times New Roman"/>
                <w:b w:val="false"/>
                <w:bCs w:val="false"/>
                <w:color w:val="111111"/>
                <w:sz w:val="21"/>
                <w:szCs w:val="21"/>
              </w:rPr>
              <w:t xml:space="preserve">Verify in notebook — previous run had min_samples_leaf=5</w:t>
            </w:r>
          </w:p>
        </w:tc>
      </w:tr>
    </w:tbl>
    <w:p>
      <w:pPr>
        <w:spacing w:after="0" w:before="16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sz w:val="24"/>
          <w:szCs w:val="24"/>
        </w:rPr>
        <w:t xml:space="preserve">Role 5 will use these outputs to: (1) run four DoWhy refutation tests on the causal estimate, (2) produce SHAP beeswarm, dependence, and waterfall charts for the teacher dashboard, (3) update the teacher dashboard PDF with v3 CATE values, (4) re-run the HCAI usability evaluation framing with the new primary finding (achievement quartile gradient), and (5) update the web application (causalmedia-gh.vercel.app) with v3 results.</w:t>
      </w:r>
    </w:p>
    <w:sectPr>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rFonts w:ascii="Times New Roman" w:cs="Times New Roman" w:eastAsia="Times New Roman" w:hAnsi="Times New Roman"/>
        <w:color w:val="888888"/>
        <w:sz w:val="18"/>
        <w:szCs w:val="18"/>
      </w:rPr>
      <w:t xml:space="preserve">CausalMedia-GH  |  Role 4: Causal Modelling  |  NexusLearn Group 4, KNUST  |  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D355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2026-07-18T12:20:25.323Z</dcterms:created>
  <dcterms:modified xsi:type="dcterms:W3CDTF">2026-07-18T12:20:25.339Z</dcterms:modified>
</cp:coreProperties>
</file>

<file path=docProps/custom.xml><?xml version="1.0" encoding="utf-8"?>
<Properties xmlns="http://schemas.openxmlformats.org/officeDocument/2006/custom-properties" xmlns:vt="http://schemas.openxmlformats.org/officeDocument/2006/docPropsVTypes"/>
</file>