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3C4B0" w14:textId="7BC13BC2" w:rsidR="0074131A" w:rsidRPr="0074131A" w:rsidRDefault="0074131A" w:rsidP="0074131A">
      <w:pPr>
        <w:spacing w:after="0"/>
        <w:jc w:val="center"/>
        <w:rPr>
          <w:b/>
          <w:bCs/>
          <w:color w:val="153D63" w:themeColor="text2" w:themeTint="E6"/>
          <w:sz w:val="32"/>
          <w:szCs w:val="32"/>
        </w:rPr>
      </w:pPr>
      <w:r w:rsidRPr="0074131A">
        <w:rPr>
          <w:b/>
          <w:bCs/>
          <w:color w:val="153D63" w:themeColor="text2" w:themeTint="E6"/>
          <w:sz w:val="32"/>
          <w:szCs w:val="32"/>
        </w:rPr>
        <w:t>General Application Principles for DARE-Arbo Assessment and Appraisal</w:t>
      </w:r>
    </w:p>
    <w:p w14:paraId="02BCFD7F" w14:textId="257808CF" w:rsidR="00394D4F" w:rsidRDefault="00E212E6" w:rsidP="00394D4F">
      <w:pPr>
        <w:spacing w:line="278" w:lineRule="auto"/>
      </w:pPr>
      <w:r>
        <w:rPr>
          <w:noProof/>
        </w:rPr>
        <mc:AlternateContent>
          <mc:Choice Requires="wps">
            <w:drawing>
              <wp:anchor distT="0" distB="0" distL="114300" distR="114300" simplePos="0" relativeHeight="251659264" behindDoc="0" locked="0" layoutInCell="1" allowOverlap="1" wp14:anchorId="56DC3CDF" wp14:editId="4FDD381B">
                <wp:simplePos x="0" y="0"/>
                <wp:positionH relativeFrom="margin">
                  <wp:align>left</wp:align>
                </wp:positionH>
                <wp:positionV relativeFrom="paragraph">
                  <wp:posOffset>71633</wp:posOffset>
                </wp:positionV>
                <wp:extent cx="5866645" cy="9053"/>
                <wp:effectExtent l="0" t="0" r="20320" b="29210"/>
                <wp:wrapNone/>
                <wp:docPr id="428824061" name="Straight Connector 1"/>
                <wp:cNvGraphicFramePr/>
                <a:graphic xmlns:a="http://schemas.openxmlformats.org/drawingml/2006/main">
                  <a:graphicData uri="http://schemas.microsoft.com/office/word/2010/wordprocessingShape">
                    <wps:wsp>
                      <wps:cNvCnPr/>
                      <wps:spPr>
                        <a:xfrm>
                          <a:off x="0" y="0"/>
                          <a:ext cx="5866645" cy="9053"/>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39FA12" id="Straight Connector 1"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5.65pt" to="461.9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CacwgEAAOIDAAAOAAAAZHJzL2Uyb0RvYy54bWysU9uO0zAQfUfiHyy/06SFliVqug9dLS8I&#10;Vlw+wHXGjSXfNDZN+/eMnTRdAUICkQfH8cyZOed4sr0/W8NOgFF71/LlouYMnPSddseWf/v6+OqO&#10;s5iE64TxDlp+gcjvdy9fbIfQwMr33nSAjIq42Ayh5X1KoamqKHuwIi58AEdB5dGKRJ94rDoUA1W3&#10;plrV9aYaPHYBvYQY6fRhDPJdqa8UyPRJqQiJmZYTt1RWLOshr9VuK5ojitBrOdEQ/8DCCu2o6Vzq&#10;QSTBvqP+pZTVEn30Ki2kt5VXSksoGkjNsv5JzZdeBChayJwYZpvi/ysrP5727gnJhiHEJoYnzCrO&#10;Cm1+Ez92LmZdZrPgnJikw/XdZrN5s+ZMUuxdvX6dvaxu2IAxvQdvWd603GiXpYhGnD7ENKZeU/Kx&#10;cWygAVq9reuSFr3R3aM2JgcjHg97g+wk6Br3dX6mbs/SqLdxROEmpOzSxcDY4DMopjuivhw75BmD&#10;uayQElxaTnWNo+wMU0RhBk7U/gSc8jMUyvz9DXhGlM7epRlstfP4O9rpfKWsxvyrA6PubMHBd5dy&#10;xcUaGqRyT9PQ50l9/l3gt19z9wMAAP//AwBQSwMEFAAGAAgAAAAhAFI/mpjbAAAABgEAAA8AAABk&#10;cnMvZG93bnJldi54bWxMj8FOwzAQRO9I/IO1SNyo01SCNo1TISQQqBIShg9w422SEq8j22mTv2c5&#10;wXFmVjNvy93kenHGEDtPCpaLDARS7W1HjYKvz+e7NYiYDFnTe0IFM0bYVddXpSmsv9AHnnVqBJdQ&#10;LIyCNqWhkDLWLToTF35A4uzogzOJZWikDebC5a6XeZbdS2c64oXWDPjUYv2tR6dg7d/0EPb29Pqy&#10;16f5nfQ4mVmp25vpcQsi4ZT+juEXn9GhYqaDH8lG0SvgRxK7yxUITjf5agPiwEb+ALIq5X/86gcA&#10;AP//AwBQSwECLQAUAAYACAAAACEAtoM4kv4AAADhAQAAEwAAAAAAAAAAAAAAAAAAAAAAW0NvbnRl&#10;bnRfVHlwZXNdLnhtbFBLAQItABQABgAIAAAAIQA4/SH/1gAAAJQBAAALAAAAAAAAAAAAAAAAAC8B&#10;AABfcmVscy8ucmVsc1BLAQItABQABgAIAAAAIQDYaCacwgEAAOIDAAAOAAAAAAAAAAAAAAAAAC4C&#10;AABkcnMvZTJvRG9jLnhtbFBLAQItABQABgAIAAAAIQBSP5qY2wAAAAYBAAAPAAAAAAAAAAAAAAAA&#10;ABwEAABkcnMvZG93bnJldi54bWxQSwUGAAAAAAQABADzAAAAJAUAAAAA&#10;" strokecolor="#c00000" strokeweight="1pt">
                <v:stroke joinstyle="miter"/>
                <w10:wrap anchorx="margin"/>
              </v:line>
            </w:pict>
          </mc:Fallback>
        </mc:AlternateContent>
      </w:r>
    </w:p>
    <w:p w14:paraId="58DC776C" w14:textId="43500BDD" w:rsidR="00394D4F" w:rsidRDefault="00780735" w:rsidP="00E01F75">
      <w:pPr>
        <w:pStyle w:val="Heading1"/>
      </w:pPr>
      <w:r>
        <w:t xml:space="preserve">1.0 </w:t>
      </w:r>
      <w:r w:rsidR="00E212E6">
        <w:t xml:space="preserve">Key steps in the scoring process </w:t>
      </w:r>
    </w:p>
    <w:p w14:paraId="21478895" w14:textId="2AF24A1D" w:rsidR="00394D4F" w:rsidRDefault="007338C2" w:rsidP="00510AF0">
      <w:r w:rsidRPr="007338C2">
        <w:t>Apply the rules in the following sequence: (1) define the target study population; (2) identify the biological synthesis endpoint; (3) identify the observed numerator; (4) identify the assay or explicit diagnostic algorithm that produced that numerator; (5) determine exactly which participants were eligible for and received the endpoint-defining assay or algorithm; (6) assign the measurement pathway and, when relevant, the confirmation tier; (7) identify the matching observed numerator and denominator; and (8) score Q1-Q10 for that endpoint only</w:t>
      </w:r>
      <w:r w:rsidR="00394D4F">
        <w:t>.</w:t>
      </w:r>
    </w:p>
    <w:p w14:paraId="2B3E3F6B" w14:textId="5F7ABF69" w:rsidR="004B4571" w:rsidRDefault="00780735" w:rsidP="00780735">
      <w:pPr>
        <w:pStyle w:val="Heading2"/>
      </w:pPr>
      <w:r>
        <w:t xml:space="preserve">1.1 </w:t>
      </w:r>
      <w:r w:rsidR="004B4571" w:rsidRPr="004B4571">
        <w:t xml:space="preserve">Primary implementation rule: </w:t>
      </w:r>
    </w:p>
    <w:p w14:paraId="3B27B1A3" w14:textId="4A8B151D" w:rsidR="004B4571" w:rsidRDefault="002F587B" w:rsidP="00510AF0">
      <w:r w:rsidRPr="002F587B">
        <w:t xml:space="preserve">The endpoint is defined by the observed biological result that enters the synthesis numerator. The most sophisticated assay reported anywhere in the article must never be allowed to determine the endpoint, </w:t>
      </w:r>
      <w:r w:rsidRPr="002F587B">
        <w:t>denominator,</w:t>
      </w:r>
      <w:r w:rsidRPr="002F587B">
        <w:t xml:space="preserve"> or quality score unless that assay is explicitly part of the endpoint being appraised</w:t>
      </w:r>
      <w:r w:rsidR="004B4571" w:rsidRPr="004B4571">
        <w:t>.</w:t>
      </w:r>
      <w:r w:rsidR="00B92D51">
        <w:t xml:space="preserve"> </w:t>
      </w:r>
      <w:r w:rsidRPr="002F587B">
        <w:t xml:space="preserve">A confirmatory test contributes to the appraisal of an outcome only when the article explicitly demonstrates that the confirmation result is linked to the same virus, </w:t>
      </w:r>
      <w:r w:rsidRPr="002F587B">
        <w:t>endpoint,</w:t>
      </w:r>
      <w:r w:rsidRPr="002F587B">
        <w:t xml:space="preserve"> and eligible participant set. Confirmation performed for a different virus, assay-defined subgroup, participant </w:t>
      </w:r>
      <w:r w:rsidRPr="002F587B">
        <w:t>subset,</w:t>
      </w:r>
      <w:r w:rsidRPr="002F587B">
        <w:t xml:space="preserve"> or endpoint must not be used to improve another outcome</w:t>
      </w:r>
      <w:r>
        <w:t xml:space="preserve">. </w:t>
      </w:r>
    </w:p>
    <w:p w14:paraId="62D34DE9" w14:textId="7466FE6B" w:rsidR="008F53DA" w:rsidRDefault="00780735" w:rsidP="00780735">
      <w:pPr>
        <w:pStyle w:val="Heading2"/>
      </w:pPr>
      <w:r>
        <w:t xml:space="preserve">1.2 </w:t>
      </w:r>
      <w:r w:rsidR="00B937D0" w:rsidRPr="00B937D0">
        <w:t>Operational definitions for implementation</w:t>
      </w:r>
    </w:p>
    <w:tbl>
      <w:tblPr>
        <w:tblStyle w:val="TableGridLight"/>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1"/>
        <w:gridCol w:w="7554"/>
      </w:tblGrid>
      <w:tr w:rsidR="00C35505" w:rsidRPr="00723261" w14:paraId="1968D2C5" w14:textId="77777777" w:rsidTr="002D274B">
        <w:trPr>
          <w:trHeight w:val="187"/>
        </w:trPr>
        <w:tc>
          <w:tcPr>
            <w:tcW w:w="2161" w:type="dxa"/>
            <w:tcBorders>
              <w:top w:val="single" w:sz="12" w:space="0" w:color="auto"/>
              <w:bottom w:val="single" w:sz="12" w:space="0" w:color="auto"/>
            </w:tcBorders>
          </w:tcPr>
          <w:p w14:paraId="71720191" w14:textId="77777777" w:rsidR="00C35505" w:rsidRPr="002D274B" w:rsidRDefault="00C35505" w:rsidP="00667E01">
            <w:pPr>
              <w:spacing w:before="0" w:after="0"/>
              <w:jc w:val="center"/>
              <w:rPr>
                <w:rFonts w:cs="Times New Roman"/>
                <w:color w:val="153D63" w:themeColor="text2" w:themeTint="E6"/>
                <w:szCs w:val="22"/>
              </w:rPr>
            </w:pPr>
            <w:r w:rsidRPr="002D274B">
              <w:rPr>
                <w:rFonts w:cs="Times New Roman"/>
                <w:b/>
                <w:color w:val="153D63" w:themeColor="text2" w:themeTint="E6"/>
                <w:szCs w:val="22"/>
              </w:rPr>
              <w:t>Term</w:t>
            </w:r>
          </w:p>
        </w:tc>
        <w:tc>
          <w:tcPr>
            <w:tcW w:w="7554" w:type="dxa"/>
            <w:tcBorders>
              <w:top w:val="single" w:sz="12" w:space="0" w:color="auto"/>
              <w:bottom w:val="single" w:sz="12" w:space="0" w:color="auto"/>
            </w:tcBorders>
          </w:tcPr>
          <w:p w14:paraId="3DB30F90" w14:textId="77777777" w:rsidR="00C35505" w:rsidRPr="002D274B" w:rsidRDefault="00C35505" w:rsidP="00667E01">
            <w:pPr>
              <w:spacing w:before="0" w:after="0"/>
              <w:jc w:val="center"/>
              <w:rPr>
                <w:rFonts w:cs="Times New Roman"/>
                <w:color w:val="153D63" w:themeColor="text2" w:themeTint="E6"/>
                <w:szCs w:val="22"/>
              </w:rPr>
            </w:pPr>
            <w:r w:rsidRPr="002D274B">
              <w:rPr>
                <w:rFonts w:cs="Times New Roman"/>
                <w:b/>
                <w:color w:val="153D63" w:themeColor="text2" w:themeTint="E6"/>
                <w:szCs w:val="22"/>
              </w:rPr>
              <w:t>Operational definition</w:t>
            </w:r>
          </w:p>
        </w:tc>
      </w:tr>
      <w:tr w:rsidR="00C35505" w:rsidRPr="00723261" w14:paraId="3308F26F" w14:textId="77777777" w:rsidTr="002D274B">
        <w:trPr>
          <w:trHeight w:val="659"/>
        </w:trPr>
        <w:tc>
          <w:tcPr>
            <w:tcW w:w="2161" w:type="dxa"/>
            <w:tcBorders>
              <w:top w:val="single" w:sz="12" w:space="0" w:color="auto"/>
            </w:tcBorders>
            <w:vAlign w:val="center"/>
          </w:tcPr>
          <w:p w14:paraId="656A7FAB" w14:textId="77777777" w:rsidR="00C35505" w:rsidRPr="002D274B" w:rsidRDefault="00C35505" w:rsidP="002F587B">
            <w:pPr>
              <w:spacing w:before="0" w:after="0"/>
              <w:jc w:val="left"/>
              <w:rPr>
                <w:rFonts w:cs="Times New Roman"/>
                <w:sz w:val="20"/>
                <w:szCs w:val="20"/>
              </w:rPr>
            </w:pPr>
            <w:r w:rsidRPr="002D274B">
              <w:rPr>
                <w:rFonts w:cs="Times New Roman"/>
                <w:color w:val="1F1F1F"/>
                <w:sz w:val="20"/>
                <w:szCs w:val="20"/>
              </w:rPr>
              <w:t>Synthesis endpoint</w:t>
            </w:r>
          </w:p>
        </w:tc>
        <w:tc>
          <w:tcPr>
            <w:tcW w:w="7554" w:type="dxa"/>
            <w:tcBorders>
              <w:top w:val="single" w:sz="12" w:space="0" w:color="auto"/>
            </w:tcBorders>
            <w:vAlign w:val="center"/>
          </w:tcPr>
          <w:p w14:paraId="41B0B47D" w14:textId="3630CB82" w:rsidR="00C35505" w:rsidRPr="002D274B" w:rsidRDefault="002F587B" w:rsidP="002F587B">
            <w:pPr>
              <w:spacing w:before="0" w:after="0"/>
              <w:jc w:val="left"/>
              <w:rPr>
                <w:rFonts w:cs="Times New Roman"/>
                <w:sz w:val="20"/>
                <w:szCs w:val="20"/>
              </w:rPr>
            </w:pPr>
            <w:r w:rsidRPr="002D274B">
              <w:rPr>
                <w:rFonts w:cs="Times New Roman"/>
                <w:color w:val="1F1F1F"/>
                <w:sz w:val="20"/>
                <w:szCs w:val="20"/>
              </w:rPr>
              <w:t>The biological outcome entering the evidence synthesis, defined by its numerator (for example, IgG-, IgM</w:t>
            </w:r>
            <w:r w:rsidR="002D274B">
              <w:rPr>
                <w:rFonts w:cs="Times New Roman"/>
                <w:color w:val="1F1F1F"/>
                <w:sz w:val="20"/>
                <w:szCs w:val="20"/>
              </w:rPr>
              <w:t>-</w:t>
            </w:r>
            <w:r w:rsidRPr="002D274B">
              <w:rPr>
                <w:rFonts w:cs="Times New Roman"/>
                <w:color w:val="1F1F1F"/>
                <w:sz w:val="20"/>
                <w:szCs w:val="20"/>
              </w:rPr>
              <w:t>, NS1</w:t>
            </w:r>
            <w:r w:rsidR="002D274B">
              <w:rPr>
                <w:rFonts w:cs="Times New Roman"/>
                <w:color w:val="1F1F1F"/>
                <w:sz w:val="20"/>
                <w:szCs w:val="20"/>
              </w:rPr>
              <w:t>- positivity</w:t>
            </w:r>
            <w:r w:rsidRPr="002D274B">
              <w:rPr>
                <w:rFonts w:cs="Times New Roman"/>
                <w:color w:val="1F1F1F"/>
                <w:sz w:val="20"/>
                <w:szCs w:val="20"/>
              </w:rPr>
              <w:t xml:space="preserve">, direct virus </w:t>
            </w:r>
            <w:r w:rsidR="002D274B" w:rsidRPr="002D274B">
              <w:rPr>
                <w:rFonts w:cs="Times New Roman"/>
                <w:color w:val="1F1F1F"/>
                <w:sz w:val="20"/>
                <w:szCs w:val="20"/>
              </w:rPr>
              <w:t>detection,</w:t>
            </w:r>
            <w:r w:rsidRPr="002D274B">
              <w:rPr>
                <w:rFonts w:cs="Times New Roman"/>
                <w:color w:val="1F1F1F"/>
                <w:sz w:val="20"/>
                <w:szCs w:val="20"/>
              </w:rPr>
              <w:t xml:space="preserve"> or neutralization positivity</w:t>
            </w:r>
            <w:r w:rsidR="002D274B">
              <w:rPr>
                <w:rFonts w:cs="Times New Roman"/>
                <w:color w:val="1F1F1F"/>
                <w:sz w:val="20"/>
                <w:szCs w:val="20"/>
              </w:rPr>
              <w:t>)</w:t>
            </w:r>
            <w:r w:rsidR="00C35505" w:rsidRPr="002D274B">
              <w:rPr>
                <w:rFonts w:cs="Times New Roman"/>
                <w:color w:val="1F1F1F"/>
                <w:sz w:val="20"/>
                <w:szCs w:val="20"/>
              </w:rPr>
              <w:t>.</w:t>
            </w:r>
          </w:p>
        </w:tc>
      </w:tr>
      <w:tr w:rsidR="00C35505" w:rsidRPr="00723261" w14:paraId="1BB3978D" w14:textId="77777777" w:rsidTr="002F587B">
        <w:trPr>
          <w:trHeight w:val="439"/>
        </w:trPr>
        <w:tc>
          <w:tcPr>
            <w:tcW w:w="2161" w:type="dxa"/>
            <w:vAlign w:val="center"/>
          </w:tcPr>
          <w:p w14:paraId="794949B0" w14:textId="77777777" w:rsidR="00C35505" w:rsidRPr="002D274B" w:rsidRDefault="00C35505" w:rsidP="002F587B">
            <w:pPr>
              <w:spacing w:before="0" w:after="0"/>
              <w:jc w:val="left"/>
              <w:rPr>
                <w:rFonts w:cs="Times New Roman"/>
                <w:sz w:val="20"/>
                <w:szCs w:val="20"/>
              </w:rPr>
            </w:pPr>
            <w:r w:rsidRPr="002D274B">
              <w:rPr>
                <w:rFonts w:cs="Times New Roman"/>
                <w:color w:val="1F1F1F"/>
                <w:sz w:val="20"/>
                <w:szCs w:val="20"/>
              </w:rPr>
              <w:t>Primary endpoint-defining assay</w:t>
            </w:r>
          </w:p>
        </w:tc>
        <w:tc>
          <w:tcPr>
            <w:tcW w:w="7554" w:type="dxa"/>
            <w:vAlign w:val="center"/>
          </w:tcPr>
          <w:p w14:paraId="0B9CDC14" w14:textId="786C176F" w:rsidR="00C35505" w:rsidRPr="002D274B" w:rsidRDefault="002F587B" w:rsidP="002F587B">
            <w:pPr>
              <w:spacing w:before="0" w:after="0"/>
              <w:jc w:val="left"/>
              <w:rPr>
                <w:rFonts w:cs="Times New Roman"/>
                <w:sz w:val="20"/>
                <w:szCs w:val="20"/>
              </w:rPr>
            </w:pPr>
            <w:r w:rsidRPr="002D274B">
              <w:rPr>
                <w:rFonts w:cs="Times New Roman"/>
                <w:color w:val="1F1F1F"/>
                <w:sz w:val="20"/>
                <w:szCs w:val="20"/>
              </w:rPr>
              <w:t>For a single-assay endpoint, the assay whose observed positive result directly creates the synthesis numerator. The field is assigned by tracing the observed numerator back to the assay result, not by choosing the most sophisticated assay reported in the article. Q6a and Q6b are anchored to this assay</w:t>
            </w:r>
            <w:r w:rsidRPr="002D274B">
              <w:rPr>
                <w:rFonts w:cs="Times New Roman"/>
                <w:color w:val="1F1F1F"/>
                <w:sz w:val="20"/>
                <w:szCs w:val="20"/>
              </w:rPr>
              <w:t>.</w:t>
            </w:r>
          </w:p>
        </w:tc>
      </w:tr>
      <w:tr w:rsidR="00C35505" w:rsidRPr="00723261" w14:paraId="36AFB1D9" w14:textId="77777777" w:rsidTr="002F587B">
        <w:trPr>
          <w:trHeight w:val="659"/>
        </w:trPr>
        <w:tc>
          <w:tcPr>
            <w:tcW w:w="2161" w:type="dxa"/>
            <w:vAlign w:val="center"/>
          </w:tcPr>
          <w:p w14:paraId="53C9BD1C" w14:textId="77777777" w:rsidR="00C35505" w:rsidRPr="002D274B" w:rsidRDefault="00C35505" w:rsidP="002F587B">
            <w:pPr>
              <w:spacing w:before="0" w:after="0"/>
              <w:jc w:val="left"/>
              <w:rPr>
                <w:rFonts w:cs="Times New Roman"/>
                <w:sz w:val="20"/>
                <w:szCs w:val="20"/>
              </w:rPr>
            </w:pPr>
            <w:r w:rsidRPr="002D274B">
              <w:rPr>
                <w:rFonts w:cs="Times New Roman"/>
                <w:color w:val="1F1F1F"/>
                <w:sz w:val="20"/>
                <w:szCs w:val="20"/>
              </w:rPr>
              <w:t>Primary screening assay</w:t>
            </w:r>
          </w:p>
        </w:tc>
        <w:tc>
          <w:tcPr>
            <w:tcW w:w="7554" w:type="dxa"/>
            <w:vAlign w:val="center"/>
          </w:tcPr>
          <w:p w14:paraId="7D68C08C" w14:textId="28648AF8" w:rsidR="00C35505" w:rsidRPr="002D274B" w:rsidRDefault="002F587B" w:rsidP="002F587B">
            <w:pPr>
              <w:spacing w:before="0" w:after="0"/>
              <w:jc w:val="left"/>
              <w:rPr>
                <w:rFonts w:cs="Times New Roman"/>
                <w:sz w:val="20"/>
                <w:szCs w:val="20"/>
              </w:rPr>
            </w:pPr>
            <w:r w:rsidRPr="002D274B">
              <w:rPr>
                <w:rFonts w:cs="Times New Roman"/>
                <w:color w:val="1F1F1F"/>
                <w:sz w:val="20"/>
                <w:szCs w:val="20"/>
              </w:rPr>
              <w:t>The first assay in an explicit staged diagnostic pathway. It identifies participants who proceed according to a predefined rule, but it does not by itself define the final algorithm-confirmed numerator when a required downstream assay determines final positivity.</w:t>
            </w:r>
          </w:p>
        </w:tc>
      </w:tr>
      <w:tr w:rsidR="00C35505" w:rsidRPr="00723261" w14:paraId="0A45D9FA" w14:textId="77777777" w:rsidTr="002F587B">
        <w:trPr>
          <w:trHeight w:val="206"/>
        </w:trPr>
        <w:tc>
          <w:tcPr>
            <w:tcW w:w="2161" w:type="dxa"/>
            <w:vAlign w:val="center"/>
          </w:tcPr>
          <w:p w14:paraId="0D469665" w14:textId="77777777" w:rsidR="00C35505" w:rsidRPr="002D274B" w:rsidRDefault="00C35505" w:rsidP="002F587B">
            <w:pPr>
              <w:spacing w:before="0" w:after="0"/>
              <w:jc w:val="left"/>
              <w:rPr>
                <w:rFonts w:cs="Times New Roman"/>
                <w:sz w:val="20"/>
                <w:szCs w:val="20"/>
              </w:rPr>
            </w:pPr>
            <w:r w:rsidRPr="002D274B">
              <w:rPr>
                <w:rFonts w:cs="Times New Roman"/>
                <w:color w:val="1F1F1F"/>
                <w:sz w:val="20"/>
                <w:szCs w:val="20"/>
              </w:rPr>
              <w:t>Confirmatory assay</w:t>
            </w:r>
          </w:p>
        </w:tc>
        <w:tc>
          <w:tcPr>
            <w:tcW w:w="7554" w:type="dxa"/>
            <w:vAlign w:val="center"/>
          </w:tcPr>
          <w:p w14:paraId="68045BE2" w14:textId="44875493" w:rsidR="00C35505" w:rsidRPr="002D274B" w:rsidRDefault="002F587B" w:rsidP="002F587B">
            <w:pPr>
              <w:spacing w:before="0" w:after="0"/>
              <w:jc w:val="left"/>
              <w:rPr>
                <w:rFonts w:cs="Times New Roman"/>
                <w:sz w:val="20"/>
                <w:szCs w:val="20"/>
              </w:rPr>
            </w:pPr>
            <w:r w:rsidRPr="002D274B">
              <w:rPr>
                <w:rFonts w:cs="Times New Roman"/>
                <w:color w:val="1F1F1F"/>
                <w:sz w:val="20"/>
                <w:szCs w:val="20"/>
              </w:rPr>
              <w:t>An additional independent assay used to verify or refine a primary result. It may be supporting evidence, an endpoint-defining stage of a predefined algorithm, or the basis of a separate endpoint record. It must never overwrite the primary endpoint merely because it is more specific.</w:t>
            </w:r>
          </w:p>
        </w:tc>
      </w:tr>
      <w:tr w:rsidR="00C35505" w:rsidRPr="00723261" w14:paraId="1750F9D0" w14:textId="77777777" w:rsidTr="002F587B">
        <w:trPr>
          <w:trHeight w:val="446"/>
        </w:trPr>
        <w:tc>
          <w:tcPr>
            <w:tcW w:w="2161" w:type="dxa"/>
            <w:vAlign w:val="center"/>
          </w:tcPr>
          <w:p w14:paraId="34C7FC60" w14:textId="77777777" w:rsidR="00C35505" w:rsidRPr="002D274B" w:rsidRDefault="00C35505" w:rsidP="002F587B">
            <w:pPr>
              <w:spacing w:before="0" w:after="0"/>
              <w:jc w:val="left"/>
              <w:rPr>
                <w:rFonts w:cs="Times New Roman"/>
                <w:sz w:val="20"/>
                <w:szCs w:val="20"/>
              </w:rPr>
            </w:pPr>
            <w:r w:rsidRPr="002D274B">
              <w:rPr>
                <w:rFonts w:cs="Times New Roman"/>
                <w:color w:val="1F1F1F"/>
                <w:sz w:val="20"/>
                <w:szCs w:val="20"/>
              </w:rPr>
              <w:t>Endpoint-defining diagnostic algorithm</w:t>
            </w:r>
          </w:p>
        </w:tc>
        <w:tc>
          <w:tcPr>
            <w:tcW w:w="7554" w:type="dxa"/>
            <w:vAlign w:val="center"/>
          </w:tcPr>
          <w:p w14:paraId="7729BD52" w14:textId="1FEABE56" w:rsidR="00C35505" w:rsidRPr="002D274B" w:rsidRDefault="002F587B" w:rsidP="002F587B">
            <w:pPr>
              <w:spacing w:before="0" w:after="0"/>
              <w:jc w:val="left"/>
              <w:rPr>
                <w:rFonts w:cs="Times New Roman"/>
                <w:sz w:val="20"/>
                <w:szCs w:val="20"/>
              </w:rPr>
            </w:pPr>
            <w:r w:rsidRPr="002D274B">
              <w:rPr>
                <w:rFonts w:cs="Times New Roman"/>
                <w:color w:val="1F1F1F"/>
                <w:sz w:val="20"/>
                <w:szCs w:val="20"/>
              </w:rPr>
              <w:t>A predefined multi-step rule in which final positivity requires completion of specified screening and confirmatory stages. The final numerator contains only participants satisfying the complete rule, and the denominator must match the population entering the algorithm or the valid verification subset, as applicable.</w:t>
            </w:r>
          </w:p>
        </w:tc>
      </w:tr>
      <w:tr w:rsidR="00C35505" w:rsidRPr="00723261" w14:paraId="409FC0CB" w14:textId="77777777" w:rsidTr="002F587B">
        <w:trPr>
          <w:trHeight w:val="659"/>
        </w:trPr>
        <w:tc>
          <w:tcPr>
            <w:tcW w:w="2161" w:type="dxa"/>
            <w:vAlign w:val="center"/>
          </w:tcPr>
          <w:p w14:paraId="188C6054" w14:textId="77777777" w:rsidR="00C35505" w:rsidRPr="002D274B" w:rsidRDefault="00C35505" w:rsidP="002F587B">
            <w:pPr>
              <w:spacing w:before="0" w:after="0"/>
              <w:jc w:val="left"/>
              <w:rPr>
                <w:rFonts w:cs="Times New Roman"/>
                <w:sz w:val="20"/>
                <w:szCs w:val="20"/>
              </w:rPr>
            </w:pPr>
            <w:r w:rsidRPr="002D274B">
              <w:rPr>
                <w:rFonts w:cs="Times New Roman"/>
                <w:color w:val="1F1F1F"/>
                <w:sz w:val="20"/>
                <w:szCs w:val="20"/>
              </w:rPr>
              <w:t>Endpoint denominator</w:t>
            </w:r>
          </w:p>
        </w:tc>
        <w:tc>
          <w:tcPr>
            <w:tcW w:w="7554" w:type="dxa"/>
            <w:vAlign w:val="center"/>
          </w:tcPr>
          <w:p w14:paraId="5C584018" w14:textId="0B8F9774" w:rsidR="00C35505" w:rsidRPr="002D274B" w:rsidRDefault="002F587B" w:rsidP="002F587B">
            <w:pPr>
              <w:spacing w:before="0" w:after="0"/>
              <w:jc w:val="left"/>
              <w:rPr>
                <w:rFonts w:cs="Times New Roman"/>
                <w:sz w:val="20"/>
                <w:szCs w:val="20"/>
              </w:rPr>
            </w:pPr>
            <w:r w:rsidRPr="002D274B">
              <w:rPr>
                <w:rFonts w:cs="Times New Roman"/>
                <w:color w:val="1F1F1F"/>
                <w:sz w:val="20"/>
                <w:szCs w:val="20"/>
              </w:rPr>
              <w:t>The observed participants eligible for and actually classified by the endpoint-defining assay or algorithm. It must correspond to the same virus, endpoint, time period and measurement pathway as the numerator.</w:t>
            </w:r>
            <w:r w:rsidRPr="002D274B">
              <w:rPr>
                <w:rFonts w:cs="Times New Roman"/>
                <w:color w:val="1F1F1F"/>
                <w:sz w:val="20"/>
                <w:szCs w:val="20"/>
              </w:rPr>
              <w:t xml:space="preserve"> </w:t>
            </w:r>
          </w:p>
        </w:tc>
      </w:tr>
      <w:tr w:rsidR="002F587B" w:rsidRPr="00723261" w14:paraId="2C84D3C1" w14:textId="77777777" w:rsidTr="002F587B">
        <w:trPr>
          <w:trHeight w:val="659"/>
        </w:trPr>
        <w:tc>
          <w:tcPr>
            <w:tcW w:w="2161" w:type="dxa"/>
            <w:vAlign w:val="center"/>
          </w:tcPr>
          <w:p w14:paraId="5CADF489" w14:textId="02C68EA2" w:rsidR="002F587B" w:rsidRPr="002D274B" w:rsidRDefault="002F587B" w:rsidP="002F587B">
            <w:pPr>
              <w:spacing w:before="0" w:after="0"/>
              <w:jc w:val="left"/>
              <w:rPr>
                <w:rFonts w:cs="Times New Roman"/>
                <w:color w:val="1F1F1F"/>
                <w:sz w:val="20"/>
                <w:szCs w:val="20"/>
              </w:rPr>
            </w:pPr>
            <w:r w:rsidRPr="002D274B">
              <w:rPr>
                <w:rFonts w:cs="Times New Roman"/>
                <w:color w:val="1F1F1F"/>
                <w:sz w:val="20"/>
                <w:szCs w:val="20"/>
              </w:rPr>
              <w:t>Confirmation role</w:t>
            </w:r>
          </w:p>
        </w:tc>
        <w:tc>
          <w:tcPr>
            <w:tcW w:w="7554" w:type="dxa"/>
            <w:vAlign w:val="center"/>
          </w:tcPr>
          <w:p w14:paraId="188B212F" w14:textId="25B43B05" w:rsidR="002F587B" w:rsidRPr="002D274B" w:rsidRDefault="002F587B" w:rsidP="002F587B">
            <w:pPr>
              <w:spacing w:before="0" w:after="0"/>
              <w:jc w:val="left"/>
              <w:rPr>
                <w:rFonts w:cs="Times New Roman"/>
                <w:color w:val="1F1F1F"/>
                <w:sz w:val="20"/>
                <w:szCs w:val="20"/>
              </w:rPr>
            </w:pPr>
            <w:r w:rsidRPr="002D274B">
              <w:rPr>
                <w:rFonts w:cs="Times New Roman"/>
                <w:b/>
                <w:bCs/>
                <w:color w:val="1F1F1F"/>
                <w:sz w:val="20"/>
                <w:szCs w:val="20"/>
              </w:rPr>
              <w:t>Controlled app variable</w:t>
            </w:r>
            <w:r w:rsidRPr="002D274B">
              <w:rPr>
                <w:rFonts w:cs="Times New Roman"/>
                <w:color w:val="1F1F1F"/>
                <w:sz w:val="20"/>
                <w:szCs w:val="20"/>
              </w:rPr>
              <w:t>: none; supporting confirmation; endpoint-defining stage of a staged algorithm; separate endpoint; or unresolved. The role is determined by whether the confirmation result changes the numerator for the current endpoint.</w:t>
            </w:r>
            <w:r w:rsidRPr="002D274B">
              <w:rPr>
                <w:rFonts w:cs="Times New Roman"/>
                <w:color w:val="1F1F1F"/>
                <w:sz w:val="20"/>
                <w:szCs w:val="20"/>
              </w:rPr>
              <w:t xml:space="preserve"> </w:t>
            </w:r>
          </w:p>
        </w:tc>
      </w:tr>
      <w:tr w:rsidR="002F587B" w:rsidRPr="00723261" w14:paraId="2DD58D52" w14:textId="77777777" w:rsidTr="002D274B">
        <w:trPr>
          <w:trHeight w:val="659"/>
        </w:trPr>
        <w:tc>
          <w:tcPr>
            <w:tcW w:w="2161" w:type="dxa"/>
            <w:tcBorders>
              <w:bottom w:val="single" w:sz="12" w:space="0" w:color="auto"/>
            </w:tcBorders>
            <w:vAlign w:val="center"/>
          </w:tcPr>
          <w:p w14:paraId="41CB3ED9" w14:textId="092711C2" w:rsidR="002F587B" w:rsidRPr="002D274B" w:rsidRDefault="002F587B" w:rsidP="002F587B">
            <w:pPr>
              <w:spacing w:before="0" w:after="0"/>
              <w:jc w:val="left"/>
              <w:rPr>
                <w:rFonts w:cs="Times New Roman"/>
                <w:color w:val="1F1F1F"/>
                <w:sz w:val="20"/>
                <w:szCs w:val="20"/>
              </w:rPr>
            </w:pPr>
            <w:r w:rsidRPr="002D274B">
              <w:rPr>
                <w:rFonts w:cs="Times New Roman"/>
                <w:color w:val="1F1F1F"/>
                <w:sz w:val="20"/>
                <w:szCs w:val="20"/>
              </w:rPr>
              <w:t>Confirmation coverage status</w:t>
            </w:r>
          </w:p>
        </w:tc>
        <w:tc>
          <w:tcPr>
            <w:tcW w:w="7554" w:type="dxa"/>
            <w:tcBorders>
              <w:bottom w:val="single" w:sz="12" w:space="0" w:color="auto"/>
            </w:tcBorders>
            <w:vAlign w:val="center"/>
          </w:tcPr>
          <w:p w14:paraId="2D36E400" w14:textId="1B2D5200" w:rsidR="002F587B" w:rsidRPr="002D274B" w:rsidRDefault="002F587B" w:rsidP="002F587B">
            <w:pPr>
              <w:spacing w:before="0" w:after="0"/>
              <w:jc w:val="left"/>
              <w:rPr>
                <w:rFonts w:cs="Times New Roman"/>
                <w:color w:val="1F1F1F"/>
                <w:sz w:val="20"/>
                <w:szCs w:val="20"/>
              </w:rPr>
            </w:pPr>
            <w:r w:rsidRPr="002D274B">
              <w:rPr>
                <w:rFonts w:cs="Times New Roman"/>
                <w:b/>
                <w:bCs/>
                <w:color w:val="1F1F1F"/>
                <w:sz w:val="20"/>
                <w:szCs w:val="20"/>
              </w:rPr>
              <w:t>Controlled app variable</w:t>
            </w:r>
            <w:r w:rsidRPr="002D274B">
              <w:rPr>
                <w:rFonts w:cs="Times New Roman"/>
                <w:color w:val="1F1F1F"/>
                <w:sz w:val="20"/>
                <w:szCs w:val="20"/>
              </w:rPr>
              <w:t xml:space="preserve"> </w:t>
            </w:r>
            <w:r w:rsidRPr="00210558">
              <w:rPr>
                <w:rFonts w:cs="Times New Roman"/>
                <w:b/>
                <w:bCs/>
                <w:color w:val="1F1F1F"/>
                <w:sz w:val="20"/>
                <w:szCs w:val="20"/>
              </w:rPr>
              <w:t>describing who received confirmation</w:t>
            </w:r>
            <w:r w:rsidRPr="002D274B">
              <w:rPr>
                <w:rFonts w:cs="Times New Roman"/>
                <w:color w:val="1F1F1F"/>
                <w:sz w:val="20"/>
                <w:szCs w:val="20"/>
              </w:rPr>
              <w:t>: complete required confirmation; predefined representative/random subset; selected/mixed subset; or unresolved. For direct-detection and neutralization endpoints, these map to Tiers B-E; Tier A is reserved for the primary endpoint-defining direct/neutralization assay itself.</w:t>
            </w:r>
            <w:r w:rsidRPr="002D274B">
              <w:rPr>
                <w:rFonts w:cs="Times New Roman"/>
                <w:color w:val="1F1F1F"/>
                <w:sz w:val="20"/>
                <w:szCs w:val="20"/>
              </w:rPr>
              <w:t xml:space="preserve"> </w:t>
            </w:r>
          </w:p>
        </w:tc>
      </w:tr>
    </w:tbl>
    <w:p w14:paraId="474F6B80" w14:textId="3FF187D4" w:rsidR="00613061" w:rsidRPr="00210558" w:rsidRDefault="002F587B" w:rsidP="00210558">
      <w:pPr>
        <w:spacing w:line="278" w:lineRule="auto"/>
        <w:rPr>
          <w:noProof/>
        </w:rPr>
      </w:pPr>
      <w:r>
        <w:rPr>
          <w:noProof/>
        </w:rPr>
        <w:lastRenderedPageBreak/>
        <w:drawing>
          <wp:inline distT="0" distB="0" distL="0" distR="0" wp14:anchorId="1D1101AB" wp14:editId="2810F88C">
            <wp:extent cx="5732730" cy="3539905"/>
            <wp:effectExtent l="19050" t="19050" r="20955" b="22860"/>
            <wp:docPr id="153689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45227" cy="3547622"/>
                    </a:xfrm>
                    <a:prstGeom prst="rect">
                      <a:avLst/>
                    </a:prstGeom>
                    <a:noFill/>
                    <a:ln>
                      <a:solidFill>
                        <a:schemeClr val="bg1">
                          <a:lumMod val="65000"/>
                        </a:schemeClr>
                      </a:solidFill>
                    </a:ln>
                  </pic:spPr>
                </pic:pic>
              </a:graphicData>
            </a:graphic>
          </wp:inline>
        </w:drawing>
      </w:r>
      <w:r w:rsidR="006906EC" w:rsidRPr="006906EC">
        <w:rPr>
          <w:b/>
          <w:bCs/>
        </w:rPr>
        <w:t xml:space="preserve">Figure 1. </w:t>
      </w:r>
      <w:r w:rsidR="00FA648A" w:rsidRPr="00FA648A">
        <w:rPr>
          <w:b/>
          <w:bCs/>
        </w:rPr>
        <w:t xml:space="preserve">DARE-Arbo endpoint-first implementation workflow. </w:t>
      </w:r>
      <w:r w:rsidR="00FA648A" w:rsidRPr="00FA648A">
        <w:rPr>
          <w:i/>
          <w:iCs/>
        </w:rPr>
        <w:t>The appraisal begins with the synthesis numerator and its endpoint-defining assay or algorithm, then classifies the tested population and any confirmation pathway before endpoint-specific scoring</w:t>
      </w:r>
      <w:r w:rsidR="00FA648A">
        <w:rPr>
          <w:b/>
          <w:bCs/>
        </w:rPr>
        <w:t xml:space="preserve"> </w:t>
      </w:r>
    </w:p>
    <w:p w14:paraId="64FAE78B" w14:textId="6A47BBAF" w:rsidR="00670529" w:rsidRPr="00670529" w:rsidRDefault="00670529" w:rsidP="00A807C6">
      <w:pPr>
        <w:pStyle w:val="Heading1"/>
        <w:numPr>
          <w:ilvl w:val="0"/>
          <w:numId w:val="3"/>
        </w:numPr>
      </w:pPr>
      <w:r w:rsidRPr="00670529">
        <w:t>Identifying the synthesis endpoint</w:t>
      </w:r>
    </w:p>
    <w:p w14:paraId="0891AE8C" w14:textId="7AAD8703" w:rsidR="00670529" w:rsidRPr="00670529" w:rsidRDefault="00210558" w:rsidP="00670529">
      <w:pPr>
        <w:spacing w:line="278" w:lineRule="auto"/>
      </w:pPr>
      <w:r w:rsidRPr="00210558">
        <w:t xml:space="preserve">The endpoint is determined by the biological marker contributing the numerator, not by the study title, authors' terminology, clinical </w:t>
      </w:r>
      <w:r w:rsidRPr="00210558">
        <w:t>presentation,</w:t>
      </w:r>
      <w:r w:rsidRPr="00210558">
        <w:t xml:space="preserve"> or the presence of a more specific assay elsewhere in the article</w:t>
      </w:r>
      <w:r w:rsidR="00670529" w:rsidRPr="00670529">
        <w:t>.</w:t>
      </w:r>
    </w:p>
    <w:tbl>
      <w:tblPr>
        <w:tblStyle w:val="TableGrid"/>
        <w:tblW w:w="9209" w:type="dxa"/>
        <w:tblInd w:w="-147" w:type="dxa"/>
        <w:tblBorders>
          <w:top w:val="single" w:sz="12" w:space="0" w:color="auto"/>
          <w:bottom w:val="single" w:sz="12" w:space="0" w:color="auto"/>
        </w:tblBorders>
        <w:tblLook w:val="04A0" w:firstRow="1" w:lastRow="0" w:firstColumn="1" w:lastColumn="0" w:noHBand="0" w:noVBand="1"/>
      </w:tblPr>
      <w:tblGrid>
        <w:gridCol w:w="1581"/>
        <w:gridCol w:w="2900"/>
        <w:gridCol w:w="2660"/>
        <w:gridCol w:w="2068"/>
      </w:tblGrid>
      <w:tr w:rsidR="00670529" w:rsidRPr="00E87C43" w14:paraId="43244E6D" w14:textId="77777777" w:rsidTr="00210558">
        <w:trPr>
          <w:trHeight w:val="403"/>
        </w:trPr>
        <w:tc>
          <w:tcPr>
            <w:tcW w:w="1581" w:type="dxa"/>
            <w:tcBorders>
              <w:top w:val="single" w:sz="12" w:space="0" w:color="auto"/>
              <w:bottom w:val="single" w:sz="12" w:space="0" w:color="auto"/>
            </w:tcBorders>
            <w:hideMark/>
          </w:tcPr>
          <w:p w14:paraId="57E1DC51" w14:textId="77777777" w:rsidR="00670529" w:rsidRPr="00667E01" w:rsidRDefault="00670529" w:rsidP="002E4EA9">
            <w:pPr>
              <w:spacing w:before="0" w:after="0"/>
              <w:jc w:val="left"/>
              <w:rPr>
                <w:rFonts w:cs="Times New Roman"/>
                <w:b/>
                <w:bCs/>
                <w:color w:val="153D63" w:themeColor="text2" w:themeTint="E6"/>
                <w:szCs w:val="22"/>
              </w:rPr>
            </w:pPr>
            <w:r w:rsidRPr="00667E01">
              <w:rPr>
                <w:rFonts w:cs="Times New Roman"/>
                <w:b/>
                <w:bCs/>
                <w:color w:val="153D63" w:themeColor="text2" w:themeTint="E6"/>
                <w:szCs w:val="22"/>
              </w:rPr>
              <w:t>Synthesis endpoint</w:t>
            </w:r>
          </w:p>
        </w:tc>
        <w:tc>
          <w:tcPr>
            <w:tcW w:w="2900" w:type="dxa"/>
            <w:tcBorders>
              <w:top w:val="single" w:sz="12" w:space="0" w:color="auto"/>
              <w:bottom w:val="single" w:sz="12" w:space="0" w:color="auto"/>
            </w:tcBorders>
            <w:hideMark/>
          </w:tcPr>
          <w:p w14:paraId="0ECDF6C1" w14:textId="77777777" w:rsidR="00670529" w:rsidRPr="00667E01" w:rsidRDefault="00670529" w:rsidP="002E4EA9">
            <w:pPr>
              <w:spacing w:before="0" w:after="0"/>
              <w:jc w:val="left"/>
              <w:rPr>
                <w:rFonts w:cs="Times New Roman"/>
                <w:b/>
                <w:bCs/>
                <w:color w:val="153D63" w:themeColor="text2" w:themeTint="E6"/>
                <w:szCs w:val="22"/>
              </w:rPr>
            </w:pPr>
            <w:r w:rsidRPr="00667E01">
              <w:rPr>
                <w:rFonts w:cs="Times New Roman"/>
                <w:b/>
                <w:bCs/>
                <w:color w:val="153D63" w:themeColor="text2" w:themeTint="E6"/>
                <w:szCs w:val="22"/>
              </w:rPr>
              <w:t>Operational definition</w:t>
            </w:r>
          </w:p>
        </w:tc>
        <w:tc>
          <w:tcPr>
            <w:tcW w:w="2660" w:type="dxa"/>
            <w:tcBorders>
              <w:top w:val="single" w:sz="12" w:space="0" w:color="auto"/>
              <w:bottom w:val="single" w:sz="12" w:space="0" w:color="auto"/>
            </w:tcBorders>
            <w:hideMark/>
          </w:tcPr>
          <w:p w14:paraId="0E80101A" w14:textId="77777777" w:rsidR="00670529" w:rsidRPr="00667E01" w:rsidRDefault="00670529" w:rsidP="002E4EA9">
            <w:pPr>
              <w:spacing w:before="0" w:after="0"/>
              <w:jc w:val="left"/>
              <w:rPr>
                <w:rFonts w:cs="Times New Roman"/>
                <w:b/>
                <w:bCs/>
                <w:color w:val="153D63" w:themeColor="text2" w:themeTint="E6"/>
                <w:szCs w:val="22"/>
              </w:rPr>
            </w:pPr>
            <w:r w:rsidRPr="00667E01">
              <w:rPr>
                <w:rFonts w:cs="Times New Roman"/>
                <w:b/>
                <w:bCs/>
                <w:color w:val="153D63" w:themeColor="text2" w:themeTint="E6"/>
                <w:szCs w:val="22"/>
              </w:rPr>
              <w:t>Include as this endpoint when</w:t>
            </w:r>
          </w:p>
        </w:tc>
        <w:tc>
          <w:tcPr>
            <w:tcW w:w="2068" w:type="dxa"/>
            <w:tcBorders>
              <w:top w:val="single" w:sz="12" w:space="0" w:color="auto"/>
              <w:bottom w:val="single" w:sz="12" w:space="0" w:color="auto"/>
            </w:tcBorders>
            <w:hideMark/>
          </w:tcPr>
          <w:p w14:paraId="61F65B95" w14:textId="77777777" w:rsidR="00670529" w:rsidRPr="00667E01" w:rsidRDefault="00670529" w:rsidP="002E4EA9">
            <w:pPr>
              <w:spacing w:before="0" w:after="0"/>
              <w:jc w:val="left"/>
              <w:rPr>
                <w:rFonts w:cs="Times New Roman"/>
                <w:b/>
                <w:bCs/>
                <w:color w:val="153D63" w:themeColor="text2" w:themeTint="E6"/>
                <w:szCs w:val="22"/>
              </w:rPr>
            </w:pPr>
            <w:r w:rsidRPr="00667E01">
              <w:rPr>
                <w:rFonts w:cs="Times New Roman"/>
                <w:b/>
                <w:bCs/>
                <w:color w:val="153D63" w:themeColor="text2" w:themeTint="E6"/>
                <w:szCs w:val="22"/>
              </w:rPr>
              <w:t>Do not classify as</w:t>
            </w:r>
          </w:p>
        </w:tc>
      </w:tr>
      <w:tr w:rsidR="00E87C43" w:rsidRPr="00E87C43" w14:paraId="70517743" w14:textId="77777777" w:rsidTr="00210558">
        <w:trPr>
          <w:trHeight w:val="1232"/>
        </w:trPr>
        <w:tc>
          <w:tcPr>
            <w:tcW w:w="1581" w:type="dxa"/>
            <w:tcBorders>
              <w:top w:val="single" w:sz="12" w:space="0" w:color="auto"/>
            </w:tcBorders>
            <w:shd w:val="clear" w:color="auto" w:fill="F2F2F2" w:themeFill="background1" w:themeFillShade="F2"/>
            <w:hideMark/>
          </w:tcPr>
          <w:p w14:paraId="62E189A1" w14:textId="78AF4959" w:rsidR="00E87C43" w:rsidRPr="00E87C43" w:rsidRDefault="00E87C43" w:rsidP="00E87C43">
            <w:pPr>
              <w:spacing w:before="0" w:after="0"/>
              <w:jc w:val="left"/>
              <w:rPr>
                <w:rFonts w:cs="Times New Roman"/>
                <w:szCs w:val="22"/>
              </w:rPr>
            </w:pPr>
            <w:r w:rsidRPr="00E87C43">
              <w:rPr>
                <w:rFonts w:cs="Times New Roman"/>
                <w:color w:val="1F1F1F"/>
                <w:szCs w:val="22"/>
              </w:rPr>
              <w:t>Prior exposure / total antibody seroprevalence</w:t>
            </w:r>
          </w:p>
        </w:tc>
        <w:tc>
          <w:tcPr>
            <w:tcW w:w="2900" w:type="dxa"/>
            <w:tcBorders>
              <w:top w:val="single" w:sz="12" w:space="0" w:color="auto"/>
            </w:tcBorders>
            <w:shd w:val="clear" w:color="auto" w:fill="F2F2F2" w:themeFill="background1" w:themeFillShade="F2"/>
            <w:hideMark/>
          </w:tcPr>
          <w:p w14:paraId="0169E41F" w14:textId="6B03DB7D" w:rsidR="00E87C43" w:rsidRPr="00E87C43" w:rsidRDefault="00E87C43" w:rsidP="00E87C43">
            <w:pPr>
              <w:spacing w:before="0" w:after="0"/>
              <w:jc w:val="left"/>
              <w:rPr>
                <w:rFonts w:cs="Times New Roman"/>
                <w:szCs w:val="22"/>
              </w:rPr>
            </w:pPr>
            <w:r w:rsidRPr="00E87C43">
              <w:rPr>
                <w:rFonts w:cs="Times New Roman"/>
                <w:color w:val="1F1F1F"/>
                <w:szCs w:val="22"/>
              </w:rPr>
              <w:t>Evidence of cumulative or previous arbovirus exposure based principally on IgG, total antibody, or another primary non-acute antibody assay.</w:t>
            </w:r>
          </w:p>
        </w:tc>
        <w:tc>
          <w:tcPr>
            <w:tcW w:w="2660" w:type="dxa"/>
            <w:tcBorders>
              <w:top w:val="single" w:sz="12" w:space="0" w:color="auto"/>
            </w:tcBorders>
            <w:shd w:val="clear" w:color="auto" w:fill="F2F2F2" w:themeFill="background1" w:themeFillShade="F2"/>
            <w:hideMark/>
          </w:tcPr>
          <w:p w14:paraId="56612BB0" w14:textId="764458B8" w:rsidR="00E87C43" w:rsidRPr="00E87C43" w:rsidRDefault="00E87C43" w:rsidP="00E87C43">
            <w:pPr>
              <w:spacing w:before="0" w:after="0"/>
              <w:jc w:val="left"/>
              <w:rPr>
                <w:rFonts w:cs="Times New Roman"/>
                <w:szCs w:val="22"/>
              </w:rPr>
            </w:pPr>
            <w:r w:rsidRPr="00E87C43">
              <w:rPr>
                <w:rFonts w:cs="Times New Roman"/>
                <w:color w:val="1F1F1F"/>
                <w:szCs w:val="22"/>
              </w:rPr>
              <w:t>A distinct IgG-positive, total-antibody-positive, or equivalent primary serologic numerator is reported for a defined tested population.</w:t>
            </w:r>
          </w:p>
        </w:tc>
        <w:tc>
          <w:tcPr>
            <w:tcW w:w="2068" w:type="dxa"/>
            <w:tcBorders>
              <w:top w:val="single" w:sz="12" w:space="0" w:color="auto"/>
            </w:tcBorders>
            <w:shd w:val="clear" w:color="auto" w:fill="F2F2F2" w:themeFill="background1" w:themeFillShade="F2"/>
            <w:hideMark/>
          </w:tcPr>
          <w:p w14:paraId="68D5E224" w14:textId="30476370" w:rsidR="00E87C43" w:rsidRPr="00E87C43" w:rsidRDefault="00E87C43" w:rsidP="00E87C43">
            <w:pPr>
              <w:spacing w:before="0" w:after="0"/>
              <w:jc w:val="left"/>
              <w:rPr>
                <w:rFonts w:cs="Times New Roman"/>
                <w:szCs w:val="22"/>
              </w:rPr>
            </w:pPr>
            <w:r w:rsidRPr="00E87C43">
              <w:rPr>
                <w:rFonts w:cs="Times New Roman"/>
                <w:color w:val="1F1F1F"/>
                <w:szCs w:val="22"/>
              </w:rPr>
              <w:t>IgM-only recent infection; neutralizing-antibody prevalence; direct-detection active infection.</w:t>
            </w:r>
          </w:p>
        </w:tc>
      </w:tr>
      <w:tr w:rsidR="00E87C43" w:rsidRPr="00E87C43" w14:paraId="3FEDEB0B" w14:textId="77777777" w:rsidTr="00210558">
        <w:trPr>
          <w:trHeight w:val="453"/>
        </w:trPr>
        <w:tc>
          <w:tcPr>
            <w:tcW w:w="1581" w:type="dxa"/>
            <w:hideMark/>
          </w:tcPr>
          <w:p w14:paraId="00592CAC" w14:textId="54A17B60" w:rsidR="00E87C43" w:rsidRPr="00E87C43" w:rsidRDefault="00E87C43" w:rsidP="00E87C43">
            <w:pPr>
              <w:spacing w:before="0" w:after="0"/>
              <w:jc w:val="left"/>
              <w:rPr>
                <w:rFonts w:cs="Times New Roman"/>
                <w:szCs w:val="22"/>
              </w:rPr>
            </w:pPr>
            <w:r w:rsidRPr="00E87C43">
              <w:rPr>
                <w:rFonts w:cs="Times New Roman"/>
                <w:color w:val="1F1F1F"/>
                <w:szCs w:val="22"/>
              </w:rPr>
              <w:t>Presumptive recent infection - IgM</w:t>
            </w:r>
          </w:p>
        </w:tc>
        <w:tc>
          <w:tcPr>
            <w:tcW w:w="2900" w:type="dxa"/>
            <w:hideMark/>
          </w:tcPr>
          <w:p w14:paraId="7813622D" w14:textId="72B80D2B" w:rsidR="00E87C43" w:rsidRPr="00E87C43" w:rsidRDefault="00E87C43" w:rsidP="00E87C43">
            <w:pPr>
              <w:spacing w:before="0" w:after="0"/>
              <w:jc w:val="left"/>
              <w:rPr>
                <w:rFonts w:cs="Times New Roman"/>
                <w:szCs w:val="22"/>
              </w:rPr>
            </w:pPr>
            <w:r w:rsidRPr="00E87C43">
              <w:rPr>
                <w:rFonts w:cs="Times New Roman"/>
                <w:color w:val="1F1F1F"/>
                <w:szCs w:val="22"/>
              </w:rPr>
              <w:t>Arbovirus-specific IgM positivity.</w:t>
            </w:r>
          </w:p>
        </w:tc>
        <w:tc>
          <w:tcPr>
            <w:tcW w:w="2660" w:type="dxa"/>
            <w:hideMark/>
          </w:tcPr>
          <w:p w14:paraId="1AAA522F" w14:textId="7BE40966" w:rsidR="00E87C43" w:rsidRPr="00E87C43" w:rsidRDefault="00E87C43" w:rsidP="00E87C43">
            <w:pPr>
              <w:spacing w:before="0" w:after="0"/>
              <w:jc w:val="left"/>
              <w:rPr>
                <w:rFonts w:cs="Times New Roman"/>
                <w:szCs w:val="22"/>
              </w:rPr>
            </w:pPr>
            <w:r w:rsidRPr="00E87C43">
              <w:rPr>
                <w:rFonts w:cs="Times New Roman"/>
                <w:color w:val="1F1F1F"/>
                <w:szCs w:val="22"/>
              </w:rPr>
              <w:t>A distinct observed IgM-positive numerator and IgM-tested denominator are available.</w:t>
            </w:r>
          </w:p>
        </w:tc>
        <w:tc>
          <w:tcPr>
            <w:tcW w:w="2068" w:type="dxa"/>
            <w:hideMark/>
          </w:tcPr>
          <w:p w14:paraId="131FA447" w14:textId="7C7387DC" w:rsidR="00E87C43" w:rsidRPr="00E87C43" w:rsidRDefault="00E87C43" w:rsidP="00E87C43">
            <w:pPr>
              <w:spacing w:before="0" w:after="0"/>
              <w:jc w:val="left"/>
              <w:rPr>
                <w:rFonts w:cs="Times New Roman"/>
                <w:szCs w:val="22"/>
              </w:rPr>
            </w:pPr>
            <w:r w:rsidRPr="00E87C43">
              <w:rPr>
                <w:rFonts w:cs="Times New Roman"/>
                <w:color w:val="1F1F1F"/>
                <w:szCs w:val="22"/>
              </w:rPr>
              <w:t>Confirmed active infection, even if authors call IgM positivity “acute infection”.</w:t>
            </w:r>
          </w:p>
        </w:tc>
      </w:tr>
      <w:tr w:rsidR="00E87C43" w:rsidRPr="00E87C43" w14:paraId="5A18A72A" w14:textId="77777777" w:rsidTr="00210558">
        <w:trPr>
          <w:trHeight w:val="804"/>
        </w:trPr>
        <w:tc>
          <w:tcPr>
            <w:tcW w:w="1581" w:type="dxa"/>
            <w:shd w:val="clear" w:color="auto" w:fill="F2F2F2" w:themeFill="background1" w:themeFillShade="F2"/>
            <w:hideMark/>
          </w:tcPr>
          <w:p w14:paraId="255EE821" w14:textId="06064A9F" w:rsidR="00E87C43" w:rsidRPr="00E87C43" w:rsidRDefault="00E87C43" w:rsidP="00E87C43">
            <w:pPr>
              <w:spacing w:before="0" w:after="0"/>
              <w:jc w:val="left"/>
              <w:rPr>
                <w:rFonts w:cs="Times New Roman"/>
                <w:szCs w:val="22"/>
              </w:rPr>
            </w:pPr>
            <w:r w:rsidRPr="00E87C43">
              <w:rPr>
                <w:rFonts w:cs="Times New Roman"/>
                <w:color w:val="1F1F1F"/>
                <w:szCs w:val="22"/>
              </w:rPr>
              <w:t>Presumptive active infection - NS1 antigen</w:t>
            </w:r>
          </w:p>
        </w:tc>
        <w:tc>
          <w:tcPr>
            <w:tcW w:w="2900" w:type="dxa"/>
            <w:shd w:val="clear" w:color="auto" w:fill="F2F2F2" w:themeFill="background1" w:themeFillShade="F2"/>
            <w:hideMark/>
          </w:tcPr>
          <w:p w14:paraId="44FBF961" w14:textId="76F1B21C" w:rsidR="00E87C43" w:rsidRPr="00E87C43" w:rsidRDefault="00E87C43" w:rsidP="00E87C43">
            <w:pPr>
              <w:spacing w:before="0" w:after="0"/>
              <w:jc w:val="left"/>
              <w:rPr>
                <w:rFonts w:cs="Times New Roman"/>
                <w:szCs w:val="22"/>
              </w:rPr>
            </w:pPr>
            <w:r w:rsidRPr="00E87C43">
              <w:rPr>
                <w:rFonts w:cs="Times New Roman"/>
                <w:color w:val="1F1F1F"/>
                <w:szCs w:val="22"/>
              </w:rPr>
              <w:t>Detection of DENV NS1 antigen.</w:t>
            </w:r>
          </w:p>
        </w:tc>
        <w:tc>
          <w:tcPr>
            <w:tcW w:w="2660" w:type="dxa"/>
            <w:shd w:val="clear" w:color="auto" w:fill="F2F2F2" w:themeFill="background1" w:themeFillShade="F2"/>
            <w:hideMark/>
          </w:tcPr>
          <w:p w14:paraId="119ACB58" w14:textId="1C128D5F" w:rsidR="00E87C43" w:rsidRPr="00E87C43" w:rsidRDefault="00E87C43" w:rsidP="00E87C43">
            <w:pPr>
              <w:spacing w:before="0" w:after="0"/>
              <w:jc w:val="left"/>
              <w:rPr>
                <w:rFonts w:cs="Times New Roman"/>
                <w:szCs w:val="22"/>
              </w:rPr>
            </w:pPr>
            <w:r w:rsidRPr="00E87C43">
              <w:rPr>
                <w:rFonts w:cs="Times New Roman"/>
                <w:color w:val="1F1F1F"/>
                <w:szCs w:val="22"/>
              </w:rPr>
              <w:t>A distinct NS1-positive numerator and NS1-tested denominator are reported.</w:t>
            </w:r>
          </w:p>
        </w:tc>
        <w:tc>
          <w:tcPr>
            <w:tcW w:w="2068" w:type="dxa"/>
            <w:shd w:val="clear" w:color="auto" w:fill="F2F2F2" w:themeFill="background1" w:themeFillShade="F2"/>
            <w:hideMark/>
          </w:tcPr>
          <w:p w14:paraId="7A779EEB" w14:textId="65108D35" w:rsidR="00E87C43" w:rsidRPr="00E87C43" w:rsidRDefault="00E87C43" w:rsidP="00E87C43">
            <w:pPr>
              <w:spacing w:before="0" w:after="0"/>
              <w:jc w:val="left"/>
              <w:rPr>
                <w:rFonts w:cs="Times New Roman"/>
                <w:szCs w:val="22"/>
              </w:rPr>
            </w:pPr>
            <w:r w:rsidRPr="00E87C43">
              <w:rPr>
                <w:rFonts w:cs="Times New Roman"/>
                <w:color w:val="1F1F1F"/>
                <w:szCs w:val="22"/>
              </w:rPr>
              <w:t>Molecularly confirmed infection; do not combine NS1 with IgM or PCR numerators.</w:t>
            </w:r>
          </w:p>
        </w:tc>
      </w:tr>
      <w:tr w:rsidR="00E87C43" w:rsidRPr="00E87C43" w14:paraId="5D16E945" w14:textId="77777777" w:rsidTr="00210558">
        <w:trPr>
          <w:trHeight w:val="1614"/>
        </w:trPr>
        <w:tc>
          <w:tcPr>
            <w:tcW w:w="1581" w:type="dxa"/>
            <w:hideMark/>
          </w:tcPr>
          <w:p w14:paraId="7ED1D198" w14:textId="4F2AE39F" w:rsidR="00E87C43" w:rsidRPr="00E87C43" w:rsidRDefault="00E87C43" w:rsidP="00E87C43">
            <w:pPr>
              <w:spacing w:before="0" w:after="0"/>
              <w:jc w:val="left"/>
              <w:rPr>
                <w:rFonts w:cs="Times New Roman"/>
                <w:szCs w:val="22"/>
              </w:rPr>
            </w:pPr>
            <w:r w:rsidRPr="00E87C43">
              <w:rPr>
                <w:rFonts w:cs="Times New Roman"/>
                <w:color w:val="1F1F1F"/>
                <w:szCs w:val="22"/>
              </w:rPr>
              <w:lastRenderedPageBreak/>
              <w:t>Neutralizing-antibody prevalence</w:t>
            </w:r>
          </w:p>
        </w:tc>
        <w:tc>
          <w:tcPr>
            <w:tcW w:w="2900" w:type="dxa"/>
            <w:hideMark/>
          </w:tcPr>
          <w:p w14:paraId="52629E2B" w14:textId="16FAEA0B" w:rsidR="00E87C43" w:rsidRPr="00E87C43" w:rsidRDefault="00E87C43" w:rsidP="00E87C43">
            <w:pPr>
              <w:spacing w:before="0" w:after="0"/>
              <w:jc w:val="left"/>
              <w:rPr>
                <w:rFonts w:cs="Times New Roman"/>
                <w:szCs w:val="22"/>
              </w:rPr>
            </w:pPr>
            <w:r w:rsidRPr="00E87C43">
              <w:rPr>
                <w:rFonts w:cs="Times New Roman"/>
                <w:color w:val="1F1F1F"/>
                <w:szCs w:val="22"/>
              </w:rPr>
              <w:t>Neutralizing antibody measured by PRNT, VNT, microneutralization, reporter-virus neutralization or equivalent functional neutralization assay.</w:t>
            </w:r>
          </w:p>
        </w:tc>
        <w:tc>
          <w:tcPr>
            <w:tcW w:w="2660" w:type="dxa"/>
            <w:hideMark/>
          </w:tcPr>
          <w:p w14:paraId="2C5AAB78" w14:textId="73EF78DB" w:rsidR="00E87C43" w:rsidRPr="00E87C43" w:rsidRDefault="00E87C43" w:rsidP="00E87C43">
            <w:pPr>
              <w:spacing w:before="0" w:after="0"/>
              <w:jc w:val="left"/>
              <w:rPr>
                <w:rFonts w:cs="Times New Roman"/>
                <w:szCs w:val="22"/>
              </w:rPr>
            </w:pPr>
            <w:r w:rsidRPr="00E87C43">
              <w:rPr>
                <w:rFonts w:cs="Times New Roman"/>
                <w:color w:val="1F1F1F"/>
                <w:szCs w:val="22"/>
              </w:rPr>
              <w:t>Neutralization itself is the endpoint-defining assay and a neutralization-positive numerator plus neutralization-tested denominator are identifiable.</w:t>
            </w:r>
          </w:p>
        </w:tc>
        <w:tc>
          <w:tcPr>
            <w:tcW w:w="2068" w:type="dxa"/>
            <w:hideMark/>
          </w:tcPr>
          <w:p w14:paraId="2D70D7E3" w14:textId="1E5EBE76" w:rsidR="00E87C43" w:rsidRPr="00E87C43" w:rsidRDefault="00E87C43" w:rsidP="00E87C43">
            <w:pPr>
              <w:spacing w:before="0" w:after="0"/>
              <w:jc w:val="left"/>
              <w:rPr>
                <w:rFonts w:cs="Times New Roman"/>
                <w:szCs w:val="22"/>
              </w:rPr>
            </w:pPr>
            <w:r w:rsidRPr="00E87C43">
              <w:rPr>
                <w:rFonts w:cs="Times New Roman"/>
                <w:color w:val="1F1F1F"/>
                <w:szCs w:val="22"/>
              </w:rPr>
              <w:t>Ordinary primary-assay seroprevalence when neutralization was used only as confirmation.</w:t>
            </w:r>
          </w:p>
        </w:tc>
      </w:tr>
      <w:tr w:rsidR="00E87C43" w:rsidRPr="00E87C43" w14:paraId="263E1C50" w14:textId="77777777" w:rsidTr="00210558">
        <w:trPr>
          <w:trHeight w:val="1418"/>
        </w:trPr>
        <w:tc>
          <w:tcPr>
            <w:tcW w:w="1581" w:type="dxa"/>
            <w:shd w:val="clear" w:color="auto" w:fill="F2F2F2" w:themeFill="background1" w:themeFillShade="F2"/>
            <w:hideMark/>
          </w:tcPr>
          <w:p w14:paraId="52FFD2AF" w14:textId="043EEACF" w:rsidR="00E87C43" w:rsidRPr="00E87C43" w:rsidRDefault="00E87C43" w:rsidP="00E87C43">
            <w:pPr>
              <w:spacing w:before="0" w:after="0"/>
              <w:jc w:val="left"/>
              <w:rPr>
                <w:rFonts w:cs="Times New Roman"/>
                <w:szCs w:val="22"/>
              </w:rPr>
            </w:pPr>
            <w:r w:rsidRPr="00E87C43">
              <w:rPr>
                <w:rFonts w:cs="Times New Roman"/>
                <w:color w:val="1F1F1F"/>
                <w:szCs w:val="22"/>
              </w:rPr>
              <w:t>Confirmed active infection</w:t>
            </w:r>
          </w:p>
        </w:tc>
        <w:tc>
          <w:tcPr>
            <w:tcW w:w="2900" w:type="dxa"/>
            <w:shd w:val="clear" w:color="auto" w:fill="F2F2F2" w:themeFill="background1" w:themeFillShade="F2"/>
            <w:hideMark/>
          </w:tcPr>
          <w:p w14:paraId="3B425C84" w14:textId="553E337E" w:rsidR="00E87C43" w:rsidRPr="00E87C43" w:rsidRDefault="00E87C43" w:rsidP="00E87C43">
            <w:pPr>
              <w:spacing w:before="0" w:after="0"/>
              <w:jc w:val="left"/>
              <w:rPr>
                <w:rFonts w:cs="Times New Roman"/>
                <w:szCs w:val="22"/>
              </w:rPr>
            </w:pPr>
            <w:r w:rsidRPr="00E87C43">
              <w:rPr>
                <w:rFonts w:cs="Times New Roman"/>
                <w:color w:val="1F1F1F"/>
                <w:szCs w:val="22"/>
              </w:rPr>
              <w:t>Direct demonstration of virus by nucleic-acid detection or viable-virus detection.</w:t>
            </w:r>
          </w:p>
        </w:tc>
        <w:tc>
          <w:tcPr>
            <w:tcW w:w="2660" w:type="dxa"/>
            <w:shd w:val="clear" w:color="auto" w:fill="F2F2F2" w:themeFill="background1" w:themeFillShade="F2"/>
            <w:hideMark/>
          </w:tcPr>
          <w:p w14:paraId="7BE3FEBA" w14:textId="1490B430" w:rsidR="00E87C43" w:rsidRPr="00E87C43" w:rsidRDefault="00E87C43" w:rsidP="00E87C43">
            <w:pPr>
              <w:spacing w:before="0" w:after="0"/>
              <w:jc w:val="left"/>
              <w:rPr>
                <w:rFonts w:cs="Times New Roman"/>
                <w:szCs w:val="22"/>
              </w:rPr>
            </w:pPr>
            <w:r w:rsidRPr="00E87C43">
              <w:rPr>
                <w:rFonts w:cs="Times New Roman"/>
                <w:color w:val="1F1F1F"/>
                <w:szCs w:val="22"/>
              </w:rPr>
              <w:t>RT-PCR, RT-qPCR, RT-LAMP, RT-RPA or equivalent NAAT produces the endpoint numerator; viable-virus isolation can also constitute direct active infection.</w:t>
            </w:r>
          </w:p>
        </w:tc>
        <w:tc>
          <w:tcPr>
            <w:tcW w:w="2068" w:type="dxa"/>
            <w:shd w:val="clear" w:color="auto" w:fill="F2F2F2" w:themeFill="background1" w:themeFillShade="F2"/>
            <w:hideMark/>
          </w:tcPr>
          <w:p w14:paraId="74B03069" w14:textId="2F6C2085" w:rsidR="00E87C43" w:rsidRPr="00E87C43" w:rsidRDefault="00E87C43" w:rsidP="00E87C43">
            <w:pPr>
              <w:spacing w:before="0" w:after="0"/>
              <w:jc w:val="left"/>
              <w:rPr>
                <w:rFonts w:cs="Times New Roman"/>
                <w:szCs w:val="22"/>
              </w:rPr>
            </w:pPr>
            <w:r w:rsidRPr="00E87C43">
              <w:rPr>
                <w:rFonts w:cs="Times New Roman"/>
                <w:color w:val="1F1F1F"/>
                <w:szCs w:val="22"/>
              </w:rPr>
              <w:t>IgM, NS1 or serologic confirmation alone.</w:t>
            </w:r>
          </w:p>
        </w:tc>
      </w:tr>
    </w:tbl>
    <w:p w14:paraId="29BA8165" w14:textId="5D477C04" w:rsidR="00E87C43" w:rsidRDefault="000964EC" w:rsidP="005C55D9">
      <w:pPr>
        <w:spacing w:before="0"/>
      </w:pPr>
      <w:r w:rsidRPr="005C55D9">
        <w:rPr>
          <w:b/>
          <w:bCs/>
          <w:i/>
          <w:iCs/>
          <w:color w:val="153D63" w:themeColor="text2" w:themeTint="E6"/>
        </w:rPr>
        <w:t>Sequencing</w:t>
      </w:r>
      <w:r w:rsidR="001955D2" w:rsidRPr="005C55D9">
        <w:rPr>
          <w:i/>
          <w:iCs/>
        </w:rPr>
        <w:t>:</w:t>
      </w:r>
      <w:r w:rsidR="001955D2" w:rsidRPr="001955D2">
        <w:t xml:space="preserve"> </w:t>
      </w:r>
      <w:r w:rsidR="001955D2" w:rsidRPr="005C55D9">
        <w:rPr>
          <w:i/>
          <w:iCs/>
        </w:rPr>
        <w:t>Sequencing supports molecular identification rather than constituting a separate prevalence endpoint unless a distinct sequencing-positive numerator and denominator exist</w:t>
      </w:r>
      <w:r w:rsidR="00670529" w:rsidRPr="005C55D9">
        <w:rPr>
          <w:i/>
          <w:iCs/>
        </w:rPr>
        <w:t>.</w:t>
      </w:r>
    </w:p>
    <w:p w14:paraId="67F06F05" w14:textId="2626D402" w:rsidR="00670529" w:rsidRPr="00670529" w:rsidRDefault="00A807C6" w:rsidP="00CC1DFB">
      <w:pPr>
        <w:pStyle w:val="Heading2"/>
      </w:pPr>
      <w:r>
        <w:t xml:space="preserve">2.1 </w:t>
      </w:r>
      <w:r w:rsidR="00670529" w:rsidRPr="00670529">
        <w:t>Mixed serology</w:t>
      </w:r>
    </w:p>
    <w:p w14:paraId="65669998" w14:textId="41FE4D04" w:rsidR="00670529" w:rsidRPr="00014EB7" w:rsidRDefault="00F82539" w:rsidP="002E4EA9">
      <w:r w:rsidRPr="00F82539">
        <w:t>If separate IgG and IgM counts exist, create separate endpoints. Do not use “IgM and/or IgG positive” as the IgM endpoint. If only a combined IgM/IgG result exists and the components cannot be separated, classify it as mixed/other serologic evidence unless the paper clearly defines the assay as a cumulative antibody/exposure endpoint. Do not infer an IgM numerator or an IgG numerator</w:t>
      </w:r>
      <w:r w:rsidR="00670529" w:rsidRPr="00014EB7">
        <w:t>.</w:t>
      </w:r>
    </w:p>
    <w:p w14:paraId="2C1F48CB" w14:textId="462C3DA6" w:rsidR="00670529" w:rsidRPr="00670529" w:rsidRDefault="00A807C6" w:rsidP="00CC1DFB">
      <w:pPr>
        <w:pStyle w:val="Heading2"/>
      </w:pPr>
      <w:r>
        <w:t xml:space="preserve">2.2 </w:t>
      </w:r>
      <w:r w:rsidR="00670529" w:rsidRPr="00670529">
        <w:t>Multiple markers in the same participants</w:t>
      </w:r>
    </w:p>
    <w:p w14:paraId="56337A51" w14:textId="6874AD32" w:rsidR="00670529" w:rsidRDefault="0036401C" w:rsidP="002E4EA9">
      <w:r w:rsidRPr="0036401C">
        <w:t>IgM, NS1, direct-detection and neutralization numerators remain separate unless participant-level overlap is explicitly reported and the synthesis deliberately defines a composite outcome. The presence of multiple markers in the same article does not permit one marker to replace another endpoint numerator</w:t>
      </w:r>
      <w:r w:rsidR="00670529" w:rsidRPr="00670529">
        <w:t>.</w:t>
      </w:r>
    </w:p>
    <w:p w14:paraId="014C75FB" w14:textId="7D6FD31E" w:rsidR="006102D5" w:rsidRDefault="006102D5" w:rsidP="00A807C6">
      <w:pPr>
        <w:pStyle w:val="Heading1"/>
        <w:numPr>
          <w:ilvl w:val="0"/>
          <w:numId w:val="5"/>
        </w:numPr>
      </w:pPr>
      <w:r w:rsidRPr="006102D5">
        <w:t xml:space="preserve">Endpoint-defining assay, measurement </w:t>
      </w:r>
      <w:r w:rsidR="00C348ED" w:rsidRPr="006102D5">
        <w:t>pathway,</w:t>
      </w:r>
      <w:r w:rsidRPr="006102D5">
        <w:t xml:space="preserve"> and confirmation</w:t>
      </w:r>
    </w:p>
    <w:p w14:paraId="37628A4F" w14:textId="323D9AA1" w:rsidR="006102D5" w:rsidRDefault="00C348ED" w:rsidP="002E4EA9">
      <w:r w:rsidRPr="00C348ED">
        <w:t>Implementation requires two separate classifications: (A) the role of the assay in defining the endpoint and (B) who actually received the endpoint-defining assay or algorithm. These dimensions must not be collapsed into a single label.</w:t>
      </w:r>
    </w:p>
    <w:p w14:paraId="4E93D426" w14:textId="487EE32B" w:rsidR="006102D5" w:rsidRDefault="00A807C6" w:rsidP="008801DE">
      <w:pPr>
        <w:pStyle w:val="Heading2"/>
      </w:pPr>
      <w:r>
        <w:t>3</w:t>
      </w:r>
      <w:r w:rsidR="008801DE" w:rsidRPr="008801DE">
        <w:t>.1 Identifying the primary endpoint-defining assay</w:t>
      </w:r>
    </w:p>
    <w:p w14:paraId="3632826B" w14:textId="1B252DAF" w:rsidR="00ED56D9" w:rsidRDefault="00210558" w:rsidP="002E4EA9">
      <w:r w:rsidRPr="00210558">
        <w:t xml:space="preserve">The DARE-Arbo implementation must separate three questions that are frequently conflated in arbovirus studies: which assay result creates the numerator, who received that endpoint-defining assay or algorithm, and what role any later test plays. In the </w:t>
      </w:r>
      <w:r>
        <w:t xml:space="preserve">current arbovirus </w:t>
      </w:r>
      <w:r w:rsidRPr="00210558">
        <w:t>evidence</w:t>
      </w:r>
      <w:r w:rsidRPr="00210558">
        <w:t xml:space="preserve"> library, 29.5% records used a combined-marker or hybrid primary design, 81.0% positive-case fields contained narrative or multiple counts, and 53.8% prevalence fields contained multiple or complex estimates. The app </w:t>
      </w:r>
      <w:r>
        <w:t xml:space="preserve">implementation </w:t>
      </w:r>
      <w:r w:rsidRPr="00210558">
        <w:t>therefore derive</w:t>
      </w:r>
      <w:r>
        <w:t>d</w:t>
      </w:r>
      <w:r w:rsidRPr="00210558">
        <w:t xml:space="preserve"> the endpoint from the observed numerator and assay pathway</w:t>
      </w:r>
      <w:r>
        <w:t xml:space="preserve">, in addition to </w:t>
      </w:r>
      <w:r w:rsidRPr="00210558">
        <w:t>the article's “Primary Assay” label</w:t>
      </w:r>
      <w:r>
        <w:t xml:space="preserve">. </w:t>
      </w:r>
    </w:p>
    <w:p w14:paraId="0FE85497" w14:textId="14111F1D" w:rsidR="00670529" w:rsidRPr="00670529" w:rsidRDefault="000B572A" w:rsidP="004C12D1">
      <w:pPr>
        <w:pStyle w:val="Heading2"/>
      </w:pPr>
      <w:r>
        <w:t xml:space="preserve">3.2 </w:t>
      </w:r>
      <w:r w:rsidR="00210558" w:rsidRPr="00210558">
        <w:t>Mandatory endpoint</w:t>
      </w:r>
      <w:r w:rsidR="00210558">
        <w:t>-</w:t>
      </w:r>
      <w:r w:rsidR="00210558" w:rsidRPr="00210558">
        <w:t>first data model</w:t>
      </w:r>
    </w:p>
    <w:p w14:paraId="12DA2654" w14:textId="438CE386" w:rsidR="00670529" w:rsidRDefault="00210558" w:rsidP="005A1CA7">
      <w:r w:rsidRPr="00210558">
        <w:t>For each virus × synthesis endpoint × materially different tested population/pathway, create a separate appraisal record. The following controlled fields should be resolved before Q6-Q10 are scored</w:t>
      </w:r>
      <w:r w:rsidR="00670529" w:rsidRPr="00670529">
        <w:t>.</w:t>
      </w:r>
    </w:p>
    <w:p w14:paraId="7498075A" w14:textId="77777777" w:rsidR="00210558" w:rsidRDefault="00210558" w:rsidP="005A1CA7"/>
    <w:p w14:paraId="42757E70" w14:textId="77777777" w:rsidR="00210558" w:rsidRDefault="00210558" w:rsidP="005A1CA7"/>
    <w:tbl>
      <w:tblPr>
        <w:tblStyle w:val="TableGridLight"/>
        <w:tblW w:w="935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555"/>
        <w:gridCol w:w="2952"/>
        <w:gridCol w:w="4844"/>
      </w:tblGrid>
      <w:tr w:rsidR="00210558" w:rsidRPr="00210558" w14:paraId="61AA682E" w14:textId="77777777" w:rsidTr="00210558">
        <w:tc>
          <w:tcPr>
            <w:tcW w:w="1555" w:type="dxa"/>
          </w:tcPr>
          <w:p w14:paraId="5D2E74E8" w14:textId="77777777" w:rsidR="00210558" w:rsidRPr="00210558" w:rsidRDefault="00210558" w:rsidP="00210558">
            <w:pPr>
              <w:spacing w:before="0" w:after="0"/>
              <w:jc w:val="center"/>
              <w:rPr>
                <w:rFonts w:hint="eastAsia"/>
                <w:color w:val="0F4761" w:themeColor="accent1" w:themeShade="BF"/>
                <w:sz w:val="20"/>
                <w:szCs w:val="32"/>
              </w:rPr>
            </w:pPr>
            <w:r w:rsidRPr="00210558">
              <w:rPr>
                <w:b/>
                <w:color w:val="0F4761" w:themeColor="accent1" w:themeShade="BF"/>
                <w:sz w:val="20"/>
                <w:szCs w:val="32"/>
              </w:rPr>
              <w:lastRenderedPageBreak/>
              <w:t>App field</w:t>
            </w:r>
          </w:p>
        </w:tc>
        <w:tc>
          <w:tcPr>
            <w:tcW w:w="2952" w:type="dxa"/>
          </w:tcPr>
          <w:p w14:paraId="5A47C0C5" w14:textId="77777777" w:rsidR="00210558" w:rsidRPr="00210558" w:rsidRDefault="00210558" w:rsidP="00210558">
            <w:pPr>
              <w:spacing w:before="0" w:after="0"/>
              <w:jc w:val="center"/>
              <w:rPr>
                <w:rFonts w:hint="eastAsia"/>
                <w:color w:val="0F4761" w:themeColor="accent1" w:themeShade="BF"/>
                <w:sz w:val="20"/>
                <w:szCs w:val="32"/>
              </w:rPr>
            </w:pPr>
            <w:r w:rsidRPr="00210558">
              <w:rPr>
                <w:b/>
                <w:color w:val="0F4761" w:themeColor="accent1" w:themeShade="BF"/>
                <w:sz w:val="20"/>
                <w:szCs w:val="32"/>
              </w:rPr>
              <w:t>Allowed value(s)</w:t>
            </w:r>
          </w:p>
        </w:tc>
        <w:tc>
          <w:tcPr>
            <w:tcW w:w="4844" w:type="dxa"/>
          </w:tcPr>
          <w:p w14:paraId="0DBB3344" w14:textId="77777777" w:rsidR="00210558" w:rsidRPr="00210558" w:rsidRDefault="00210558" w:rsidP="00210558">
            <w:pPr>
              <w:spacing w:before="0" w:after="0"/>
              <w:jc w:val="center"/>
              <w:rPr>
                <w:rFonts w:hint="eastAsia"/>
                <w:color w:val="0F4761" w:themeColor="accent1" w:themeShade="BF"/>
                <w:sz w:val="20"/>
                <w:szCs w:val="32"/>
              </w:rPr>
            </w:pPr>
            <w:r w:rsidRPr="00210558">
              <w:rPr>
                <w:b/>
                <w:color w:val="0F4761" w:themeColor="accent1" w:themeShade="BF"/>
                <w:sz w:val="20"/>
                <w:szCs w:val="32"/>
              </w:rPr>
              <w:t>Implementation rule</w:t>
            </w:r>
          </w:p>
        </w:tc>
      </w:tr>
      <w:tr w:rsidR="00210558" w:rsidRPr="00210558" w14:paraId="3133AA7E" w14:textId="77777777" w:rsidTr="00210558">
        <w:tc>
          <w:tcPr>
            <w:tcW w:w="1555" w:type="dxa"/>
            <w:vAlign w:val="center"/>
          </w:tcPr>
          <w:p w14:paraId="616B9A8E" w14:textId="77777777" w:rsidR="00210558" w:rsidRPr="00210558" w:rsidRDefault="00210558" w:rsidP="00210558">
            <w:pPr>
              <w:spacing w:before="0" w:after="0"/>
              <w:jc w:val="left"/>
              <w:rPr>
                <w:rFonts w:hint="eastAsia"/>
                <w:sz w:val="20"/>
                <w:szCs w:val="32"/>
              </w:rPr>
            </w:pPr>
            <w:r w:rsidRPr="00210558">
              <w:rPr>
                <w:sz w:val="20"/>
                <w:szCs w:val="32"/>
              </w:rPr>
              <w:t>Synthesis endpoint</w:t>
            </w:r>
          </w:p>
        </w:tc>
        <w:tc>
          <w:tcPr>
            <w:tcW w:w="2952" w:type="dxa"/>
            <w:vAlign w:val="center"/>
          </w:tcPr>
          <w:p w14:paraId="78151E5D" w14:textId="77777777" w:rsidR="00210558" w:rsidRPr="00210558" w:rsidRDefault="00210558" w:rsidP="00210558">
            <w:pPr>
              <w:spacing w:before="0" w:after="0"/>
              <w:jc w:val="left"/>
              <w:rPr>
                <w:rFonts w:hint="eastAsia"/>
                <w:sz w:val="20"/>
                <w:szCs w:val="32"/>
              </w:rPr>
            </w:pPr>
            <w:r w:rsidRPr="00210558">
              <w:rPr>
                <w:sz w:val="20"/>
                <w:szCs w:val="32"/>
              </w:rPr>
              <w:t>Prior exposure/total antibody; IgM recent infection; NS1 active infection; confirmed active infection; neutralizing-antibody prevalence; mixed/other</w:t>
            </w:r>
          </w:p>
        </w:tc>
        <w:tc>
          <w:tcPr>
            <w:tcW w:w="4844" w:type="dxa"/>
            <w:vAlign w:val="center"/>
          </w:tcPr>
          <w:p w14:paraId="5D3ABB63" w14:textId="77777777" w:rsidR="00210558" w:rsidRPr="00210558" w:rsidRDefault="00210558" w:rsidP="00210558">
            <w:pPr>
              <w:spacing w:before="0" w:after="0"/>
              <w:jc w:val="left"/>
              <w:rPr>
                <w:rFonts w:hint="eastAsia"/>
                <w:sz w:val="20"/>
                <w:szCs w:val="32"/>
              </w:rPr>
            </w:pPr>
            <w:r w:rsidRPr="00210558">
              <w:rPr>
                <w:sz w:val="20"/>
                <w:szCs w:val="32"/>
              </w:rPr>
              <w:t>Assign from the biological result entering the numerator, not the study title or the most specific assay mentioned.</w:t>
            </w:r>
          </w:p>
        </w:tc>
      </w:tr>
      <w:tr w:rsidR="00210558" w:rsidRPr="00210558" w14:paraId="2B211471" w14:textId="77777777" w:rsidTr="00210558">
        <w:tc>
          <w:tcPr>
            <w:tcW w:w="1555" w:type="dxa"/>
            <w:vAlign w:val="center"/>
          </w:tcPr>
          <w:p w14:paraId="26208256" w14:textId="77777777" w:rsidR="00210558" w:rsidRPr="00210558" w:rsidRDefault="00210558" w:rsidP="00210558">
            <w:pPr>
              <w:spacing w:before="0" w:after="0"/>
              <w:jc w:val="left"/>
              <w:rPr>
                <w:rFonts w:hint="eastAsia"/>
                <w:sz w:val="20"/>
                <w:szCs w:val="32"/>
              </w:rPr>
            </w:pPr>
            <w:r w:rsidRPr="00210558">
              <w:rPr>
                <w:sz w:val="20"/>
                <w:szCs w:val="32"/>
              </w:rPr>
              <w:t>Endpoint structure</w:t>
            </w:r>
          </w:p>
        </w:tc>
        <w:tc>
          <w:tcPr>
            <w:tcW w:w="2952" w:type="dxa"/>
            <w:vAlign w:val="center"/>
          </w:tcPr>
          <w:p w14:paraId="4834D98F" w14:textId="77777777" w:rsidR="00210558" w:rsidRPr="00210558" w:rsidRDefault="00210558" w:rsidP="00210558">
            <w:pPr>
              <w:spacing w:before="0" w:after="0"/>
              <w:jc w:val="left"/>
              <w:rPr>
                <w:rFonts w:hint="eastAsia"/>
                <w:sz w:val="20"/>
                <w:szCs w:val="32"/>
              </w:rPr>
            </w:pPr>
            <w:r w:rsidRPr="00210558">
              <w:rPr>
                <w:sz w:val="20"/>
                <w:szCs w:val="32"/>
              </w:rPr>
              <w:t>Single-assay; staged algorithm; unresolved</w:t>
            </w:r>
          </w:p>
        </w:tc>
        <w:tc>
          <w:tcPr>
            <w:tcW w:w="4844" w:type="dxa"/>
            <w:vAlign w:val="center"/>
          </w:tcPr>
          <w:p w14:paraId="2E8B2542" w14:textId="77777777" w:rsidR="00210558" w:rsidRPr="00210558" w:rsidRDefault="00210558" w:rsidP="00210558">
            <w:pPr>
              <w:spacing w:before="0" w:after="0"/>
              <w:jc w:val="left"/>
              <w:rPr>
                <w:rFonts w:hint="eastAsia"/>
                <w:sz w:val="20"/>
                <w:szCs w:val="32"/>
              </w:rPr>
            </w:pPr>
            <w:r w:rsidRPr="00210558">
              <w:rPr>
                <w:sz w:val="20"/>
                <w:szCs w:val="32"/>
              </w:rPr>
              <w:t>Single-assay means one assay result directly creates the numerator. Staged algorithm means final positivity requires a predefined sequence of assays.</w:t>
            </w:r>
          </w:p>
        </w:tc>
      </w:tr>
      <w:tr w:rsidR="00210558" w:rsidRPr="00210558" w14:paraId="6DB97C70" w14:textId="77777777" w:rsidTr="00210558">
        <w:tc>
          <w:tcPr>
            <w:tcW w:w="1555" w:type="dxa"/>
            <w:vAlign w:val="center"/>
          </w:tcPr>
          <w:p w14:paraId="2F1A071F" w14:textId="77777777" w:rsidR="00210558" w:rsidRPr="00210558" w:rsidRDefault="00210558" w:rsidP="00210558">
            <w:pPr>
              <w:spacing w:before="0" w:after="0"/>
              <w:jc w:val="left"/>
              <w:rPr>
                <w:rFonts w:hint="eastAsia"/>
                <w:sz w:val="20"/>
                <w:szCs w:val="32"/>
              </w:rPr>
            </w:pPr>
            <w:r w:rsidRPr="00210558">
              <w:rPr>
                <w:sz w:val="20"/>
                <w:szCs w:val="32"/>
              </w:rPr>
              <w:t>Primary endpoint-defining assay</w:t>
            </w:r>
          </w:p>
        </w:tc>
        <w:tc>
          <w:tcPr>
            <w:tcW w:w="2952" w:type="dxa"/>
            <w:vAlign w:val="center"/>
          </w:tcPr>
          <w:p w14:paraId="14900276" w14:textId="77777777" w:rsidR="00210558" w:rsidRPr="00210558" w:rsidRDefault="00210558" w:rsidP="00210558">
            <w:pPr>
              <w:spacing w:before="0" w:after="0"/>
              <w:jc w:val="left"/>
              <w:rPr>
                <w:rFonts w:hint="eastAsia"/>
                <w:sz w:val="20"/>
                <w:szCs w:val="32"/>
              </w:rPr>
            </w:pPr>
            <w:r w:rsidRPr="00210558">
              <w:rPr>
                <w:sz w:val="20"/>
                <w:szCs w:val="32"/>
              </w:rPr>
              <w:t>Named assay/method + method class</w:t>
            </w:r>
          </w:p>
        </w:tc>
        <w:tc>
          <w:tcPr>
            <w:tcW w:w="4844" w:type="dxa"/>
            <w:vAlign w:val="center"/>
          </w:tcPr>
          <w:p w14:paraId="73BB264E" w14:textId="77777777" w:rsidR="00210558" w:rsidRPr="00210558" w:rsidRDefault="00210558" w:rsidP="00210558">
            <w:pPr>
              <w:spacing w:before="0" w:after="0"/>
              <w:jc w:val="left"/>
              <w:rPr>
                <w:rFonts w:hint="eastAsia"/>
                <w:sz w:val="20"/>
                <w:szCs w:val="32"/>
              </w:rPr>
            </w:pPr>
            <w:r w:rsidRPr="00210558">
              <w:rPr>
                <w:sz w:val="20"/>
                <w:szCs w:val="32"/>
              </w:rPr>
              <w:t>Trace the observed numerator to the assay result that counted the participant as positive. For a staged algorithm, separately store the primary screen and required confirmatory stage(s).</w:t>
            </w:r>
          </w:p>
        </w:tc>
      </w:tr>
      <w:tr w:rsidR="00210558" w:rsidRPr="00210558" w14:paraId="14EC2F12" w14:textId="77777777" w:rsidTr="00210558">
        <w:tc>
          <w:tcPr>
            <w:tcW w:w="1555" w:type="dxa"/>
            <w:vAlign w:val="center"/>
          </w:tcPr>
          <w:p w14:paraId="7FE7C97F" w14:textId="77777777" w:rsidR="00210558" w:rsidRPr="00210558" w:rsidRDefault="00210558" w:rsidP="00210558">
            <w:pPr>
              <w:spacing w:before="0" w:after="0"/>
              <w:jc w:val="left"/>
              <w:rPr>
                <w:rFonts w:hint="eastAsia"/>
                <w:sz w:val="20"/>
                <w:szCs w:val="32"/>
              </w:rPr>
            </w:pPr>
            <w:r w:rsidRPr="00210558">
              <w:rPr>
                <w:sz w:val="20"/>
                <w:szCs w:val="32"/>
              </w:rPr>
              <w:t>Measurement pathway</w:t>
            </w:r>
          </w:p>
        </w:tc>
        <w:tc>
          <w:tcPr>
            <w:tcW w:w="2952" w:type="dxa"/>
            <w:vAlign w:val="center"/>
          </w:tcPr>
          <w:p w14:paraId="7A2A143B" w14:textId="77777777" w:rsidR="00210558" w:rsidRPr="00210558" w:rsidRDefault="00210558" w:rsidP="00210558">
            <w:pPr>
              <w:spacing w:before="0" w:after="0"/>
              <w:jc w:val="left"/>
              <w:rPr>
                <w:rFonts w:hint="eastAsia"/>
                <w:sz w:val="20"/>
                <w:szCs w:val="32"/>
              </w:rPr>
            </w:pPr>
            <w:r w:rsidRPr="00210558">
              <w:rPr>
                <w:sz w:val="20"/>
                <w:szCs w:val="32"/>
              </w:rPr>
              <w:t>Population; representative subsample; selected subsample; unresolved</w:t>
            </w:r>
          </w:p>
        </w:tc>
        <w:tc>
          <w:tcPr>
            <w:tcW w:w="4844" w:type="dxa"/>
            <w:vAlign w:val="center"/>
          </w:tcPr>
          <w:p w14:paraId="3B570874" w14:textId="77777777" w:rsidR="00210558" w:rsidRPr="00210558" w:rsidRDefault="00210558" w:rsidP="00210558">
            <w:pPr>
              <w:spacing w:before="0" w:after="0"/>
              <w:jc w:val="left"/>
              <w:rPr>
                <w:rFonts w:hint="eastAsia"/>
                <w:sz w:val="20"/>
                <w:szCs w:val="32"/>
              </w:rPr>
            </w:pPr>
            <w:r w:rsidRPr="00210558">
              <w:rPr>
                <w:sz w:val="20"/>
                <w:szCs w:val="32"/>
              </w:rPr>
              <w:t>Classify who actually received the endpoint-defining assay/algorithm. Do not use the full source cohort when only a subset was tested.</w:t>
            </w:r>
          </w:p>
        </w:tc>
      </w:tr>
      <w:tr w:rsidR="00210558" w:rsidRPr="00210558" w14:paraId="11742E3B" w14:textId="77777777" w:rsidTr="00210558">
        <w:tc>
          <w:tcPr>
            <w:tcW w:w="1555" w:type="dxa"/>
            <w:vAlign w:val="center"/>
          </w:tcPr>
          <w:p w14:paraId="43D692B7" w14:textId="77777777" w:rsidR="00210558" w:rsidRPr="00210558" w:rsidRDefault="00210558" w:rsidP="00210558">
            <w:pPr>
              <w:spacing w:before="0" w:after="0"/>
              <w:jc w:val="left"/>
              <w:rPr>
                <w:rFonts w:hint="eastAsia"/>
                <w:sz w:val="20"/>
                <w:szCs w:val="32"/>
              </w:rPr>
            </w:pPr>
            <w:r w:rsidRPr="00210558">
              <w:rPr>
                <w:sz w:val="20"/>
                <w:szCs w:val="32"/>
              </w:rPr>
              <w:t>Confirmation role</w:t>
            </w:r>
          </w:p>
        </w:tc>
        <w:tc>
          <w:tcPr>
            <w:tcW w:w="2952" w:type="dxa"/>
            <w:vAlign w:val="center"/>
          </w:tcPr>
          <w:p w14:paraId="19C753C5" w14:textId="77777777" w:rsidR="00210558" w:rsidRPr="00210558" w:rsidRDefault="00210558" w:rsidP="00210558">
            <w:pPr>
              <w:spacing w:before="0" w:after="0"/>
              <w:jc w:val="left"/>
              <w:rPr>
                <w:rFonts w:hint="eastAsia"/>
                <w:sz w:val="20"/>
                <w:szCs w:val="32"/>
              </w:rPr>
            </w:pPr>
            <w:r w:rsidRPr="00210558">
              <w:rPr>
                <w:sz w:val="20"/>
                <w:szCs w:val="32"/>
              </w:rPr>
              <w:t>None; supporting confirmation; endpoint-defining stage; separate endpoint; unresolved</w:t>
            </w:r>
          </w:p>
        </w:tc>
        <w:tc>
          <w:tcPr>
            <w:tcW w:w="4844" w:type="dxa"/>
            <w:vAlign w:val="center"/>
          </w:tcPr>
          <w:p w14:paraId="0EE56584" w14:textId="77777777" w:rsidR="00210558" w:rsidRPr="00210558" w:rsidRDefault="00210558" w:rsidP="00210558">
            <w:pPr>
              <w:spacing w:before="0" w:after="0"/>
              <w:jc w:val="left"/>
              <w:rPr>
                <w:rFonts w:hint="eastAsia"/>
                <w:sz w:val="20"/>
                <w:szCs w:val="32"/>
              </w:rPr>
            </w:pPr>
            <w:r w:rsidRPr="00210558">
              <w:rPr>
                <w:sz w:val="20"/>
                <w:szCs w:val="32"/>
              </w:rPr>
              <w:t>Supporting confirmation leaves the current endpoint numerator/denominator unchanged. Endpoint-defining confirmation changes the numerator only within an explicit staged algorithm.</w:t>
            </w:r>
          </w:p>
        </w:tc>
      </w:tr>
      <w:tr w:rsidR="00210558" w:rsidRPr="00210558" w14:paraId="51E1075C" w14:textId="77777777" w:rsidTr="00210558">
        <w:tc>
          <w:tcPr>
            <w:tcW w:w="1555" w:type="dxa"/>
            <w:vAlign w:val="center"/>
          </w:tcPr>
          <w:p w14:paraId="311E4688" w14:textId="77777777" w:rsidR="00210558" w:rsidRPr="00210558" w:rsidRDefault="00210558" w:rsidP="00210558">
            <w:pPr>
              <w:spacing w:before="0" w:after="0"/>
              <w:jc w:val="left"/>
              <w:rPr>
                <w:rFonts w:hint="eastAsia"/>
                <w:sz w:val="20"/>
                <w:szCs w:val="32"/>
              </w:rPr>
            </w:pPr>
            <w:r w:rsidRPr="00210558">
              <w:rPr>
                <w:sz w:val="20"/>
                <w:szCs w:val="32"/>
              </w:rPr>
              <w:t>Confirmation coverage</w:t>
            </w:r>
          </w:p>
        </w:tc>
        <w:tc>
          <w:tcPr>
            <w:tcW w:w="2952" w:type="dxa"/>
            <w:vAlign w:val="center"/>
          </w:tcPr>
          <w:p w14:paraId="7184929D" w14:textId="77777777" w:rsidR="00210558" w:rsidRPr="00210558" w:rsidRDefault="00210558" w:rsidP="00210558">
            <w:pPr>
              <w:spacing w:before="0" w:after="0"/>
              <w:jc w:val="left"/>
              <w:rPr>
                <w:rFonts w:hint="eastAsia"/>
                <w:sz w:val="20"/>
                <w:szCs w:val="32"/>
              </w:rPr>
            </w:pPr>
            <w:r w:rsidRPr="00210558">
              <w:rPr>
                <w:sz w:val="20"/>
                <w:szCs w:val="32"/>
              </w:rPr>
              <w:t>Complete required; predefined representative/random subset; selected/mixed subset; unresolved</w:t>
            </w:r>
          </w:p>
        </w:tc>
        <w:tc>
          <w:tcPr>
            <w:tcW w:w="4844" w:type="dxa"/>
            <w:vAlign w:val="center"/>
          </w:tcPr>
          <w:p w14:paraId="05F98E9E" w14:textId="5EA43522" w:rsidR="00210558" w:rsidRPr="00210558" w:rsidRDefault="00210558" w:rsidP="00210558">
            <w:pPr>
              <w:spacing w:before="0" w:after="0"/>
              <w:jc w:val="left"/>
              <w:rPr>
                <w:rFonts w:hint="eastAsia"/>
                <w:sz w:val="20"/>
                <w:szCs w:val="32"/>
              </w:rPr>
            </w:pPr>
            <w:r w:rsidRPr="00210558">
              <w:rPr>
                <w:sz w:val="20"/>
                <w:szCs w:val="32"/>
              </w:rPr>
              <w:t xml:space="preserve">Use this variable even when the confirmation method is orthogonal serology, </w:t>
            </w:r>
            <w:r w:rsidR="005806A0" w:rsidRPr="00210558">
              <w:rPr>
                <w:sz w:val="20"/>
                <w:szCs w:val="32"/>
              </w:rPr>
              <w:t>sequencing,</w:t>
            </w:r>
            <w:r w:rsidRPr="00210558">
              <w:rPr>
                <w:sz w:val="20"/>
                <w:szCs w:val="32"/>
              </w:rPr>
              <w:t xml:space="preserve"> or another assay. For direct detection/neutralization it maps to Tiers B-E.</w:t>
            </w:r>
          </w:p>
        </w:tc>
      </w:tr>
      <w:tr w:rsidR="00210558" w:rsidRPr="00210558" w14:paraId="7A8B10C0" w14:textId="77777777" w:rsidTr="00210558">
        <w:tc>
          <w:tcPr>
            <w:tcW w:w="1555" w:type="dxa"/>
            <w:vAlign w:val="center"/>
          </w:tcPr>
          <w:p w14:paraId="40E42498" w14:textId="77777777" w:rsidR="00210558" w:rsidRPr="00210558" w:rsidRDefault="00210558" w:rsidP="00210558">
            <w:pPr>
              <w:spacing w:before="0" w:after="0"/>
              <w:jc w:val="left"/>
              <w:rPr>
                <w:rFonts w:hint="eastAsia"/>
                <w:sz w:val="20"/>
                <w:szCs w:val="32"/>
              </w:rPr>
            </w:pPr>
            <w:r w:rsidRPr="00210558">
              <w:rPr>
                <w:sz w:val="20"/>
                <w:szCs w:val="32"/>
              </w:rPr>
              <w:t>Observed numerator/denominator</w:t>
            </w:r>
          </w:p>
        </w:tc>
        <w:tc>
          <w:tcPr>
            <w:tcW w:w="2952" w:type="dxa"/>
            <w:vAlign w:val="center"/>
          </w:tcPr>
          <w:p w14:paraId="0B5CC2B3" w14:textId="77777777" w:rsidR="00210558" w:rsidRPr="00210558" w:rsidRDefault="00210558" w:rsidP="00210558">
            <w:pPr>
              <w:spacing w:before="0" w:after="0"/>
              <w:jc w:val="left"/>
              <w:rPr>
                <w:rFonts w:hint="eastAsia"/>
                <w:sz w:val="20"/>
                <w:szCs w:val="32"/>
              </w:rPr>
            </w:pPr>
            <w:r w:rsidRPr="00210558">
              <w:rPr>
                <w:sz w:val="20"/>
                <w:szCs w:val="32"/>
              </w:rPr>
              <w:t>Integer numerator + observed eligible/tested denominator</w:t>
            </w:r>
          </w:p>
        </w:tc>
        <w:tc>
          <w:tcPr>
            <w:tcW w:w="4844" w:type="dxa"/>
            <w:vAlign w:val="center"/>
          </w:tcPr>
          <w:p w14:paraId="00A5FA97" w14:textId="77777777" w:rsidR="00210558" w:rsidRPr="00210558" w:rsidRDefault="00210558" w:rsidP="00210558">
            <w:pPr>
              <w:spacing w:before="0" w:after="0"/>
              <w:jc w:val="left"/>
              <w:rPr>
                <w:rFonts w:hint="eastAsia"/>
                <w:sz w:val="20"/>
                <w:szCs w:val="32"/>
              </w:rPr>
            </w:pPr>
            <w:r w:rsidRPr="00210558">
              <w:rPr>
                <w:sz w:val="20"/>
                <w:szCs w:val="32"/>
              </w:rPr>
              <w:t>Do not reconstruct an event count from a rounded percentage when the observed integer count is not reported. Weighted estimates may be stored separately.</w:t>
            </w:r>
          </w:p>
        </w:tc>
      </w:tr>
    </w:tbl>
    <w:p w14:paraId="306CAD97" w14:textId="2493FCF0" w:rsidR="005806A0" w:rsidRDefault="005806A0" w:rsidP="005806A0">
      <w:pPr>
        <w:pStyle w:val="Heading2"/>
      </w:pPr>
      <w:r>
        <w:t>3</w:t>
      </w:r>
      <w:r>
        <w:t>.3 Measurement pathway: who received the endpoint-defining assay or algorithm?</w:t>
      </w:r>
    </w:p>
    <w:p w14:paraId="3D1E5499" w14:textId="66CD5553" w:rsidR="00210558" w:rsidRDefault="005806A0" w:rsidP="005A1CA7">
      <w:r>
        <w:t>The source study population may be much larger than the population that actually receives the endpoint-defining assay. Classify the tested population independently of assay validity. This classification applies to serology, NS1, direct detection and neutralization.</w:t>
      </w:r>
    </w:p>
    <w:tbl>
      <w:tblPr>
        <w:tblStyle w:val="TableGrid"/>
        <w:tblW w:w="9350" w:type="dxa"/>
        <w:tblBorders>
          <w:top w:val="single" w:sz="12" w:space="0" w:color="auto"/>
          <w:bottom w:val="single" w:sz="12" w:space="0" w:color="auto"/>
        </w:tblBorders>
        <w:tblLook w:val="04A0" w:firstRow="1" w:lastRow="0" w:firstColumn="1" w:lastColumn="0" w:noHBand="0" w:noVBand="1"/>
      </w:tblPr>
      <w:tblGrid>
        <w:gridCol w:w="1638"/>
        <w:gridCol w:w="4027"/>
        <w:gridCol w:w="3685"/>
      </w:tblGrid>
      <w:tr w:rsidR="005806A0" w14:paraId="498528BC" w14:textId="5E5EED62" w:rsidTr="005806A0">
        <w:tc>
          <w:tcPr>
            <w:tcW w:w="1638" w:type="dxa"/>
            <w:tcBorders>
              <w:top w:val="single" w:sz="12" w:space="0" w:color="auto"/>
              <w:bottom w:val="single" w:sz="12" w:space="0" w:color="auto"/>
            </w:tcBorders>
            <w:vAlign w:val="center"/>
          </w:tcPr>
          <w:p w14:paraId="1BF15C78" w14:textId="68FB1539" w:rsidR="005806A0" w:rsidRPr="00667E01" w:rsidRDefault="005806A0" w:rsidP="005806A0">
            <w:pPr>
              <w:spacing w:before="0" w:after="0"/>
              <w:jc w:val="center"/>
              <w:rPr>
                <w:rFonts w:cs="Times New Roman"/>
                <w:color w:val="153D63" w:themeColor="text2" w:themeTint="E6"/>
                <w:szCs w:val="32"/>
              </w:rPr>
            </w:pPr>
            <w:r w:rsidRPr="00667E01">
              <w:rPr>
                <w:rFonts w:cs="Times New Roman"/>
                <w:b/>
                <w:color w:val="153D63" w:themeColor="text2" w:themeTint="E6"/>
                <w:szCs w:val="32"/>
              </w:rPr>
              <w:t>Measurement pathway</w:t>
            </w:r>
          </w:p>
        </w:tc>
        <w:tc>
          <w:tcPr>
            <w:tcW w:w="4027" w:type="dxa"/>
            <w:tcBorders>
              <w:top w:val="single" w:sz="12" w:space="0" w:color="auto"/>
              <w:bottom w:val="single" w:sz="12" w:space="0" w:color="auto"/>
            </w:tcBorders>
            <w:vAlign w:val="center"/>
          </w:tcPr>
          <w:p w14:paraId="15752124" w14:textId="036A2A1D" w:rsidR="005806A0" w:rsidRPr="00667E01" w:rsidRDefault="005806A0" w:rsidP="005806A0">
            <w:pPr>
              <w:spacing w:before="0" w:after="0"/>
              <w:jc w:val="center"/>
              <w:rPr>
                <w:rFonts w:cs="Times New Roman"/>
                <w:color w:val="153D63" w:themeColor="text2" w:themeTint="E6"/>
                <w:szCs w:val="32"/>
              </w:rPr>
            </w:pPr>
            <w:r w:rsidRPr="00667E01">
              <w:rPr>
                <w:rFonts w:cs="Times New Roman"/>
                <w:b/>
                <w:color w:val="153D63" w:themeColor="text2" w:themeTint="E6"/>
                <w:szCs w:val="32"/>
              </w:rPr>
              <w:t>Explicit rule</w:t>
            </w:r>
          </w:p>
        </w:tc>
        <w:tc>
          <w:tcPr>
            <w:tcW w:w="3685" w:type="dxa"/>
            <w:tcBorders>
              <w:top w:val="single" w:sz="12" w:space="0" w:color="auto"/>
              <w:bottom w:val="single" w:sz="12" w:space="0" w:color="auto"/>
            </w:tcBorders>
            <w:vAlign w:val="center"/>
          </w:tcPr>
          <w:p w14:paraId="7AC5A4AF" w14:textId="0E5BCA86" w:rsidR="005806A0" w:rsidRPr="00667E01" w:rsidRDefault="005806A0" w:rsidP="005806A0">
            <w:pPr>
              <w:spacing w:before="0" w:after="0"/>
              <w:jc w:val="center"/>
              <w:rPr>
                <w:rFonts w:cs="Times New Roman"/>
                <w:b/>
                <w:color w:val="153D63" w:themeColor="text2" w:themeTint="E6"/>
                <w:szCs w:val="32"/>
              </w:rPr>
            </w:pPr>
            <w:r w:rsidRPr="005806A0">
              <w:rPr>
                <w:rFonts w:cs="Times New Roman"/>
                <w:b/>
                <w:color w:val="153D63" w:themeColor="text2" w:themeTint="E6"/>
                <w:szCs w:val="32"/>
              </w:rPr>
              <w:t>Permitted inference</w:t>
            </w:r>
          </w:p>
        </w:tc>
      </w:tr>
      <w:tr w:rsidR="005806A0" w14:paraId="76F7CB47" w14:textId="0B4BD6D9" w:rsidTr="005806A0">
        <w:tc>
          <w:tcPr>
            <w:tcW w:w="1638" w:type="dxa"/>
            <w:tcBorders>
              <w:top w:val="single" w:sz="12" w:space="0" w:color="auto"/>
            </w:tcBorders>
            <w:vAlign w:val="center"/>
          </w:tcPr>
          <w:p w14:paraId="14789927" w14:textId="0005A022" w:rsidR="005806A0" w:rsidRPr="00DC5F7A" w:rsidRDefault="005806A0" w:rsidP="00DC5F7A">
            <w:pPr>
              <w:spacing w:before="0" w:after="0"/>
              <w:jc w:val="left"/>
              <w:rPr>
                <w:rFonts w:cs="Times New Roman"/>
                <w:szCs w:val="32"/>
              </w:rPr>
            </w:pPr>
            <w:r w:rsidRPr="00DC5F7A">
              <w:rPr>
                <w:rFonts w:cs="Times New Roman"/>
                <w:color w:val="1F1F1F"/>
                <w:szCs w:val="32"/>
              </w:rPr>
              <w:t>Population endpoint</w:t>
            </w:r>
          </w:p>
        </w:tc>
        <w:tc>
          <w:tcPr>
            <w:tcW w:w="4027" w:type="dxa"/>
            <w:tcBorders>
              <w:top w:val="single" w:sz="12" w:space="0" w:color="auto"/>
            </w:tcBorders>
            <w:vAlign w:val="center"/>
          </w:tcPr>
          <w:p w14:paraId="71983360" w14:textId="74D7CA45" w:rsidR="005806A0" w:rsidRPr="00DC5F7A" w:rsidRDefault="005806A0" w:rsidP="00DC5F7A">
            <w:pPr>
              <w:spacing w:before="0" w:after="0"/>
              <w:jc w:val="left"/>
              <w:rPr>
                <w:rFonts w:cs="Times New Roman"/>
                <w:szCs w:val="32"/>
              </w:rPr>
            </w:pPr>
            <w:r w:rsidRPr="005806A0">
              <w:rPr>
                <w:rFonts w:cs="Times New Roman"/>
                <w:color w:val="1F1F1F"/>
                <w:szCs w:val="32"/>
              </w:rPr>
              <w:t>The endpoint-defining assay/algorithm is applied to the complete eligible study sample, or to the complete representative sample that constitutes the stated endpoint denominator</w:t>
            </w:r>
            <w:r w:rsidRPr="00DC5F7A">
              <w:rPr>
                <w:rFonts w:cs="Times New Roman"/>
                <w:color w:val="1F1F1F"/>
                <w:szCs w:val="32"/>
              </w:rPr>
              <w:t>.</w:t>
            </w:r>
          </w:p>
        </w:tc>
        <w:tc>
          <w:tcPr>
            <w:tcW w:w="3685" w:type="dxa"/>
            <w:tcBorders>
              <w:top w:val="single" w:sz="12" w:space="0" w:color="auto"/>
            </w:tcBorders>
            <w:vAlign w:val="center"/>
          </w:tcPr>
          <w:p w14:paraId="777DED50" w14:textId="081E1F02" w:rsidR="005806A0" w:rsidRPr="005806A0" w:rsidRDefault="005806A0" w:rsidP="005806A0">
            <w:pPr>
              <w:spacing w:before="0" w:after="0"/>
              <w:jc w:val="left"/>
              <w:rPr>
                <w:rFonts w:cs="Times New Roman"/>
                <w:color w:val="1F1F1F"/>
                <w:szCs w:val="32"/>
              </w:rPr>
            </w:pPr>
            <w:r w:rsidRPr="005806A0">
              <w:rPr>
                <w:rFonts w:cs="Times New Roman"/>
                <w:color w:val="1F1F1F"/>
                <w:szCs w:val="32"/>
              </w:rPr>
              <w:t>Use the observed endpoint numerator over that tested population.</w:t>
            </w:r>
          </w:p>
        </w:tc>
      </w:tr>
      <w:tr w:rsidR="005806A0" w14:paraId="6ADE8A86" w14:textId="350615E4" w:rsidTr="005806A0">
        <w:tc>
          <w:tcPr>
            <w:tcW w:w="1638" w:type="dxa"/>
            <w:vAlign w:val="center"/>
          </w:tcPr>
          <w:p w14:paraId="1B3E6818" w14:textId="21FF5117" w:rsidR="005806A0" w:rsidRPr="00DC5F7A" w:rsidRDefault="005806A0" w:rsidP="00DC5F7A">
            <w:pPr>
              <w:spacing w:before="0" w:after="0"/>
              <w:jc w:val="left"/>
              <w:rPr>
                <w:rFonts w:cs="Times New Roman"/>
                <w:szCs w:val="32"/>
              </w:rPr>
            </w:pPr>
            <w:r w:rsidRPr="00DC5F7A">
              <w:rPr>
                <w:rFonts w:cs="Times New Roman"/>
                <w:color w:val="1F1F1F"/>
                <w:szCs w:val="32"/>
              </w:rPr>
              <w:t>Representative subsample</w:t>
            </w:r>
          </w:p>
        </w:tc>
        <w:tc>
          <w:tcPr>
            <w:tcW w:w="4027" w:type="dxa"/>
            <w:vAlign w:val="center"/>
          </w:tcPr>
          <w:p w14:paraId="442C1997" w14:textId="6110E897" w:rsidR="005806A0" w:rsidRPr="00DC5F7A" w:rsidRDefault="005806A0" w:rsidP="00DC5F7A">
            <w:pPr>
              <w:spacing w:before="0" w:after="0"/>
              <w:jc w:val="left"/>
              <w:rPr>
                <w:rFonts w:cs="Times New Roman"/>
                <w:szCs w:val="32"/>
              </w:rPr>
            </w:pPr>
            <w:r w:rsidRPr="005806A0">
              <w:rPr>
                <w:rFonts w:cs="Times New Roman"/>
                <w:color w:val="1F1F1F"/>
                <w:szCs w:val="32"/>
              </w:rPr>
              <w:t>Only a predefined representative/random subsample is tested.</w:t>
            </w:r>
            <w:r>
              <w:rPr>
                <w:rFonts w:cs="Times New Roman"/>
                <w:color w:val="1F1F1F"/>
                <w:szCs w:val="32"/>
              </w:rPr>
              <w:t xml:space="preserve"> </w:t>
            </w:r>
          </w:p>
        </w:tc>
        <w:tc>
          <w:tcPr>
            <w:tcW w:w="3685" w:type="dxa"/>
            <w:vAlign w:val="center"/>
          </w:tcPr>
          <w:p w14:paraId="4582A12C" w14:textId="33CACA18" w:rsidR="005806A0" w:rsidRPr="00DC5F7A" w:rsidRDefault="005806A0" w:rsidP="005806A0">
            <w:pPr>
              <w:spacing w:before="0" w:after="0"/>
              <w:jc w:val="left"/>
              <w:rPr>
                <w:rFonts w:cs="Times New Roman"/>
                <w:color w:val="1F1F1F"/>
                <w:szCs w:val="32"/>
              </w:rPr>
            </w:pPr>
            <w:r w:rsidRPr="005806A0">
              <w:rPr>
                <w:rFonts w:cs="Times New Roman"/>
                <w:color w:val="1F1F1F"/>
                <w:szCs w:val="32"/>
              </w:rPr>
              <w:t>Use the tested subsample as the raw denominator. Store a valid design-weighted population estimate separately when explicitly reported.</w:t>
            </w:r>
          </w:p>
        </w:tc>
      </w:tr>
      <w:tr w:rsidR="005806A0" w14:paraId="30F05C08" w14:textId="3F6DEA8E" w:rsidTr="005806A0">
        <w:tc>
          <w:tcPr>
            <w:tcW w:w="1638" w:type="dxa"/>
            <w:vAlign w:val="center"/>
          </w:tcPr>
          <w:p w14:paraId="76751A42" w14:textId="35CC434F" w:rsidR="005806A0" w:rsidRPr="00DC5F7A" w:rsidRDefault="005806A0" w:rsidP="00DC5F7A">
            <w:pPr>
              <w:spacing w:before="0" w:after="0"/>
              <w:jc w:val="left"/>
              <w:rPr>
                <w:rFonts w:cs="Times New Roman"/>
                <w:szCs w:val="32"/>
              </w:rPr>
            </w:pPr>
            <w:r w:rsidRPr="00DC5F7A">
              <w:rPr>
                <w:rFonts w:cs="Times New Roman"/>
                <w:color w:val="1F1F1F"/>
                <w:szCs w:val="32"/>
              </w:rPr>
              <w:t>Selected subsample</w:t>
            </w:r>
          </w:p>
        </w:tc>
        <w:tc>
          <w:tcPr>
            <w:tcW w:w="4027" w:type="dxa"/>
            <w:vAlign w:val="center"/>
          </w:tcPr>
          <w:p w14:paraId="057D3F41" w14:textId="125379FE" w:rsidR="005806A0" w:rsidRPr="00DC5F7A" w:rsidRDefault="005806A0" w:rsidP="00DC5F7A">
            <w:pPr>
              <w:spacing w:before="0" w:after="0"/>
              <w:jc w:val="left"/>
              <w:rPr>
                <w:rFonts w:cs="Times New Roman"/>
                <w:szCs w:val="32"/>
              </w:rPr>
            </w:pPr>
            <w:r w:rsidRPr="005806A0">
              <w:rPr>
                <w:rFonts w:cs="Times New Roman"/>
                <w:color w:val="1F1F1F"/>
                <w:szCs w:val="32"/>
              </w:rPr>
              <w:t>Testing depends on symptoms, another assay result, titre, severity, specimen availability, investigator choice or another nonrepresentative mechanism.</w:t>
            </w:r>
          </w:p>
        </w:tc>
        <w:tc>
          <w:tcPr>
            <w:tcW w:w="3685" w:type="dxa"/>
            <w:vAlign w:val="center"/>
          </w:tcPr>
          <w:p w14:paraId="76CC0DB1" w14:textId="7B8BFFE4" w:rsidR="005806A0" w:rsidRPr="00DC5F7A" w:rsidRDefault="005806A0" w:rsidP="005806A0">
            <w:pPr>
              <w:spacing w:before="0" w:after="0"/>
              <w:jc w:val="left"/>
              <w:rPr>
                <w:rFonts w:cs="Times New Roman"/>
                <w:color w:val="1F1F1F"/>
                <w:szCs w:val="32"/>
              </w:rPr>
            </w:pPr>
            <w:r w:rsidRPr="005806A0">
              <w:rPr>
                <w:rFonts w:cs="Times New Roman"/>
                <w:color w:val="1F1F1F"/>
                <w:szCs w:val="32"/>
              </w:rPr>
              <w:t>Report positivity in the tested subset only; do not describe the raw proportion as unrestricted population prevalence.</w:t>
            </w:r>
          </w:p>
        </w:tc>
      </w:tr>
      <w:tr w:rsidR="005806A0" w14:paraId="4D1F0D8B" w14:textId="0D3643C7" w:rsidTr="005806A0">
        <w:tc>
          <w:tcPr>
            <w:tcW w:w="1638" w:type="dxa"/>
            <w:vAlign w:val="center"/>
          </w:tcPr>
          <w:p w14:paraId="10077A52" w14:textId="1E8331AD" w:rsidR="005806A0" w:rsidRPr="00DC5F7A" w:rsidRDefault="005806A0" w:rsidP="00DC5F7A">
            <w:pPr>
              <w:spacing w:before="0" w:after="0"/>
              <w:jc w:val="left"/>
              <w:rPr>
                <w:rFonts w:cs="Times New Roman"/>
                <w:szCs w:val="32"/>
              </w:rPr>
            </w:pPr>
            <w:r w:rsidRPr="00DC5F7A">
              <w:rPr>
                <w:rFonts w:cs="Times New Roman"/>
                <w:color w:val="1F1F1F"/>
                <w:szCs w:val="32"/>
              </w:rPr>
              <w:t>Unresolved</w:t>
            </w:r>
          </w:p>
        </w:tc>
        <w:tc>
          <w:tcPr>
            <w:tcW w:w="4027" w:type="dxa"/>
            <w:vAlign w:val="center"/>
          </w:tcPr>
          <w:p w14:paraId="09EC6659" w14:textId="5A435BB6" w:rsidR="005806A0" w:rsidRPr="00DC5F7A" w:rsidRDefault="005806A0" w:rsidP="00DC5F7A">
            <w:pPr>
              <w:spacing w:before="0" w:after="0"/>
              <w:jc w:val="left"/>
              <w:rPr>
                <w:rFonts w:cs="Times New Roman"/>
                <w:szCs w:val="32"/>
              </w:rPr>
            </w:pPr>
            <w:r w:rsidRPr="005806A0">
              <w:rPr>
                <w:rFonts w:cs="Times New Roman"/>
                <w:color w:val="1F1F1F"/>
                <w:szCs w:val="32"/>
              </w:rPr>
              <w:t>The relationship between the tested participants and the source population cannot be reconstructed.</w:t>
            </w:r>
          </w:p>
        </w:tc>
        <w:tc>
          <w:tcPr>
            <w:tcW w:w="3685" w:type="dxa"/>
            <w:vAlign w:val="center"/>
          </w:tcPr>
          <w:p w14:paraId="75D2E229" w14:textId="12B96785" w:rsidR="005806A0" w:rsidRPr="00DC5F7A" w:rsidRDefault="005806A0" w:rsidP="005806A0">
            <w:pPr>
              <w:spacing w:before="0" w:after="0"/>
              <w:jc w:val="left"/>
              <w:rPr>
                <w:rFonts w:cs="Times New Roman"/>
                <w:color w:val="1F1F1F"/>
                <w:szCs w:val="32"/>
              </w:rPr>
            </w:pPr>
            <w:r w:rsidRPr="005806A0">
              <w:rPr>
                <w:rFonts w:cs="Times New Roman"/>
                <w:color w:val="1F1F1F"/>
                <w:szCs w:val="32"/>
              </w:rPr>
              <w:t>Do not infer population prevalence. Q8 cannot be supported when numerator/denominator linkage is unresolved.</w:t>
            </w:r>
            <w:r>
              <w:rPr>
                <w:rFonts w:cs="Times New Roman"/>
                <w:color w:val="1F1F1F"/>
                <w:szCs w:val="32"/>
              </w:rPr>
              <w:t xml:space="preserve"> </w:t>
            </w:r>
          </w:p>
        </w:tc>
      </w:tr>
    </w:tbl>
    <w:p w14:paraId="7089A86A" w14:textId="629F96C4" w:rsidR="00382D5E" w:rsidRDefault="004C12D1" w:rsidP="004C12D1">
      <w:pPr>
        <w:pStyle w:val="Heading2"/>
      </w:pPr>
      <w:r>
        <w:lastRenderedPageBreak/>
        <w:t>3.</w:t>
      </w:r>
      <w:r w:rsidR="001B3BA5">
        <w:t>4</w:t>
      </w:r>
      <w:r>
        <w:t xml:space="preserve"> </w:t>
      </w:r>
      <w:r w:rsidR="001B3BA5" w:rsidRPr="001B3BA5">
        <w:t>Confirmatory-path role and coverage</w:t>
      </w:r>
    </w:p>
    <w:p w14:paraId="2FCCCE20" w14:textId="7ECCF1E9" w:rsidR="00382D5E" w:rsidRDefault="001B3BA5" w:rsidP="001B3BA5">
      <w:r w:rsidRPr="001B3BA5">
        <w:t>A second assay must be classified by role before it is used in scoring or endpoint extraction. There are only four substantive possibilities: (1) supporting confirmation for the existing endpoint; (2) a required endpoint-defining stage in a predefined diagnostic algorithm; (3) the basis of a separate endpoint record; or (4) an unresolved/unlinked test that cannot improve the current endpoint.</w:t>
      </w:r>
      <w:r>
        <w:t xml:space="preserve"> </w:t>
      </w:r>
      <w:r w:rsidRPr="001B3BA5">
        <w:t xml:space="preserve">Confirmation can support Q6c only when the article links it to the same virus, the same endpoint </w:t>
      </w:r>
      <w:r w:rsidRPr="001B3BA5">
        <w:t>result,</w:t>
      </w:r>
      <w:r w:rsidRPr="001B3BA5">
        <w:t xml:space="preserve"> and an identifiable eligible participant set. Confirmation for a different virus, another assay outcome, a different subset, differential </w:t>
      </w:r>
      <w:r w:rsidRPr="001B3BA5">
        <w:t>diagnosis,</w:t>
      </w:r>
      <w:r w:rsidRPr="001B3BA5">
        <w:t xml:space="preserve"> or an unlinked participant group must not upgrade Q6c for the current endpoint</w:t>
      </w:r>
    </w:p>
    <w:tbl>
      <w:tblPr>
        <w:tblStyle w:val="TableGrid"/>
        <w:tblW w:w="8931" w:type="dxa"/>
        <w:tblInd w:w="-5" w:type="dxa"/>
        <w:tblBorders>
          <w:top w:val="single" w:sz="12" w:space="0" w:color="auto"/>
          <w:bottom w:val="single" w:sz="12" w:space="0" w:color="auto"/>
        </w:tblBorders>
        <w:tblLayout w:type="fixed"/>
        <w:tblLook w:val="04A0" w:firstRow="1" w:lastRow="0" w:firstColumn="1" w:lastColumn="0" w:noHBand="0" w:noVBand="1"/>
      </w:tblPr>
      <w:tblGrid>
        <w:gridCol w:w="1418"/>
        <w:gridCol w:w="2693"/>
        <w:gridCol w:w="2410"/>
        <w:gridCol w:w="2410"/>
      </w:tblGrid>
      <w:tr w:rsidR="001B3BA5" w:rsidRPr="001B3BA5" w14:paraId="293E1FAF" w14:textId="51DAF9B6" w:rsidTr="001B3BA5">
        <w:tc>
          <w:tcPr>
            <w:tcW w:w="1418" w:type="dxa"/>
            <w:tcBorders>
              <w:top w:val="single" w:sz="12" w:space="0" w:color="auto"/>
              <w:bottom w:val="single" w:sz="12" w:space="0" w:color="auto"/>
            </w:tcBorders>
            <w:vAlign w:val="center"/>
          </w:tcPr>
          <w:p w14:paraId="32D380EB" w14:textId="6974FEB1" w:rsidR="001B3BA5" w:rsidRPr="001B3BA5" w:rsidRDefault="001B3BA5" w:rsidP="0009447F">
            <w:pPr>
              <w:spacing w:before="0" w:after="0"/>
              <w:jc w:val="center"/>
              <w:rPr>
                <w:rFonts w:cs="Times New Roman"/>
                <w:color w:val="153D63" w:themeColor="text2" w:themeTint="E6"/>
                <w:sz w:val="20"/>
                <w:szCs w:val="20"/>
              </w:rPr>
            </w:pPr>
            <w:r w:rsidRPr="001B3BA5">
              <w:rPr>
                <w:rFonts w:cs="Times New Roman"/>
                <w:b/>
                <w:color w:val="153D63" w:themeColor="text2" w:themeTint="E6"/>
                <w:sz w:val="20"/>
                <w:szCs w:val="20"/>
              </w:rPr>
              <w:t>Tier</w:t>
            </w:r>
          </w:p>
        </w:tc>
        <w:tc>
          <w:tcPr>
            <w:tcW w:w="2693" w:type="dxa"/>
            <w:tcBorders>
              <w:top w:val="single" w:sz="12" w:space="0" w:color="auto"/>
              <w:bottom w:val="single" w:sz="12" w:space="0" w:color="auto"/>
            </w:tcBorders>
            <w:vAlign w:val="center"/>
          </w:tcPr>
          <w:p w14:paraId="77059481" w14:textId="7B524DF8" w:rsidR="001B3BA5" w:rsidRPr="001B3BA5" w:rsidRDefault="001B3BA5" w:rsidP="0009447F">
            <w:pPr>
              <w:spacing w:before="0" w:after="0"/>
              <w:jc w:val="center"/>
              <w:rPr>
                <w:rFonts w:cs="Times New Roman"/>
                <w:color w:val="153D63" w:themeColor="text2" w:themeTint="E6"/>
                <w:sz w:val="20"/>
                <w:szCs w:val="20"/>
              </w:rPr>
            </w:pPr>
            <w:r w:rsidRPr="001B3BA5">
              <w:rPr>
                <w:rFonts w:cs="Times New Roman"/>
                <w:b/>
                <w:color w:val="153D63" w:themeColor="text2" w:themeTint="E6"/>
                <w:sz w:val="20"/>
                <w:szCs w:val="20"/>
              </w:rPr>
              <w:t>Controlled meaning</w:t>
            </w:r>
          </w:p>
        </w:tc>
        <w:tc>
          <w:tcPr>
            <w:tcW w:w="2410" w:type="dxa"/>
            <w:tcBorders>
              <w:top w:val="single" w:sz="12" w:space="0" w:color="auto"/>
              <w:bottom w:val="single" w:sz="12" w:space="0" w:color="auto"/>
            </w:tcBorders>
            <w:vAlign w:val="center"/>
          </w:tcPr>
          <w:p w14:paraId="2C1F109A" w14:textId="3FAECE5E" w:rsidR="001B3BA5" w:rsidRPr="001B3BA5" w:rsidRDefault="001B3BA5" w:rsidP="0009447F">
            <w:pPr>
              <w:spacing w:before="0" w:after="0"/>
              <w:jc w:val="center"/>
              <w:rPr>
                <w:rFonts w:cs="Times New Roman"/>
                <w:color w:val="153D63" w:themeColor="text2" w:themeTint="E6"/>
                <w:sz w:val="20"/>
                <w:szCs w:val="20"/>
              </w:rPr>
            </w:pPr>
            <w:r w:rsidRPr="001B3BA5">
              <w:rPr>
                <w:rFonts w:cs="Times New Roman"/>
                <w:b/>
                <w:color w:val="153D63" w:themeColor="text2" w:themeTint="E6"/>
                <w:sz w:val="20"/>
                <w:szCs w:val="20"/>
              </w:rPr>
              <w:t>Direct-detection interpretation</w:t>
            </w:r>
          </w:p>
        </w:tc>
        <w:tc>
          <w:tcPr>
            <w:tcW w:w="2410" w:type="dxa"/>
            <w:tcBorders>
              <w:top w:val="single" w:sz="12" w:space="0" w:color="auto"/>
              <w:bottom w:val="single" w:sz="12" w:space="0" w:color="auto"/>
            </w:tcBorders>
          </w:tcPr>
          <w:p w14:paraId="58AAA298" w14:textId="4611D6F0" w:rsidR="001B3BA5" w:rsidRPr="001B3BA5" w:rsidRDefault="001B3BA5" w:rsidP="0009447F">
            <w:pPr>
              <w:spacing w:before="0" w:after="0"/>
              <w:jc w:val="center"/>
              <w:rPr>
                <w:rFonts w:cs="Times New Roman"/>
                <w:b/>
                <w:color w:val="153D63" w:themeColor="text2" w:themeTint="E6"/>
                <w:sz w:val="20"/>
                <w:szCs w:val="20"/>
              </w:rPr>
            </w:pPr>
            <w:r w:rsidRPr="001B3BA5">
              <w:rPr>
                <w:rFonts w:cs="Times New Roman"/>
                <w:b/>
                <w:color w:val="153D63" w:themeColor="text2" w:themeTint="E6"/>
                <w:sz w:val="20"/>
                <w:szCs w:val="20"/>
              </w:rPr>
              <w:t>Neutralization interpretation</w:t>
            </w:r>
          </w:p>
        </w:tc>
      </w:tr>
      <w:tr w:rsidR="001B3BA5" w:rsidRPr="001B3BA5" w14:paraId="54AB4B06" w14:textId="252C7524" w:rsidTr="001B3BA5">
        <w:tc>
          <w:tcPr>
            <w:tcW w:w="1418" w:type="dxa"/>
            <w:tcBorders>
              <w:top w:val="single" w:sz="12" w:space="0" w:color="auto"/>
            </w:tcBorders>
            <w:vAlign w:val="center"/>
          </w:tcPr>
          <w:p w14:paraId="05072C4A" w14:textId="6D72F5D4" w:rsidR="001B3BA5" w:rsidRPr="001B3BA5" w:rsidRDefault="001B3BA5" w:rsidP="001B3BA5">
            <w:pPr>
              <w:spacing w:before="0" w:after="0"/>
              <w:jc w:val="left"/>
              <w:rPr>
                <w:rFonts w:cs="Times New Roman"/>
                <w:sz w:val="20"/>
                <w:szCs w:val="20"/>
              </w:rPr>
            </w:pPr>
            <w:r w:rsidRPr="001B3BA5">
              <w:rPr>
                <w:sz w:val="20"/>
                <w:szCs w:val="20"/>
              </w:rPr>
              <w:t>A - primary endpoint</w:t>
            </w:r>
          </w:p>
        </w:tc>
        <w:tc>
          <w:tcPr>
            <w:tcW w:w="2693" w:type="dxa"/>
            <w:tcBorders>
              <w:top w:val="single" w:sz="12" w:space="0" w:color="auto"/>
            </w:tcBorders>
            <w:vAlign w:val="center"/>
          </w:tcPr>
          <w:p w14:paraId="7F3ACC0D" w14:textId="6E4DC371" w:rsidR="001B3BA5" w:rsidRPr="001B3BA5" w:rsidRDefault="001B3BA5" w:rsidP="001B3BA5">
            <w:pPr>
              <w:spacing w:before="0" w:after="0"/>
              <w:jc w:val="left"/>
              <w:rPr>
                <w:rFonts w:cs="Times New Roman"/>
                <w:sz w:val="20"/>
                <w:szCs w:val="20"/>
              </w:rPr>
            </w:pPr>
            <w:r w:rsidRPr="001B3BA5">
              <w:rPr>
                <w:sz w:val="20"/>
                <w:szCs w:val="20"/>
              </w:rPr>
              <w:t>Direct detection or neutralization itself is the endpoint-defining assay; this is not a confirmation tier.</w:t>
            </w:r>
          </w:p>
        </w:tc>
        <w:tc>
          <w:tcPr>
            <w:tcW w:w="2410" w:type="dxa"/>
            <w:tcBorders>
              <w:top w:val="single" w:sz="12" w:space="0" w:color="auto"/>
            </w:tcBorders>
            <w:vAlign w:val="center"/>
          </w:tcPr>
          <w:p w14:paraId="0DB2FF45" w14:textId="384FC8F4" w:rsidR="001B3BA5" w:rsidRPr="001B3BA5" w:rsidRDefault="001B3BA5" w:rsidP="001B3BA5">
            <w:pPr>
              <w:spacing w:before="0" w:after="0"/>
              <w:jc w:val="left"/>
              <w:rPr>
                <w:rFonts w:cs="Times New Roman"/>
                <w:sz w:val="20"/>
                <w:szCs w:val="20"/>
              </w:rPr>
            </w:pPr>
            <w:r w:rsidRPr="001B3BA5">
              <w:rPr>
                <w:sz w:val="20"/>
                <w:szCs w:val="20"/>
              </w:rPr>
              <w:t>Direct-positive / directly tested denominator.</w:t>
            </w:r>
          </w:p>
        </w:tc>
        <w:tc>
          <w:tcPr>
            <w:tcW w:w="2410" w:type="dxa"/>
            <w:tcBorders>
              <w:top w:val="single" w:sz="12" w:space="0" w:color="auto"/>
            </w:tcBorders>
            <w:vAlign w:val="center"/>
          </w:tcPr>
          <w:p w14:paraId="3596AA57" w14:textId="67DCF8B4" w:rsidR="001B3BA5" w:rsidRPr="001B3BA5" w:rsidRDefault="001B3BA5" w:rsidP="001B3BA5">
            <w:pPr>
              <w:spacing w:before="0" w:after="0"/>
              <w:jc w:val="left"/>
              <w:rPr>
                <w:rFonts w:cs="Times New Roman"/>
                <w:sz w:val="20"/>
                <w:szCs w:val="20"/>
              </w:rPr>
            </w:pPr>
            <w:r w:rsidRPr="001B3BA5">
              <w:rPr>
                <w:sz w:val="20"/>
                <w:szCs w:val="20"/>
              </w:rPr>
              <w:t>Neutralization-positive / neutralization-tested denominator.</w:t>
            </w:r>
          </w:p>
        </w:tc>
      </w:tr>
      <w:tr w:rsidR="001B3BA5" w:rsidRPr="001B3BA5" w14:paraId="3E80397B" w14:textId="70119149" w:rsidTr="001B3BA5">
        <w:tc>
          <w:tcPr>
            <w:tcW w:w="1418" w:type="dxa"/>
            <w:shd w:val="clear" w:color="auto" w:fill="E6F0FA"/>
            <w:vAlign w:val="center"/>
          </w:tcPr>
          <w:p w14:paraId="03EDA57A" w14:textId="06275FD1" w:rsidR="001B3BA5" w:rsidRPr="001B3BA5" w:rsidRDefault="001B3BA5" w:rsidP="001B3BA5">
            <w:pPr>
              <w:spacing w:before="0" w:after="0"/>
              <w:jc w:val="left"/>
              <w:rPr>
                <w:rFonts w:cs="Times New Roman"/>
                <w:sz w:val="20"/>
                <w:szCs w:val="20"/>
              </w:rPr>
            </w:pPr>
            <w:r w:rsidRPr="001B3BA5">
              <w:rPr>
                <w:sz w:val="20"/>
                <w:szCs w:val="20"/>
              </w:rPr>
              <w:t>B - complete staged confirmation</w:t>
            </w:r>
          </w:p>
        </w:tc>
        <w:tc>
          <w:tcPr>
            <w:tcW w:w="2693" w:type="dxa"/>
            <w:shd w:val="clear" w:color="auto" w:fill="E6F0FA"/>
            <w:vAlign w:val="center"/>
          </w:tcPr>
          <w:p w14:paraId="4EF1E1B5" w14:textId="2F939B82" w:rsidR="001B3BA5" w:rsidRPr="001B3BA5" w:rsidRDefault="001B3BA5" w:rsidP="001B3BA5">
            <w:pPr>
              <w:spacing w:before="0" w:after="0"/>
              <w:jc w:val="left"/>
              <w:rPr>
                <w:rFonts w:cs="Times New Roman"/>
                <w:sz w:val="20"/>
                <w:szCs w:val="20"/>
              </w:rPr>
            </w:pPr>
            <w:r w:rsidRPr="001B3BA5">
              <w:rPr>
                <w:sz w:val="20"/>
                <w:szCs w:val="20"/>
              </w:rPr>
              <w:t>A predefined screen is used and all participants requiring confirmation under the rule complete the required confirmatory assay.</w:t>
            </w:r>
          </w:p>
        </w:tc>
        <w:tc>
          <w:tcPr>
            <w:tcW w:w="2410" w:type="dxa"/>
            <w:shd w:val="clear" w:color="auto" w:fill="E6F0FA"/>
            <w:vAlign w:val="center"/>
          </w:tcPr>
          <w:p w14:paraId="306CB2EC" w14:textId="4CC1A81C" w:rsidR="001B3BA5" w:rsidRPr="001B3BA5" w:rsidRDefault="001B3BA5" w:rsidP="001B3BA5">
            <w:pPr>
              <w:spacing w:before="0" w:after="0"/>
              <w:jc w:val="left"/>
              <w:rPr>
                <w:rFonts w:cs="Times New Roman"/>
                <w:sz w:val="20"/>
                <w:szCs w:val="20"/>
              </w:rPr>
            </w:pPr>
            <w:r w:rsidRPr="001B3BA5">
              <w:rPr>
                <w:sz w:val="20"/>
                <w:szCs w:val="20"/>
              </w:rPr>
              <w:t>Final algorithm-positive numerator / all participants entering the complete screening algorithm, when article reports the staged endpoint.</w:t>
            </w:r>
          </w:p>
        </w:tc>
        <w:tc>
          <w:tcPr>
            <w:tcW w:w="2410" w:type="dxa"/>
            <w:shd w:val="clear" w:color="auto" w:fill="E6F0FA"/>
            <w:vAlign w:val="center"/>
          </w:tcPr>
          <w:p w14:paraId="6CFF9ADF" w14:textId="3C5B2ADD" w:rsidR="001B3BA5" w:rsidRPr="001B3BA5" w:rsidRDefault="001B3BA5" w:rsidP="001B3BA5">
            <w:pPr>
              <w:spacing w:before="0" w:after="0"/>
              <w:jc w:val="left"/>
              <w:rPr>
                <w:rFonts w:cs="Times New Roman"/>
                <w:sz w:val="20"/>
                <w:szCs w:val="20"/>
              </w:rPr>
            </w:pPr>
            <w:r w:rsidRPr="001B3BA5">
              <w:rPr>
                <w:sz w:val="20"/>
                <w:szCs w:val="20"/>
              </w:rPr>
              <w:t>Final screen-plus-neutralization-positive numerator / all participants entering the complete screening algorithm.</w:t>
            </w:r>
          </w:p>
        </w:tc>
      </w:tr>
      <w:tr w:rsidR="001B3BA5" w:rsidRPr="001B3BA5" w14:paraId="57C02A97" w14:textId="24E558DF" w:rsidTr="001B3BA5">
        <w:tc>
          <w:tcPr>
            <w:tcW w:w="1418" w:type="dxa"/>
            <w:vAlign w:val="center"/>
          </w:tcPr>
          <w:p w14:paraId="00C34FB7" w14:textId="2B680773" w:rsidR="001B3BA5" w:rsidRPr="001B3BA5" w:rsidRDefault="001B3BA5" w:rsidP="001B3BA5">
            <w:pPr>
              <w:spacing w:before="0" w:after="0"/>
              <w:jc w:val="left"/>
              <w:rPr>
                <w:rFonts w:cs="Times New Roman"/>
                <w:sz w:val="20"/>
                <w:szCs w:val="20"/>
              </w:rPr>
            </w:pPr>
            <w:r w:rsidRPr="001B3BA5">
              <w:rPr>
                <w:sz w:val="20"/>
                <w:szCs w:val="20"/>
              </w:rPr>
              <w:t>C - predefined representative subset</w:t>
            </w:r>
          </w:p>
        </w:tc>
        <w:tc>
          <w:tcPr>
            <w:tcW w:w="2693" w:type="dxa"/>
            <w:vAlign w:val="center"/>
          </w:tcPr>
          <w:p w14:paraId="5FD5D14E" w14:textId="50F29B39" w:rsidR="001B3BA5" w:rsidRPr="001B3BA5" w:rsidRDefault="001B3BA5" w:rsidP="001B3BA5">
            <w:pPr>
              <w:spacing w:before="0" w:after="0"/>
              <w:jc w:val="left"/>
              <w:rPr>
                <w:rFonts w:cs="Times New Roman"/>
                <w:sz w:val="20"/>
                <w:szCs w:val="20"/>
              </w:rPr>
            </w:pPr>
            <w:r w:rsidRPr="001B3BA5">
              <w:rPr>
                <w:sz w:val="20"/>
                <w:szCs w:val="20"/>
              </w:rPr>
              <w:t>Only a predefined representative/random subset of eligible screen-positive or otherwise eligible participants is confirmed.</w:t>
            </w:r>
          </w:p>
        </w:tc>
        <w:tc>
          <w:tcPr>
            <w:tcW w:w="2410" w:type="dxa"/>
            <w:vAlign w:val="center"/>
          </w:tcPr>
          <w:p w14:paraId="28CB9586" w14:textId="0639A863" w:rsidR="001B3BA5" w:rsidRPr="001B3BA5" w:rsidRDefault="001B3BA5" w:rsidP="001B3BA5">
            <w:pPr>
              <w:spacing w:before="0" w:after="0"/>
              <w:jc w:val="left"/>
              <w:rPr>
                <w:rFonts w:cs="Times New Roman"/>
                <w:sz w:val="20"/>
                <w:szCs w:val="20"/>
              </w:rPr>
            </w:pPr>
            <w:r w:rsidRPr="001B3BA5">
              <w:rPr>
                <w:sz w:val="20"/>
                <w:szCs w:val="20"/>
              </w:rPr>
              <w:t>Raw confirmed positives / directly tested verification subset; design-weighted estimate may be stored separately.</w:t>
            </w:r>
          </w:p>
        </w:tc>
        <w:tc>
          <w:tcPr>
            <w:tcW w:w="2410" w:type="dxa"/>
            <w:vAlign w:val="center"/>
          </w:tcPr>
          <w:p w14:paraId="0D8F203B" w14:textId="6CFD86CC" w:rsidR="001B3BA5" w:rsidRPr="001B3BA5" w:rsidRDefault="001B3BA5" w:rsidP="001B3BA5">
            <w:pPr>
              <w:spacing w:before="0" w:after="0"/>
              <w:jc w:val="left"/>
              <w:rPr>
                <w:rFonts w:cs="Times New Roman"/>
                <w:sz w:val="20"/>
                <w:szCs w:val="20"/>
              </w:rPr>
            </w:pPr>
            <w:r w:rsidRPr="001B3BA5">
              <w:rPr>
                <w:sz w:val="20"/>
                <w:szCs w:val="20"/>
              </w:rPr>
              <w:t>Raw neutralization positives / neutralization-tested verification subset; design-weighted estimate may be stored separately.</w:t>
            </w:r>
          </w:p>
        </w:tc>
      </w:tr>
      <w:tr w:rsidR="001B3BA5" w:rsidRPr="001B3BA5" w14:paraId="5C2EEB39" w14:textId="46D43A45" w:rsidTr="001B3BA5">
        <w:tc>
          <w:tcPr>
            <w:tcW w:w="1418" w:type="dxa"/>
            <w:shd w:val="clear" w:color="auto" w:fill="E6F0FA"/>
            <w:vAlign w:val="center"/>
          </w:tcPr>
          <w:p w14:paraId="74945CE6" w14:textId="29A13448" w:rsidR="001B3BA5" w:rsidRPr="001B3BA5" w:rsidRDefault="001B3BA5" w:rsidP="001B3BA5">
            <w:pPr>
              <w:spacing w:before="0" w:after="0"/>
              <w:jc w:val="left"/>
              <w:rPr>
                <w:rFonts w:cs="Times New Roman"/>
                <w:sz w:val="20"/>
                <w:szCs w:val="20"/>
              </w:rPr>
            </w:pPr>
            <w:r w:rsidRPr="001B3BA5">
              <w:rPr>
                <w:sz w:val="20"/>
                <w:szCs w:val="20"/>
              </w:rPr>
              <w:t>D - selected or mixed verification</w:t>
            </w:r>
          </w:p>
        </w:tc>
        <w:tc>
          <w:tcPr>
            <w:tcW w:w="2693" w:type="dxa"/>
            <w:shd w:val="clear" w:color="auto" w:fill="E6F0FA"/>
            <w:vAlign w:val="center"/>
          </w:tcPr>
          <w:p w14:paraId="7ABCE63A" w14:textId="285F6814" w:rsidR="001B3BA5" w:rsidRPr="001B3BA5" w:rsidRDefault="001B3BA5" w:rsidP="001B3BA5">
            <w:pPr>
              <w:spacing w:before="0" w:after="0"/>
              <w:jc w:val="left"/>
              <w:rPr>
                <w:rFonts w:cs="Times New Roman"/>
                <w:sz w:val="20"/>
                <w:szCs w:val="20"/>
              </w:rPr>
            </w:pPr>
            <w:r w:rsidRPr="001B3BA5">
              <w:rPr>
                <w:sz w:val="20"/>
                <w:szCs w:val="20"/>
              </w:rPr>
              <w:t>Confirmation depends on symptoms, titre, severity, specimen availability, investigator choice or a non-reconstructable mixed scheme.</w:t>
            </w:r>
          </w:p>
        </w:tc>
        <w:tc>
          <w:tcPr>
            <w:tcW w:w="2410" w:type="dxa"/>
            <w:shd w:val="clear" w:color="auto" w:fill="E6F0FA"/>
            <w:vAlign w:val="center"/>
          </w:tcPr>
          <w:p w14:paraId="3BD936E2" w14:textId="6F288A66" w:rsidR="001B3BA5" w:rsidRPr="001B3BA5" w:rsidRDefault="001B3BA5" w:rsidP="001B3BA5">
            <w:pPr>
              <w:spacing w:before="0" w:after="0"/>
              <w:jc w:val="left"/>
              <w:rPr>
                <w:rFonts w:cs="Times New Roman"/>
                <w:sz w:val="20"/>
                <w:szCs w:val="20"/>
              </w:rPr>
            </w:pPr>
            <w:r w:rsidRPr="001B3BA5">
              <w:rPr>
                <w:sz w:val="20"/>
                <w:szCs w:val="20"/>
              </w:rPr>
              <w:t>Use the selected directly tested subset only; no unrestricted molecular prevalence.</w:t>
            </w:r>
          </w:p>
        </w:tc>
        <w:tc>
          <w:tcPr>
            <w:tcW w:w="2410" w:type="dxa"/>
            <w:shd w:val="clear" w:color="auto" w:fill="E6F0FA"/>
            <w:vAlign w:val="center"/>
          </w:tcPr>
          <w:p w14:paraId="56CC43CE" w14:textId="015261AC" w:rsidR="001B3BA5" w:rsidRPr="001B3BA5" w:rsidRDefault="001B3BA5" w:rsidP="001B3BA5">
            <w:pPr>
              <w:spacing w:before="0" w:after="0"/>
              <w:jc w:val="left"/>
              <w:rPr>
                <w:rFonts w:cs="Times New Roman"/>
                <w:sz w:val="20"/>
                <w:szCs w:val="20"/>
              </w:rPr>
            </w:pPr>
            <w:r w:rsidRPr="001B3BA5">
              <w:rPr>
                <w:sz w:val="20"/>
                <w:szCs w:val="20"/>
              </w:rPr>
              <w:t>Use the selected neutralization-tested subset only; no unrestricted neutralizing-antibody prevalence.</w:t>
            </w:r>
          </w:p>
        </w:tc>
      </w:tr>
      <w:tr w:rsidR="001B3BA5" w:rsidRPr="001B3BA5" w14:paraId="1D7A9EC2" w14:textId="75520E66" w:rsidTr="001B3BA5">
        <w:tc>
          <w:tcPr>
            <w:tcW w:w="1418" w:type="dxa"/>
            <w:vAlign w:val="center"/>
          </w:tcPr>
          <w:p w14:paraId="1DD437B9" w14:textId="51D6529B" w:rsidR="001B3BA5" w:rsidRPr="001B3BA5" w:rsidRDefault="001B3BA5" w:rsidP="001B3BA5">
            <w:pPr>
              <w:spacing w:before="0" w:after="0"/>
              <w:jc w:val="left"/>
              <w:rPr>
                <w:rFonts w:cs="Times New Roman"/>
                <w:sz w:val="20"/>
                <w:szCs w:val="20"/>
              </w:rPr>
            </w:pPr>
            <w:r w:rsidRPr="001B3BA5">
              <w:rPr>
                <w:sz w:val="20"/>
                <w:szCs w:val="20"/>
              </w:rPr>
              <w:t>E - unresolved</w:t>
            </w:r>
          </w:p>
        </w:tc>
        <w:tc>
          <w:tcPr>
            <w:tcW w:w="2693" w:type="dxa"/>
            <w:vAlign w:val="center"/>
          </w:tcPr>
          <w:p w14:paraId="716A82A7" w14:textId="262BF11B" w:rsidR="001B3BA5" w:rsidRPr="001B3BA5" w:rsidRDefault="001B3BA5" w:rsidP="001B3BA5">
            <w:pPr>
              <w:spacing w:before="0" w:after="0"/>
              <w:jc w:val="left"/>
              <w:rPr>
                <w:rFonts w:cs="Times New Roman"/>
                <w:sz w:val="20"/>
                <w:szCs w:val="20"/>
              </w:rPr>
            </w:pPr>
            <w:r w:rsidRPr="001B3BA5">
              <w:rPr>
                <w:sz w:val="20"/>
                <w:szCs w:val="20"/>
              </w:rPr>
              <w:t xml:space="preserve">Confirmation denominator, participant </w:t>
            </w:r>
            <w:proofErr w:type="gramStart"/>
            <w:r w:rsidRPr="001B3BA5">
              <w:rPr>
                <w:sz w:val="20"/>
                <w:szCs w:val="20"/>
              </w:rPr>
              <w:t>linkage</w:t>
            </w:r>
            <w:proofErr w:type="gramEnd"/>
            <w:r w:rsidRPr="001B3BA5">
              <w:rPr>
                <w:sz w:val="20"/>
                <w:szCs w:val="20"/>
              </w:rPr>
              <w:t xml:space="preserve"> or selection mechanism cannot be verified.</w:t>
            </w:r>
          </w:p>
        </w:tc>
        <w:tc>
          <w:tcPr>
            <w:tcW w:w="2410" w:type="dxa"/>
            <w:vAlign w:val="center"/>
          </w:tcPr>
          <w:p w14:paraId="1E2347B1" w14:textId="7ECD68C1" w:rsidR="001B3BA5" w:rsidRPr="001B3BA5" w:rsidRDefault="001B3BA5" w:rsidP="001B3BA5">
            <w:pPr>
              <w:spacing w:before="0" w:after="0"/>
              <w:jc w:val="left"/>
              <w:rPr>
                <w:rFonts w:cs="Times New Roman"/>
                <w:sz w:val="20"/>
                <w:szCs w:val="20"/>
              </w:rPr>
            </w:pPr>
            <w:r w:rsidRPr="001B3BA5">
              <w:rPr>
                <w:sz w:val="20"/>
                <w:szCs w:val="20"/>
              </w:rPr>
              <w:t>No confirmation-based prevalence. Primary endpoint may still be extractable if its own n/N are clear.</w:t>
            </w:r>
          </w:p>
        </w:tc>
        <w:tc>
          <w:tcPr>
            <w:tcW w:w="2410" w:type="dxa"/>
            <w:vAlign w:val="center"/>
          </w:tcPr>
          <w:p w14:paraId="67FF53B7" w14:textId="2938AD0D" w:rsidR="001B3BA5" w:rsidRPr="001B3BA5" w:rsidRDefault="001B3BA5" w:rsidP="001B3BA5">
            <w:pPr>
              <w:spacing w:before="0" w:after="0"/>
              <w:jc w:val="left"/>
              <w:rPr>
                <w:rFonts w:cs="Times New Roman"/>
                <w:sz w:val="20"/>
                <w:szCs w:val="20"/>
              </w:rPr>
            </w:pPr>
            <w:r w:rsidRPr="001B3BA5">
              <w:rPr>
                <w:sz w:val="20"/>
                <w:szCs w:val="20"/>
              </w:rPr>
              <w:t>No confirmation-based prevalence. Primary endpoint may still be extractable if its own n/N are clear.</w:t>
            </w:r>
          </w:p>
        </w:tc>
      </w:tr>
    </w:tbl>
    <w:p w14:paraId="24CD61B9" w14:textId="5649A297" w:rsidR="00A865D6" w:rsidRDefault="001B3BA5" w:rsidP="001B3BA5">
      <w:pPr>
        <w:pStyle w:val="Heading2"/>
      </w:pPr>
      <w:r>
        <w:t xml:space="preserve">3.5 </w:t>
      </w:r>
      <w:r w:rsidRPr="001B3BA5">
        <w:t>App-executable primary-assay/confirmatory-path decision table</w:t>
      </w:r>
    </w:p>
    <w:p w14:paraId="5EDC90A5" w14:textId="03CA9F37" w:rsidR="00382D5E" w:rsidRDefault="001B3BA5" w:rsidP="005A1CA7">
      <w:r w:rsidRPr="001B3BA5">
        <w:t>Apply the rows in priority order. Once a row establishes the role of the assay/pathway for the current endpoint, downstream scoring must use that classification unless a separate endpoint record is created.</w:t>
      </w:r>
    </w:p>
    <w:tbl>
      <w:tblPr>
        <w:tblStyle w:val="TableGridLight"/>
        <w:tblW w:w="891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679"/>
        <w:gridCol w:w="1428"/>
        <w:gridCol w:w="2399"/>
        <w:gridCol w:w="2410"/>
      </w:tblGrid>
      <w:tr w:rsidR="001B3BA5" w:rsidRPr="001B3BA5" w14:paraId="6D40B129" w14:textId="77777777" w:rsidTr="00A208CC">
        <w:tc>
          <w:tcPr>
            <w:tcW w:w="2679" w:type="dxa"/>
            <w:vAlign w:val="center"/>
          </w:tcPr>
          <w:p w14:paraId="56D27360" w14:textId="77777777" w:rsidR="001B3BA5" w:rsidRPr="001B3BA5" w:rsidRDefault="001B3BA5" w:rsidP="00A208CC">
            <w:pPr>
              <w:spacing w:before="0" w:after="0"/>
              <w:jc w:val="center"/>
              <w:rPr>
                <w:rFonts w:cs="Times New Roman"/>
                <w:b/>
                <w:color w:val="0F4761" w:themeColor="accent1" w:themeShade="BF"/>
                <w:sz w:val="20"/>
                <w:szCs w:val="20"/>
              </w:rPr>
            </w:pPr>
            <w:r w:rsidRPr="001B3BA5">
              <w:rPr>
                <w:rFonts w:cs="Times New Roman"/>
                <w:b/>
                <w:color w:val="0F4761" w:themeColor="accent1" w:themeShade="BF"/>
                <w:sz w:val="20"/>
                <w:szCs w:val="20"/>
              </w:rPr>
              <w:t>Priority / condition</w:t>
            </w:r>
          </w:p>
        </w:tc>
        <w:tc>
          <w:tcPr>
            <w:tcW w:w="1428" w:type="dxa"/>
            <w:vAlign w:val="center"/>
          </w:tcPr>
          <w:p w14:paraId="62A11399" w14:textId="77777777" w:rsidR="001B3BA5" w:rsidRPr="001B3BA5" w:rsidRDefault="001B3BA5" w:rsidP="00A208CC">
            <w:pPr>
              <w:spacing w:before="0" w:after="0"/>
              <w:jc w:val="center"/>
              <w:rPr>
                <w:rFonts w:cs="Times New Roman"/>
                <w:b/>
                <w:color w:val="0F4761" w:themeColor="accent1" w:themeShade="BF"/>
                <w:sz w:val="20"/>
                <w:szCs w:val="20"/>
              </w:rPr>
            </w:pPr>
            <w:r w:rsidRPr="001B3BA5">
              <w:rPr>
                <w:rFonts w:cs="Times New Roman"/>
                <w:b/>
                <w:color w:val="0F4761" w:themeColor="accent1" w:themeShade="BF"/>
                <w:sz w:val="20"/>
                <w:szCs w:val="20"/>
              </w:rPr>
              <w:t>App classification</w:t>
            </w:r>
          </w:p>
        </w:tc>
        <w:tc>
          <w:tcPr>
            <w:tcW w:w="2399" w:type="dxa"/>
            <w:vAlign w:val="center"/>
          </w:tcPr>
          <w:p w14:paraId="5879B9BC" w14:textId="77777777" w:rsidR="001B3BA5" w:rsidRPr="001B3BA5" w:rsidRDefault="001B3BA5" w:rsidP="00A208CC">
            <w:pPr>
              <w:spacing w:before="0" w:after="0"/>
              <w:jc w:val="center"/>
              <w:rPr>
                <w:rFonts w:cs="Times New Roman"/>
                <w:b/>
                <w:color w:val="0F4761" w:themeColor="accent1" w:themeShade="BF"/>
                <w:sz w:val="20"/>
                <w:szCs w:val="20"/>
              </w:rPr>
            </w:pPr>
            <w:r w:rsidRPr="001B3BA5">
              <w:rPr>
                <w:rFonts w:cs="Times New Roman"/>
                <w:b/>
                <w:color w:val="0F4761" w:themeColor="accent1" w:themeShade="BF"/>
                <w:sz w:val="20"/>
                <w:szCs w:val="20"/>
              </w:rPr>
              <w:t>Numerator-denominator action</w:t>
            </w:r>
          </w:p>
        </w:tc>
        <w:tc>
          <w:tcPr>
            <w:tcW w:w="2410" w:type="dxa"/>
            <w:vAlign w:val="center"/>
          </w:tcPr>
          <w:p w14:paraId="50D74361" w14:textId="77777777" w:rsidR="001B3BA5" w:rsidRPr="001B3BA5" w:rsidRDefault="001B3BA5" w:rsidP="00A208CC">
            <w:pPr>
              <w:spacing w:before="0" w:after="0"/>
              <w:jc w:val="center"/>
              <w:rPr>
                <w:rFonts w:cs="Times New Roman"/>
                <w:b/>
                <w:color w:val="0F4761" w:themeColor="accent1" w:themeShade="BF"/>
                <w:sz w:val="20"/>
                <w:szCs w:val="20"/>
              </w:rPr>
            </w:pPr>
            <w:r w:rsidRPr="001B3BA5">
              <w:rPr>
                <w:rFonts w:cs="Times New Roman"/>
                <w:b/>
                <w:color w:val="0F4761" w:themeColor="accent1" w:themeShade="BF"/>
                <w:sz w:val="20"/>
                <w:szCs w:val="20"/>
              </w:rPr>
              <w:t>Mandatory scoring/validation rule</w:t>
            </w:r>
          </w:p>
        </w:tc>
      </w:tr>
      <w:tr w:rsidR="001B3BA5" w:rsidRPr="001B3BA5" w14:paraId="744A1FDB" w14:textId="77777777" w:rsidTr="00A208CC">
        <w:trPr>
          <w:trHeight w:val="576"/>
        </w:trPr>
        <w:tc>
          <w:tcPr>
            <w:tcW w:w="2679" w:type="dxa"/>
            <w:vAlign w:val="center"/>
          </w:tcPr>
          <w:p w14:paraId="65D95253"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1. No observed integer numerator can be tied to a biological result and tested population.</w:t>
            </w:r>
          </w:p>
        </w:tc>
        <w:tc>
          <w:tcPr>
            <w:tcW w:w="1428" w:type="dxa"/>
            <w:vAlign w:val="center"/>
          </w:tcPr>
          <w:p w14:paraId="5D3831A9"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UNRESOLVED_ENDPOINT</w:t>
            </w:r>
          </w:p>
        </w:tc>
        <w:tc>
          <w:tcPr>
            <w:tcW w:w="2399" w:type="dxa"/>
            <w:vAlign w:val="center"/>
          </w:tcPr>
          <w:p w14:paraId="4FD615BB"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Do not reconstruct the event count from a rounded prevalence; retain narrative estimate only if useful.</w:t>
            </w:r>
          </w:p>
        </w:tc>
        <w:tc>
          <w:tcPr>
            <w:tcW w:w="2410" w:type="dxa"/>
            <w:vAlign w:val="center"/>
          </w:tcPr>
          <w:p w14:paraId="630C9201"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Q8=0 for count-based endpoint extraction; flag for adjudication.</w:t>
            </w:r>
          </w:p>
        </w:tc>
      </w:tr>
      <w:tr w:rsidR="001B3BA5" w:rsidRPr="001B3BA5" w14:paraId="47812F0D" w14:textId="77777777" w:rsidTr="00A208CC">
        <w:tc>
          <w:tcPr>
            <w:tcW w:w="2679" w:type="dxa"/>
            <w:vAlign w:val="center"/>
          </w:tcPr>
          <w:p w14:paraId="5AB4F930" w14:textId="2D959497" w:rsidR="001B3BA5" w:rsidRPr="001B3BA5" w:rsidRDefault="001B3BA5" w:rsidP="00A208CC">
            <w:pPr>
              <w:spacing w:before="0" w:after="0"/>
              <w:jc w:val="left"/>
              <w:rPr>
                <w:rFonts w:cs="Times New Roman"/>
                <w:sz w:val="20"/>
                <w:szCs w:val="20"/>
              </w:rPr>
            </w:pPr>
            <w:r w:rsidRPr="001B3BA5">
              <w:rPr>
                <w:rFonts w:cs="Times New Roman"/>
                <w:sz w:val="20"/>
                <w:szCs w:val="20"/>
              </w:rPr>
              <w:t xml:space="preserve">2. One assay result directly creates the current </w:t>
            </w:r>
            <w:r w:rsidR="00A208CC" w:rsidRPr="001B3BA5">
              <w:rPr>
                <w:rFonts w:cs="Times New Roman"/>
                <w:sz w:val="20"/>
                <w:szCs w:val="20"/>
              </w:rPr>
              <w:t>numerator,</w:t>
            </w:r>
            <w:r w:rsidRPr="001B3BA5">
              <w:rPr>
                <w:rFonts w:cs="Times New Roman"/>
                <w:sz w:val="20"/>
                <w:szCs w:val="20"/>
              </w:rPr>
              <w:t xml:space="preserve"> and no downstream test is required for a participant to count positive.</w:t>
            </w:r>
          </w:p>
        </w:tc>
        <w:tc>
          <w:tcPr>
            <w:tcW w:w="1428" w:type="dxa"/>
            <w:vAlign w:val="center"/>
          </w:tcPr>
          <w:p w14:paraId="6BC87E2D"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SINGLE_ASSAY_ENDPOINT</w:t>
            </w:r>
          </w:p>
        </w:tc>
        <w:tc>
          <w:tcPr>
            <w:tcW w:w="2399" w:type="dxa"/>
            <w:vAlign w:val="center"/>
          </w:tcPr>
          <w:p w14:paraId="059D7917"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Primary-assay positives / participants tested by that assay.</w:t>
            </w:r>
          </w:p>
        </w:tc>
        <w:tc>
          <w:tcPr>
            <w:tcW w:w="2410" w:type="dxa"/>
            <w:vAlign w:val="center"/>
          </w:tcPr>
          <w:p w14:paraId="053B1AD6"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Q6a/Q6b score the primary assay. Any later independent test is supporting only unless a separate endpoint is created.</w:t>
            </w:r>
          </w:p>
        </w:tc>
      </w:tr>
      <w:tr w:rsidR="001B3BA5" w:rsidRPr="001B3BA5" w14:paraId="610EB70B" w14:textId="77777777" w:rsidTr="00A208CC">
        <w:tc>
          <w:tcPr>
            <w:tcW w:w="2679" w:type="dxa"/>
            <w:vAlign w:val="center"/>
          </w:tcPr>
          <w:p w14:paraId="41F6DF1D"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lastRenderedPageBreak/>
              <w:t>3. Direct detection (NAAT/virus isolation) or neutralization itself directly creates the current numerator.</w:t>
            </w:r>
          </w:p>
        </w:tc>
        <w:tc>
          <w:tcPr>
            <w:tcW w:w="1428" w:type="dxa"/>
            <w:vAlign w:val="center"/>
          </w:tcPr>
          <w:p w14:paraId="36DA29C3"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TIER_A_PRIMARY_ENDPOINT</w:t>
            </w:r>
          </w:p>
        </w:tc>
        <w:tc>
          <w:tcPr>
            <w:tcW w:w="2399" w:type="dxa"/>
            <w:vAlign w:val="center"/>
          </w:tcPr>
          <w:p w14:paraId="6A80E997"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Direct/neutralization positives / directly tested participants.</w:t>
            </w:r>
          </w:p>
        </w:tc>
        <w:tc>
          <w:tcPr>
            <w:tcW w:w="2410" w:type="dxa"/>
            <w:vAlign w:val="center"/>
          </w:tcPr>
          <w:p w14:paraId="6E8E3832"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Classify population vs representative/selected/unresolved measurement pathway separately. A second independent method is required for Q6c &gt; 0.</w:t>
            </w:r>
          </w:p>
        </w:tc>
      </w:tr>
      <w:tr w:rsidR="001B3BA5" w:rsidRPr="001B3BA5" w14:paraId="7F110AA7" w14:textId="77777777" w:rsidTr="00A208CC">
        <w:tc>
          <w:tcPr>
            <w:tcW w:w="2679" w:type="dxa"/>
            <w:vAlign w:val="center"/>
          </w:tcPr>
          <w:p w14:paraId="0C911BF5" w14:textId="07681020" w:rsidR="001B3BA5" w:rsidRPr="001B3BA5" w:rsidRDefault="001B3BA5" w:rsidP="00A208CC">
            <w:pPr>
              <w:spacing w:before="0" w:after="0"/>
              <w:jc w:val="left"/>
              <w:rPr>
                <w:rFonts w:cs="Times New Roman"/>
                <w:sz w:val="20"/>
                <w:szCs w:val="20"/>
              </w:rPr>
            </w:pPr>
            <w:r w:rsidRPr="001B3BA5">
              <w:rPr>
                <w:rFonts w:cs="Times New Roman"/>
                <w:sz w:val="20"/>
                <w:szCs w:val="20"/>
              </w:rPr>
              <w:t xml:space="preserve">4. A later assay verifies the same </w:t>
            </w:r>
            <w:r w:rsidR="00A208CC" w:rsidRPr="001B3BA5">
              <w:rPr>
                <w:rFonts w:cs="Times New Roman"/>
                <w:sz w:val="20"/>
                <w:szCs w:val="20"/>
              </w:rPr>
              <w:t>endpoint,</w:t>
            </w:r>
            <w:r w:rsidRPr="001B3BA5">
              <w:rPr>
                <w:rFonts w:cs="Times New Roman"/>
                <w:sz w:val="20"/>
                <w:szCs w:val="20"/>
              </w:rPr>
              <w:t xml:space="preserve"> but the current numerator remains the primary-assay positive count.</w:t>
            </w:r>
          </w:p>
        </w:tc>
        <w:tc>
          <w:tcPr>
            <w:tcW w:w="1428" w:type="dxa"/>
            <w:vAlign w:val="center"/>
          </w:tcPr>
          <w:p w14:paraId="35EA3C41"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SUPPORTING_CONFIRMATION</w:t>
            </w:r>
          </w:p>
        </w:tc>
        <w:tc>
          <w:tcPr>
            <w:tcW w:w="2399" w:type="dxa"/>
            <w:vAlign w:val="center"/>
          </w:tcPr>
          <w:p w14:paraId="76165091"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Keep the primary endpoint numerator and denominator unchanged.</w:t>
            </w:r>
          </w:p>
        </w:tc>
        <w:tc>
          <w:tcPr>
            <w:tcW w:w="2410" w:type="dxa"/>
            <w:vAlign w:val="center"/>
          </w:tcPr>
          <w:p w14:paraId="511DCB67"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Use for Q6c only when same virus + same endpoint + participant linkage are explicit. Do not overwrite Q6a/Q6b/Q7/Q8 of the primary endpoint.</w:t>
            </w:r>
          </w:p>
        </w:tc>
      </w:tr>
      <w:tr w:rsidR="001B3BA5" w:rsidRPr="001B3BA5" w14:paraId="746E0F97" w14:textId="77777777" w:rsidTr="00A208CC">
        <w:tc>
          <w:tcPr>
            <w:tcW w:w="2679" w:type="dxa"/>
            <w:vAlign w:val="center"/>
          </w:tcPr>
          <w:p w14:paraId="4BD29982"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5. Final positivity explicitly requires a screen plus confirmatory assay, and every participant requiring confirmation completes the rule.</w:t>
            </w:r>
          </w:p>
        </w:tc>
        <w:tc>
          <w:tcPr>
            <w:tcW w:w="1428" w:type="dxa"/>
            <w:vAlign w:val="center"/>
          </w:tcPr>
          <w:p w14:paraId="6957FF58"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STAGED_ALGORITHM / TIER_B</w:t>
            </w:r>
          </w:p>
        </w:tc>
        <w:tc>
          <w:tcPr>
            <w:tcW w:w="2399" w:type="dxa"/>
            <w:vAlign w:val="center"/>
          </w:tcPr>
          <w:p w14:paraId="6FEBBB1E"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Final algorithm-positive count / all participants entering the complete screening algorithm.</w:t>
            </w:r>
          </w:p>
        </w:tc>
        <w:tc>
          <w:tcPr>
            <w:tcW w:w="2410" w:type="dxa"/>
            <w:vAlign w:val="center"/>
          </w:tcPr>
          <w:p w14:paraId="41765A2C"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Score Q5, Q7 and Q8 against completion/consistency of the whole algorithm. Required but missing confirmation is not a negative result.</w:t>
            </w:r>
          </w:p>
        </w:tc>
      </w:tr>
      <w:tr w:rsidR="001B3BA5" w:rsidRPr="001B3BA5" w14:paraId="1A31829C" w14:textId="77777777" w:rsidTr="00A208CC">
        <w:tc>
          <w:tcPr>
            <w:tcW w:w="2679" w:type="dxa"/>
            <w:vAlign w:val="center"/>
          </w:tcPr>
          <w:p w14:paraId="3D590A3E"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6. Confirmation is performed on a predefined representative/random verification subset.</w:t>
            </w:r>
          </w:p>
        </w:tc>
        <w:tc>
          <w:tcPr>
            <w:tcW w:w="1428" w:type="dxa"/>
            <w:vAlign w:val="center"/>
          </w:tcPr>
          <w:p w14:paraId="1BEAC611"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TIER_C_VERIFICATION</w:t>
            </w:r>
          </w:p>
        </w:tc>
        <w:tc>
          <w:tcPr>
            <w:tcW w:w="2399" w:type="dxa"/>
            <w:vAlign w:val="center"/>
          </w:tcPr>
          <w:p w14:paraId="18BD2FFA"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Confirmed positives / confirmatory-tested subset for the observed raw proportion.</w:t>
            </w:r>
          </w:p>
        </w:tc>
        <w:tc>
          <w:tcPr>
            <w:tcW w:w="2410" w:type="dxa"/>
            <w:vAlign w:val="center"/>
          </w:tcPr>
          <w:p w14:paraId="2CE64D55"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Do not divide raw confirmed positives by unrestricted source N. Store valid design-weighted estimator separately when explicitly reported.</w:t>
            </w:r>
          </w:p>
        </w:tc>
      </w:tr>
      <w:tr w:rsidR="001B3BA5" w:rsidRPr="001B3BA5" w14:paraId="48811960" w14:textId="77777777" w:rsidTr="00A208CC">
        <w:tc>
          <w:tcPr>
            <w:tcW w:w="2679" w:type="dxa"/>
            <w:vAlign w:val="center"/>
          </w:tcPr>
          <w:p w14:paraId="786C4E25" w14:textId="0F1B72BE" w:rsidR="001B3BA5" w:rsidRPr="001B3BA5" w:rsidRDefault="001B3BA5" w:rsidP="00A208CC">
            <w:pPr>
              <w:spacing w:before="0" w:after="0"/>
              <w:jc w:val="left"/>
              <w:rPr>
                <w:rFonts w:cs="Times New Roman"/>
                <w:sz w:val="20"/>
                <w:szCs w:val="20"/>
              </w:rPr>
            </w:pPr>
            <w:r w:rsidRPr="001B3BA5">
              <w:rPr>
                <w:rFonts w:cs="Times New Roman"/>
                <w:sz w:val="20"/>
                <w:szCs w:val="20"/>
              </w:rPr>
              <w:t xml:space="preserve">7. Confirmation is performed on a selected or mixed subset based on titre, symptoms, severity, </w:t>
            </w:r>
            <w:r w:rsidR="00A208CC" w:rsidRPr="001B3BA5">
              <w:rPr>
                <w:rFonts w:cs="Times New Roman"/>
                <w:sz w:val="20"/>
                <w:szCs w:val="20"/>
              </w:rPr>
              <w:t>availability,</w:t>
            </w:r>
            <w:r w:rsidRPr="001B3BA5">
              <w:rPr>
                <w:rFonts w:cs="Times New Roman"/>
                <w:sz w:val="20"/>
                <w:szCs w:val="20"/>
              </w:rPr>
              <w:t xml:space="preserve"> or investigator choice.</w:t>
            </w:r>
          </w:p>
        </w:tc>
        <w:tc>
          <w:tcPr>
            <w:tcW w:w="1428" w:type="dxa"/>
            <w:vAlign w:val="center"/>
          </w:tcPr>
          <w:p w14:paraId="6DFED979"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TIER_D_SELECTED_VERIFICATION</w:t>
            </w:r>
          </w:p>
        </w:tc>
        <w:tc>
          <w:tcPr>
            <w:tcW w:w="2399" w:type="dxa"/>
            <w:vAlign w:val="center"/>
          </w:tcPr>
          <w:p w14:paraId="64E9F6DC"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Confirmed positives / participants actually receiving the confirmatory assay.</w:t>
            </w:r>
          </w:p>
        </w:tc>
        <w:tc>
          <w:tcPr>
            <w:tcW w:w="2410" w:type="dxa"/>
            <w:vAlign w:val="center"/>
          </w:tcPr>
          <w:p w14:paraId="7EB03228"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No unrestricted population confirmation prevalence. Confirmation may still support Q6c for the primary endpoint when linkage is valid.</w:t>
            </w:r>
          </w:p>
        </w:tc>
      </w:tr>
      <w:tr w:rsidR="001B3BA5" w:rsidRPr="001B3BA5" w14:paraId="55FED5F8" w14:textId="77777777" w:rsidTr="00A208CC">
        <w:tc>
          <w:tcPr>
            <w:tcW w:w="2679" w:type="dxa"/>
            <w:vAlign w:val="center"/>
          </w:tcPr>
          <w:p w14:paraId="1BB740A2" w14:textId="2A29DC99" w:rsidR="001B3BA5" w:rsidRPr="001B3BA5" w:rsidRDefault="001B3BA5" w:rsidP="00A208CC">
            <w:pPr>
              <w:spacing w:before="0" w:after="0"/>
              <w:jc w:val="left"/>
              <w:rPr>
                <w:rFonts w:cs="Times New Roman"/>
                <w:sz w:val="20"/>
                <w:szCs w:val="20"/>
              </w:rPr>
            </w:pPr>
            <w:r w:rsidRPr="001B3BA5">
              <w:rPr>
                <w:rFonts w:cs="Times New Roman"/>
                <w:sz w:val="20"/>
                <w:szCs w:val="20"/>
              </w:rPr>
              <w:t xml:space="preserve">8. Confirmation denominator, </w:t>
            </w:r>
            <w:r w:rsidR="00A208CC" w:rsidRPr="001B3BA5">
              <w:rPr>
                <w:rFonts w:cs="Times New Roman"/>
                <w:sz w:val="20"/>
                <w:szCs w:val="20"/>
              </w:rPr>
              <w:t>linkage,</w:t>
            </w:r>
            <w:r w:rsidRPr="001B3BA5">
              <w:rPr>
                <w:rFonts w:cs="Times New Roman"/>
                <w:sz w:val="20"/>
                <w:szCs w:val="20"/>
              </w:rPr>
              <w:t xml:space="preserve"> or selection mechanism is not recoverable.</w:t>
            </w:r>
          </w:p>
        </w:tc>
        <w:tc>
          <w:tcPr>
            <w:tcW w:w="1428" w:type="dxa"/>
            <w:vAlign w:val="center"/>
          </w:tcPr>
          <w:p w14:paraId="603748A3"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TIER_E_UNRESOLVED</w:t>
            </w:r>
          </w:p>
        </w:tc>
        <w:tc>
          <w:tcPr>
            <w:tcW w:w="2399" w:type="dxa"/>
            <w:vAlign w:val="center"/>
          </w:tcPr>
          <w:p w14:paraId="43EA817C"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No confirmation-based prevalence can be calculated.</w:t>
            </w:r>
          </w:p>
        </w:tc>
        <w:tc>
          <w:tcPr>
            <w:tcW w:w="2410" w:type="dxa"/>
            <w:vAlign w:val="center"/>
          </w:tcPr>
          <w:p w14:paraId="16765DF2"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Do not improve the current endpoint score merely because a sophisticated confirmation method is mentioned.</w:t>
            </w:r>
          </w:p>
        </w:tc>
      </w:tr>
      <w:tr w:rsidR="001B3BA5" w:rsidRPr="001B3BA5" w14:paraId="2A80C6A4" w14:textId="77777777" w:rsidTr="00A208CC">
        <w:tc>
          <w:tcPr>
            <w:tcW w:w="2679" w:type="dxa"/>
            <w:vAlign w:val="center"/>
          </w:tcPr>
          <w:p w14:paraId="2C6368C1"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9. The later assay has its own distinct observed numerator and tested denominator that correspond to an eligible biological endpoint.</w:t>
            </w:r>
          </w:p>
        </w:tc>
        <w:tc>
          <w:tcPr>
            <w:tcW w:w="1428" w:type="dxa"/>
            <w:vAlign w:val="center"/>
          </w:tcPr>
          <w:p w14:paraId="7CB68FE6"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CREATE_SEPARATE_ENDPOINT_RECORD</w:t>
            </w:r>
          </w:p>
        </w:tc>
        <w:tc>
          <w:tcPr>
            <w:tcW w:w="2399" w:type="dxa"/>
            <w:vAlign w:val="center"/>
          </w:tcPr>
          <w:p w14:paraId="02BB57F4" w14:textId="31921264" w:rsidR="001B3BA5" w:rsidRPr="001B3BA5" w:rsidRDefault="001B3BA5" w:rsidP="00A208CC">
            <w:pPr>
              <w:spacing w:before="0" w:after="0"/>
              <w:jc w:val="left"/>
              <w:rPr>
                <w:rFonts w:cs="Times New Roman"/>
                <w:sz w:val="20"/>
                <w:szCs w:val="20"/>
              </w:rPr>
            </w:pPr>
            <w:r w:rsidRPr="001B3BA5">
              <w:rPr>
                <w:rFonts w:cs="Times New Roman"/>
                <w:sz w:val="20"/>
                <w:szCs w:val="20"/>
              </w:rPr>
              <w:t xml:space="preserve">Extract the second assay outcome using its own numerator, </w:t>
            </w:r>
            <w:r w:rsidR="00A208CC" w:rsidRPr="001B3BA5">
              <w:rPr>
                <w:rFonts w:cs="Times New Roman"/>
                <w:sz w:val="20"/>
                <w:szCs w:val="20"/>
              </w:rPr>
              <w:t>denominator,</w:t>
            </w:r>
            <w:r w:rsidRPr="001B3BA5">
              <w:rPr>
                <w:rFonts w:cs="Times New Roman"/>
                <w:sz w:val="20"/>
                <w:szCs w:val="20"/>
              </w:rPr>
              <w:t xml:space="preserve"> and measurement pathway.</w:t>
            </w:r>
          </w:p>
        </w:tc>
        <w:tc>
          <w:tcPr>
            <w:tcW w:w="2410" w:type="dxa"/>
            <w:vAlign w:val="center"/>
          </w:tcPr>
          <w:p w14:paraId="6829E69B"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Appraise the new endpoint independently. It may simultaneously serve as supporting confirmation for the original endpoint only when the Q6c linkage rule is satisfied.</w:t>
            </w:r>
          </w:p>
        </w:tc>
      </w:tr>
      <w:tr w:rsidR="001B3BA5" w:rsidRPr="001B3BA5" w14:paraId="36C587E7" w14:textId="77777777" w:rsidTr="00A208CC">
        <w:tc>
          <w:tcPr>
            <w:tcW w:w="2679" w:type="dxa"/>
            <w:vAlign w:val="center"/>
          </w:tcPr>
          <w:p w14:paraId="29515580" w14:textId="073A7DB5" w:rsidR="001B3BA5" w:rsidRPr="001B3BA5" w:rsidRDefault="001B3BA5" w:rsidP="00A208CC">
            <w:pPr>
              <w:spacing w:before="0" w:after="0"/>
              <w:jc w:val="left"/>
              <w:rPr>
                <w:rFonts w:cs="Times New Roman"/>
                <w:sz w:val="20"/>
                <w:szCs w:val="20"/>
              </w:rPr>
            </w:pPr>
            <w:r w:rsidRPr="001B3BA5">
              <w:rPr>
                <w:rFonts w:cs="Times New Roman"/>
                <w:sz w:val="20"/>
                <w:szCs w:val="20"/>
              </w:rPr>
              <w:t>10. IgM/IgG, NS1/</w:t>
            </w:r>
            <w:r w:rsidR="00A208CC" w:rsidRPr="001B3BA5">
              <w:rPr>
                <w:rFonts w:cs="Times New Roman"/>
                <w:sz w:val="20"/>
                <w:szCs w:val="20"/>
              </w:rPr>
              <w:t>antibody,</w:t>
            </w:r>
            <w:r w:rsidRPr="001B3BA5">
              <w:rPr>
                <w:rFonts w:cs="Times New Roman"/>
                <w:sz w:val="20"/>
                <w:szCs w:val="20"/>
              </w:rPr>
              <w:t xml:space="preserve"> or other markers are reported only as an inseparable combined positive count without an explicit diagnostic algorithm.</w:t>
            </w:r>
          </w:p>
        </w:tc>
        <w:tc>
          <w:tcPr>
            <w:tcW w:w="1428" w:type="dxa"/>
            <w:vAlign w:val="center"/>
          </w:tcPr>
          <w:p w14:paraId="3049D3C3"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MIXED_OTHER_ENDPOINT</w:t>
            </w:r>
          </w:p>
        </w:tc>
        <w:tc>
          <w:tcPr>
            <w:tcW w:w="2399" w:type="dxa"/>
            <w:vAlign w:val="center"/>
          </w:tcPr>
          <w:p w14:paraId="1B4DA587"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Use the combined observed n/N only as mixed/other evidence when eligible; do not infer component-specific numerators.</w:t>
            </w:r>
          </w:p>
        </w:tc>
        <w:tc>
          <w:tcPr>
            <w:tcW w:w="2410" w:type="dxa"/>
            <w:vAlign w:val="center"/>
          </w:tcPr>
          <w:p w14:paraId="0CD3DCAD" w14:textId="77777777" w:rsidR="001B3BA5" w:rsidRPr="001B3BA5" w:rsidRDefault="001B3BA5" w:rsidP="00A208CC">
            <w:pPr>
              <w:spacing w:before="0" w:after="0"/>
              <w:jc w:val="left"/>
              <w:rPr>
                <w:rFonts w:cs="Times New Roman"/>
                <w:sz w:val="20"/>
                <w:szCs w:val="20"/>
              </w:rPr>
            </w:pPr>
            <w:r w:rsidRPr="001B3BA5">
              <w:rPr>
                <w:rFonts w:cs="Times New Roman"/>
                <w:sz w:val="20"/>
                <w:szCs w:val="20"/>
              </w:rPr>
              <w:t>Do not assign IgM, IgG, NS1 or direct-detection endpoint labels by assumption.</w:t>
            </w:r>
          </w:p>
        </w:tc>
      </w:tr>
    </w:tbl>
    <w:p w14:paraId="77545E19" w14:textId="77777777" w:rsidR="00FE184C" w:rsidRDefault="00FE184C" w:rsidP="005A1CA7"/>
    <w:p w14:paraId="4FB84374" w14:textId="686651C3" w:rsidR="00382D5E" w:rsidRDefault="00FE184C" w:rsidP="005A1CA7">
      <w:r>
        <w:rPr>
          <w:noProof/>
        </w:rPr>
        <w:lastRenderedPageBreak/>
        <w:drawing>
          <wp:inline distT="0" distB="0" distL="0" distR="0" wp14:anchorId="5C480F38" wp14:editId="42603140">
            <wp:extent cx="5803271" cy="3988669"/>
            <wp:effectExtent l="0" t="0" r="6985" b="0"/>
            <wp:docPr id="1210700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28078" cy="4005719"/>
                    </a:xfrm>
                    <a:prstGeom prst="rect">
                      <a:avLst/>
                    </a:prstGeom>
                    <a:noFill/>
                  </pic:spPr>
                </pic:pic>
              </a:graphicData>
            </a:graphic>
          </wp:inline>
        </w:drawing>
      </w:r>
    </w:p>
    <w:p w14:paraId="3AFADCF1" w14:textId="00B080FB" w:rsidR="00B563D0" w:rsidRPr="00047D74" w:rsidRDefault="00ED56D9" w:rsidP="00AE29CB">
      <w:pPr>
        <w:rPr>
          <w:i/>
          <w:iCs/>
        </w:rPr>
      </w:pPr>
      <w:r w:rsidRPr="00ED56D9">
        <w:rPr>
          <w:b/>
          <w:bCs/>
        </w:rPr>
        <w:t xml:space="preserve">Figure 2. Distinguishing a primary endpoint-defining assay from a confirmatory pathway. </w:t>
      </w:r>
      <w:r w:rsidRPr="00ED56D9">
        <w:rPr>
          <w:i/>
          <w:iCs/>
        </w:rPr>
        <w:t>Tier A denotes an assay that itself defines the direct-detection or neutralization endpoint; Tiers B-E classify staged confirmation completeness and selection. Measurement-pathway status remains a separate variable.</w:t>
      </w:r>
    </w:p>
    <w:p w14:paraId="661ADA35" w14:textId="4E2A3CB1" w:rsidR="00B563D0" w:rsidRDefault="00047D74" w:rsidP="00047D74">
      <w:pPr>
        <w:pStyle w:val="Heading2"/>
      </w:pPr>
      <w:r>
        <w:t xml:space="preserve">3.4 </w:t>
      </w:r>
      <w:r w:rsidRPr="00047D74">
        <w:t>Worked implementation examples</w:t>
      </w:r>
    </w:p>
    <w:tbl>
      <w:tblPr>
        <w:tblStyle w:val="TableGrid"/>
        <w:tblW w:w="8904" w:type="dxa"/>
        <w:tblBorders>
          <w:top w:val="single" w:sz="12" w:space="0" w:color="auto"/>
          <w:bottom w:val="single" w:sz="12" w:space="0" w:color="auto"/>
        </w:tblBorders>
        <w:tblLook w:val="04A0" w:firstRow="1" w:lastRow="0" w:firstColumn="1" w:lastColumn="0" w:noHBand="0" w:noVBand="1"/>
      </w:tblPr>
      <w:tblGrid>
        <w:gridCol w:w="2689"/>
        <w:gridCol w:w="2104"/>
        <w:gridCol w:w="4111"/>
      </w:tblGrid>
      <w:tr w:rsidR="00A208CC" w:rsidRPr="00A208CC" w14:paraId="398B8D63" w14:textId="74AAC9BB" w:rsidTr="00A208CC">
        <w:tc>
          <w:tcPr>
            <w:tcW w:w="2689" w:type="dxa"/>
            <w:tcBorders>
              <w:top w:val="single" w:sz="12" w:space="0" w:color="auto"/>
              <w:bottom w:val="single" w:sz="12" w:space="0" w:color="auto"/>
            </w:tcBorders>
            <w:vAlign w:val="center"/>
          </w:tcPr>
          <w:p w14:paraId="217478F2" w14:textId="77BB34E9" w:rsidR="00A208CC" w:rsidRPr="00A208CC" w:rsidRDefault="00A208CC" w:rsidP="0009447F">
            <w:pPr>
              <w:spacing w:before="0" w:after="0"/>
              <w:jc w:val="center"/>
              <w:rPr>
                <w:rFonts w:cs="Times New Roman"/>
                <w:color w:val="153D63" w:themeColor="text2" w:themeTint="E6"/>
                <w:sz w:val="20"/>
                <w:szCs w:val="20"/>
              </w:rPr>
            </w:pPr>
            <w:r w:rsidRPr="00A208CC">
              <w:rPr>
                <w:rFonts w:cs="Times New Roman"/>
                <w:b/>
                <w:color w:val="153D63" w:themeColor="text2" w:themeTint="E6"/>
                <w:sz w:val="20"/>
                <w:szCs w:val="20"/>
              </w:rPr>
              <w:t>Study pattern</w:t>
            </w:r>
          </w:p>
        </w:tc>
        <w:tc>
          <w:tcPr>
            <w:tcW w:w="2104" w:type="dxa"/>
            <w:tcBorders>
              <w:top w:val="single" w:sz="12" w:space="0" w:color="auto"/>
              <w:bottom w:val="single" w:sz="12" w:space="0" w:color="auto"/>
            </w:tcBorders>
            <w:vAlign w:val="center"/>
          </w:tcPr>
          <w:p w14:paraId="0C50A679" w14:textId="3D42D62B" w:rsidR="00A208CC" w:rsidRPr="00A208CC" w:rsidRDefault="00A208CC" w:rsidP="0009447F">
            <w:pPr>
              <w:spacing w:before="0" w:after="0"/>
              <w:jc w:val="center"/>
              <w:rPr>
                <w:rFonts w:cs="Times New Roman"/>
                <w:color w:val="153D63" w:themeColor="text2" w:themeTint="E6"/>
                <w:sz w:val="20"/>
                <w:szCs w:val="20"/>
              </w:rPr>
            </w:pPr>
            <w:r w:rsidRPr="00A208CC">
              <w:rPr>
                <w:rFonts w:cs="Times New Roman"/>
                <w:b/>
                <w:color w:val="153D63" w:themeColor="text2" w:themeTint="E6"/>
                <w:sz w:val="20"/>
                <w:szCs w:val="20"/>
              </w:rPr>
              <w:t>Primary endpoint</w:t>
            </w:r>
            <w:r w:rsidRPr="00A208CC">
              <w:rPr>
                <w:rFonts w:cs="Times New Roman"/>
                <w:b/>
                <w:color w:val="153D63" w:themeColor="text2" w:themeTint="E6"/>
                <w:sz w:val="20"/>
                <w:szCs w:val="20"/>
              </w:rPr>
              <w:t xml:space="preserve"> </w:t>
            </w:r>
            <w:r w:rsidRPr="00A208CC">
              <w:rPr>
                <w:rFonts w:cs="Times New Roman"/>
                <w:b/>
                <w:color w:val="153D63" w:themeColor="text2" w:themeTint="E6"/>
                <w:sz w:val="20"/>
                <w:szCs w:val="20"/>
              </w:rPr>
              <w:t>implementation</w:t>
            </w:r>
          </w:p>
        </w:tc>
        <w:tc>
          <w:tcPr>
            <w:tcW w:w="4111" w:type="dxa"/>
            <w:tcBorders>
              <w:top w:val="single" w:sz="12" w:space="0" w:color="auto"/>
              <w:bottom w:val="single" w:sz="12" w:space="0" w:color="auto"/>
            </w:tcBorders>
          </w:tcPr>
          <w:p w14:paraId="5709F555" w14:textId="30BE489F" w:rsidR="00A208CC" w:rsidRPr="00A208CC" w:rsidRDefault="00A208CC" w:rsidP="0009447F">
            <w:pPr>
              <w:spacing w:before="0" w:after="0"/>
              <w:jc w:val="center"/>
              <w:rPr>
                <w:rFonts w:cs="Times New Roman"/>
                <w:b/>
                <w:color w:val="153D63" w:themeColor="text2" w:themeTint="E6"/>
                <w:sz w:val="20"/>
                <w:szCs w:val="20"/>
              </w:rPr>
            </w:pPr>
            <w:r w:rsidRPr="00A208CC">
              <w:rPr>
                <w:rFonts w:cs="Times New Roman"/>
                <w:b/>
                <w:color w:val="153D63" w:themeColor="text2" w:themeTint="E6"/>
                <w:sz w:val="20"/>
                <w:szCs w:val="20"/>
              </w:rPr>
              <w:t>Confirmatory/separate endpoint implementatio</w:t>
            </w:r>
            <w:r w:rsidRPr="00A208CC">
              <w:rPr>
                <w:rFonts w:cs="Times New Roman"/>
                <w:b/>
                <w:color w:val="153D63" w:themeColor="text2" w:themeTint="E6"/>
                <w:sz w:val="20"/>
                <w:szCs w:val="20"/>
              </w:rPr>
              <w:t>n</w:t>
            </w:r>
          </w:p>
        </w:tc>
      </w:tr>
      <w:tr w:rsidR="00A208CC" w:rsidRPr="00A208CC" w14:paraId="1D0F89BA" w14:textId="34159506" w:rsidTr="00A208CC">
        <w:tc>
          <w:tcPr>
            <w:tcW w:w="2689" w:type="dxa"/>
            <w:tcBorders>
              <w:top w:val="single" w:sz="12" w:space="0" w:color="auto"/>
            </w:tcBorders>
            <w:vAlign w:val="center"/>
          </w:tcPr>
          <w:p w14:paraId="0FCDB8FE" w14:textId="2CBB8740" w:rsidR="00A208CC" w:rsidRPr="00A208CC" w:rsidRDefault="00A208CC" w:rsidP="00A208CC">
            <w:pPr>
              <w:spacing w:before="0" w:after="0"/>
              <w:jc w:val="left"/>
              <w:rPr>
                <w:rFonts w:cs="Times New Roman"/>
                <w:sz w:val="20"/>
                <w:szCs w:val="20"/>
              </w:rPr>
            </w:pPr>
            <w:r w:rsidRPr="00A208CC">
              <w:rPr>
                <w:sz w:val="20"/>
                <w:szCs w:val="20"/>
              </w:rPr>
              <w:t>IgG ELISA in 500 participants; PRNT on 50 selected ELISA-positive samples.</w:t>
            </w:r>
          </w:p>
        </w:tc>
        <w:tc>
          <w:tcPr>
            <w:tcW w:w="2104" w:type="dxa"/>
            <w:tcBorders>
              <w:top w:val="single" w:sz="12" w:space="0" w:color="auto"/>
            </w:tcBorders>
            <w:vAlign w:val="center"/>
          </w:tcPr>
          <w:p w14:paraId="623EA3C4" w14:textId="31407EDD" w:rsidR="00A208CC" w:rsidRPr="00A208CC" w:rsidRDefault="00A208CC" w:rsidP="00A208CC">
            <w:pPr>
              <w:spacing w:before="0" w:after="0"/>
              <w:jc w:val="left"/>
              <w:rPr>
                <w:rFonts w:cs="Times New Roman"/>
                <w:sz w:val="20"/>
                <w:szCs w:val="20"/>
              </w:rPr>
            </w:pPr>
            <w:r w:rsidRPr="00A208CC">
              <w:rPr>
                <w:sz w:val="20"/>
                <w:szCs w:val="20"/>
              </w:rPr>
              <w:t>Prior-exposure endpoint = ELISA positives / 500. Primary assay remains ELISA.</w:t>
            </w:r>
          </w:p>
        </w:tc>
        <w:tc>
          <w:tcPr>
            <w:tcW w:w="4111" w:type="dxa"/>
            <w:tcBorders>
              <w:top w:val="single" w:sz="12" w:space="0" w:color="auto"/>
            </w:tcBorders>
            <w:vAlign w:val="center"/>
          </w:tcPr>
          <w:p w14:paraId="3B02C42C" w14:textId="6437F3F0" w:rsidR="00A208CC" w:rsidRPr="00A208CC" w:rsidRDefault="00A208CC" w:rsidP="00A208CC">
            <w:pPr>
              <w:spacing w:before="0" w:after="0"/>
              <w:jc w:val="left"/>
              <w:rPr>
                <w:rFonts w:cs="Times New Roman"/>
                <w:color w:val="1F1F1F"/>
                <w:sz w:val="20"/>
                <w:szCs w:val="20"/>
              </w:rPr>
            </w:pPr>
            <w:r w:rsidRPr="00A208CC">
              <w:rPr>
                <w:sz w:val="20"/>
                <w:szCs w:val="20"/>
              </w:rPr>
              <w:t xml:space="preserve">PRNT is selected supporting confirmation (Tier D if used as verification). A neutralization endpoint may be created only as PRNT positives / 50 tested; it is </w:t>
            </w:r>
            <w:r w:rsidRPr="00A208CC">
              <w:rPr>
                <w:sz w:val="20"/>
                <w:szCs w:val="20"/>
              </w:rPr>
              <w:t>restricted</w:t>
            </w:r>
            <w:r w:rsidRPr="00A208CC">
              <w:rPr>
                <w:sz w:val="20"/>
                <w:szCs w:val="20"/>
              </w:rPr>
              <w:t xml:space="preserve"> population neutralizing prevalence.</w:t>
            </w:r>
          </w:p>
        </w:tc>
      </w:tr>
      <w:tr w:rsidR="00A208CC" w:rsidRPr="00A208CC" w14:paraId="7756C6F2" w14:textId="742CA047" w:rsidTr="00A208CC">
        <w:tc>
          <w:tcPr>
            <w:tcW w:w="2689" w:type="dxa"/>
            <w:vAlign w:val="center"/>
          </w:tcPr>
          <w:p w14:paraId="2355BAEF" w14:textId="156943E4" w:rsidR="00A208CC" w:rsidRPr="00A208CC" w:rsidRDefault="00A208CC" w:rsidP="00A208CC">
            <w:pPr>
              <w:spacing w:before="0" w:after="0"/>
              <w:jc w:val="left"/>
              <w:rPr>
                <w:rFonts w:cs="Times New Roman"/>
                <w:sz w:val="20"/>
                <w:szCs w:val="20"/>
              </w:rPr>
            </w:pPr>
            <w:r w:rsidRPr="00A208CC">
              <w:rPr>
                <w:sz w:val="20"/>
                <w:szCs w:val="20"/>
              </w:rPr>
              <w:t>IgM in 1,000 participants; all 100 IgM-positive participants receive PCR; 20 are PCR-positive.</w:t>
            </w:r>
          </w:p>
        </w:tc>
        <w:tc>
          <w:tcPr>
            <w:tcW w:w="2104" w:type="dxa"/>
            <w:vAlign w:val="center"/>
          </w:tcPr>
          <w:p w14:paraId="2AF11CE5" w14:textId="025E378E" w:rsidR="00A208CC" w:rsidRPr="00A208CC" w:rsidRDefault="00A208CC" w:rsidP="00A208CC">
            <w:pPr>
              <w:spacing w:before="0" w:after="0"/>
              <w:jc w:val="left"/>
              <w:rPr>
                <w:rFonts w:cs="Times New Roman"/>
                <w:sz w:val="20"/>
                <w:szCs w:val="20"/>
              </w:rPr>
            </w:pPr>
            <w:r w:rsidRPr="00A208CC">
              <w:rPr>
                <w:sz w:val="20"/>
                <w:szCs w:val="20"/>
              </w:rPr>
              <w:t>IgM endpoint = 100/1,000.</w:t>
            </w:r>
          </w:p>
        </w:tc>
        <w:tc>
          <w:tcPr>
            <w:tcW w:w="4111" w:type="dxa"/>
            <w:vAlign w:val="center"/>
          </w:tcPr>
          <w:p w14:paraId="6F0DAAE4" w14:textId="7385FF20" w:rsidR="00A208CC" w:rsidRPr="00A208CC" w:rsidRDefault="00A208CC" w:rsidP="00A208CC">
            <w:pPr>
              <w:spacing w:before="0" w:after="0"/>
              <w:jc w:val="left"/>
              <w:rPr>
                <w:rFonts w:cs="Times New Roman"/>
                <w:color w:val="1F1F1F"/>
                <w:sz w:val="20"/>
                <w:szCs w:val="20"/>
              </w:rPr>
            </w:pPr>
            <w:r w:rsidRPr="00A208CC">
              <w:rPr>
                <w:sz w:val="20"/>
                <w:szCs w:val="20"/>
              </w:rPr>
              <w:t>If the article defines the complete staged algorithm, confirmed active endpoint = 20/1,000 (Tier B). Both endpoints may coexist.</w:t>
            </w:r>
          </w:p>
        </w:tc>
      </w:tr>
      <w:tr w:rsidR="00A208CC" w:rsidRPr="00A208CC" w14:paraId="708F8F49" w14:textId="7A61EAA1" w:rsidTr="00A208CC">
        <w:tc>
          <w:tcPr>
            <w:tcW w:w="2689" w:type="dxa"/>
            <w:vAlign w:val="center"/>
          </w:tcPr>
          <w:p w14:paraId="1E8D66E8" w14:textId="769965D6" w:rsidR="00A208CC" w:rsidRPr="00A208CC" w:rsidRDefault="00A208CC" w:rsidP="00A208CC">
            <w:pPr>
              <w:spacing w:before="0" w:after="0"/>
              <w:jc w:val="left"/>
              <w:rPr>
                <w:rFonts w:cs="Times New Roman"/>
                <w:sz w:val="20"/>
                <w:szCs w:val="20"/>
              </w:rPr>
            </w:pPr>
            <w:r w:rsidRPr="00A208CC">
              <w:rPr>
                <w:sz w:val="20"/>
                <w:szCs w:val="20"/>
              </w:rPr>
              <w:t>IgM in 1,000 participants; only 20 of 100 IgM-positive participants receive PCR; 6 PCR-positive.</w:t>
            </w:r>
          </w:p>
        </w:tc>
        <w:tc>
          <w:tcPr>
            <w:tcW w:w="2104" w:type="dxa"/>
            <w:vAlign w:val="center"/>
          </w:tcPr>
          <w:p w14:paraId="31B18FF3" w14:textId="75E4B335" w:rsidR="00A208CC" w:rsidRPr="00A208CC" w:rsidRDefault="00A208CC" w:rsidP="00A208CC">
            <w:pPr>
              <w:spacing w:before="0" w:after="0"/>
              <w:jc w:val="left"/>
              <w:rPr>
                <w:rFonts w:cs="Times New Roman"/>
                <w:sz w:val="20"/>
                <w:szCs w:val="20"/>
              </w:rPr>
            </w:pPr>
            <w:r w:rsidRPr="00A208CC">
              <w:rPr>
                <w:sz w:val="20"/>
                <w:szCs w:val="20"/>
              </w:rPr>
              <w:t>IgM endpoint remains the primary 100/1,000 result.</w:t>
            </w:r>
          </w:p>
        </w:tc>
        <w:tc>
          <w:tcPr>
            <w:tcW w:w="4111" w:type="dxa"/>
            <w:vAlign w:val="center"/>
          </w:tcPr>
          <w:p w14:paraId="197321CB" w14:textId="20F22EF1" w:rsidR="00A208CC" w:rsidRPr="00A208CC" w:rsidRDefault="00A208CC" w:rsidP="00A208CC">
            <w:pPr>
              <w:spacing w:before="0" w:after="0"/>
              <w:jc w:val="left"/>
              <w:rPr>
                <w:rFonts w:cs="Times New Roman"/>
                <w:color w:val="1F1F1F"/>
                <w:sz w:val="20"/>
                <w:szCs w:val="20"/>
              </w:rPr>
            </w:pPr>
            <w:r w:rsidRPr="00A208CC">
              <w:rPr>
                <w:sz w:val="20"/>
                <w:szCs w:val="20"/>
              </w:rPr>
              <w:t xml:space="preserve">Molecular verification result = 6/20 among PCR-tested participants. Use Tier C only if the 20 were a predefined representative/random verification subset; </w:t>
            </w:r>
            <w:r w:rsidRPr="00A208CC">
              <w:rPr>
                <w:sz w:val="20"/>
                <w:szCs w:val="20"/>
              </w:rPr>
              <w:t>otherwise,</w:t>
            </w:r>
            <w:r w:rsidRPr="00A208CC">
              <w:rPr>
                <w:sz w:val="20"/>
                <w:szCs w:val="20"/>
              </w:rPr>
              <w:t xml:space="preserve"> Tier D.</w:t>
            </w:r>
          </w:p>
        </w:tc>
      </w:tr>
      <w:tr w:rsidR="00A208CC" w:rsidRPr="00A208CC" w14:paraId="2F8B77F5" w14:textId="70E43399" w:rsidTr="00A208CC">
        <w:tc>
          <w:tcPr>
            <w:tcW w:w="2689" w:type="dxa"/>
            <w:vAlign w:val="center"/>
          </w:tcPr>
          <w:p w14:paraId="0C17E2C2" w14:textId="2F3A0E1E" w:rsidR="00A208CC" w:rsidRPr="00A208CC" w:rsidRDefault="00A208CC" w:rsidP="00A208CC">
            <w:pPr>
              <w:spacing w:before="0" w:after="0"/>
              <w:jc w:val="left"/>
              <w:rPr>
                <w:rFonts w:cs="Times New Roman"/>
                <w:sz w:val="20"/>
                <w:szCs w:val="20"/>
              </w:rPr>
            </w:pPr>
            <w:r w:rsidRPr="00A208CC">
              <w:rPr>
                <w:sz w:val="20"/>
                <w:szCs w:val="20"/>
              </w:rPr>
              <w:t xml:space="preserve">RT-qPCR is applied directly to all 1,007 eligible febrile participants; 17 </w:t>
            </w:r>
            <w:r w:rsidRPr="00A208CC">
              <w:rPr>
                <w:sz w:val="20"/>
                <w:szCs w:val="20"/>
              </w:rPr>
              <w:t>positives</w:t>
            </w:r>
            <w:r w:rsidRPr="00A208CC">
              <w:rPr>
                <w:sz w:val="20"/>
                <w:szCs w:val="20"/>
              </w:rPr>
              <w:t>; sequencing is performed on positive isolates.</w:t>
            </w:r>
          </w:p>
        </w:tc>
        <w:tc>
          <w:tcPr>
            <w:tcW w:w="2104" w:type="dxa"/>
            <w:vAlign w:val="center"/>
          </w:tcPr>
          <w:p w14:paraId="0B62D3D1" w14:textId="1B179982" w:rsidR="00A208CC" w:rsidRPr="00A208CC" w:rsidRDefault="00A208CC" w:rsidP="00A208CC">
            <w:pPr>
              <w:spacing w:before="0" w:after="0"/>
              <w:jc w:val="left"/>
              <w:rPr>
                <w:rFonts w:cs="Times New Roman"/>
                <w:sz w:val="20"/>
                <w:szCs w:val="20"/>
              </w:rPr>
            </w:pPr>
            <w:r w:rsidRPr="00A208CC">
              <w:rPr>
                <w:sz w:val="20"/>
                <w:szCs w:val="20"/>
              </w:rPr>
              <w:t>Confirmed active endpoint = 17/1,007; RT-qPCR is Tier A primary direct detection.</w:t>
            </w:r>
          </w:p>
        </w:tc>
        <w:tc>
          <w:tcPr>
            <w:tcW w:w="4111" w:type="dxa"/>
            <w:vAlign w:val="center"/>
          </w:tcPr>
          <w:p w14:paraId="7D9C6007" w14:textId="36D7CA1F" w:rsidR="00A208CC" w:rsidRPr="00A208CC" w:rsidRDefault="00A208CC" w:rsidP="00A208CC">
            <w:pPr>
              <w:spacing w:before="0" w:after="0"/>
              <w:jc w:val="left"/>
              <w:rPr>
                <w:rFonts w:cs="Times New Roman"/>
                <w:color w:val="1F1F1F"/>
                <w:sz w:val="20"/>
                <w:szCs w:val="20"/>
              </w:rPr>
            </w:pPr>
            <w:r w:rsidRPr="00A208CC">
              <w:rPr>
                <w:sz w:val="20"/>
                <w:szCs w:val="20"/>
              </w:rPr>
              <w:t>Sequencing may support Q6c when explicitly linked to the same virus/</w:t>
            </w:r>
            <w:r w:rsidRPr="00A208CC">
              <w:rPr>
                <w:sz w:val="20"/>
                <w:szCs w:val="20"/>
              </w:rPr>
              <w:t>result but</w:t>
            </w:r>
            <w:r w:rsidRPr="00A208CC">
              <w:rPr>
                <w:sz w:val="20"/>
                <w:szCs w:val="20"/>
              </w:rPr>
              <w:t xml:space="preserve"> does not replace the RT-qPCR numerator.</w:t>
            </w:r>
          </w:p>
        </w:tc>
      </w:tr>
      <w:tr w:rsidR="00A208CC" w:rsidRPr="00A208CC" w14:paraId="6E01AAAF" w14:textId="77777777" w:rsidTr="00A208CC">
        <w:tc>
          <w:tcPr>
            <w:tcW w:w="2689" w:type="dxa"/>
            <w:vAlign w:val="center"/>
          </w:tcPr>
          <w:p w14:paraId="61E01949" w14:textId="19D477C4" w:rsidR="00A208CC" w:rsidRPr="00A208CC" w:rsidRDefault="00A208CC" w:rsidP="00A208CC">
            <w:pPr>
              <w:spacing w:before="0" w:after="0"/>
              <w:jc w:val="left"/>
              <w:rPr>
                <w:rFonts w:cs="Times New Roman"/>
                <w:sz w:val="20"/>
                <w:szCs w:val="20"/>
              </w:rPr>
            </w:pPr>
            <w:r w:rsidRPr="00A208CC">
              <w:rPr>
                <w:sz w:val="20"/>
                <w:szCs w:val="20"/>
              </w:rPr>
              <w:t>IgM/IgG rapid test reports only “IgM and/or IgG positive” with no separable component counts.</w:t>
            </w:r>
          </w:p>
        </w:tc>
        <w:tc>
          <w:tcPr>
            <w:tcW w:w="2104" w:type="dxa"/>
            <w:vAlign w:val="center"/>
          </w:tcPr>
          <w:p w14:paraId="6D3702A6" w14:textId="070367E8" w:rsidR="00A208CC" w:rsidRPr="00A208CC" w:rsidRDefault="00A208CC" w:rsidP="00A208CC">
            <w:pPr>
              <w:spacing w:before="0" w:after="0"/>
              <w:jc w:val="left"/>
              <w:rPr>
                <w:rFonts w:cs="Times New Roman"/>
                <w:sz w:val="20"/>
                <w:szCs w:val="20"/>
              </w:rPr>
            </w:pPr>
            <w:r w:rsidRPr="00A208CC">
              <w:rPr>
                <w:sz w:val="20"/>
                <w:szCs w:val="20"/>
              </w:rPr>
              <w:t>Do not infer IgM or IgG numerators.</w:t>
            </w:r>
          </w:p>
        </w:tc>
        <w:tc>
          <w:tcPr>
            <w:tcW w:w="4111" w:type="dxa"/>
            <w:vAlign w:val="center"/>
          </w:tcPr>
          <w:p w14:paraId="726D812E" w14:textId="28B5F09F" w:rsidR="00A208CC" w:rsidRPr="00A208CC" w:rsidRDefault="00A208CC" w:rsidP="00A208CC">
            <w:pPr>
              <w:spacing w:before="0" w:after="0"/>
              <w:jc w:val="left"/>
              <w:rPr>
                <w:rFonts w:cs="Times New Roman"/>
                <w:color w:val="1F1F1F"/>
                <w:sz w:val="20"/>
                <w:szCs w:val="20"/>
              </w:rPr>
            </w:pPr>
            <w:r w:rsidRPr="00A208CC">
              <w:rPr>
                <w:sz w:val="20"/>
                <w:szCs w:val="20"/>
              </w:rPr>
              <w:t>Classify as mixed/other serologic evidence unless the article explicitly defines a composite algorithm and provides a corresponding n/N.</w:t>
            </w:r>
          </w:p>
        </w:tc>
      </w:tr>
    </w:tbl>
    <w:p w14:paraId="2CB14BCA" w14:textId="5837D396" w:rsidR="001A7EEE" w:rsidRDefault="005F0E40" w:rsidP="00A208CC">
      <w:pPr>
        <w:pStyle w:val="Heading1"/>
        <w:numPr>
          <w:ilvl w:val="0"/>
          <w:numId w:val="9"/>
        </w:numPr>
      </w:pPr>
      <w:r w:rsidRPr="005F0E40">
        <w:lastRenderedPageBreak/>
        <w:t>Domain appraisal</w:t>
      </w:r>
      <w:r w:rsidR="005E5006">
        <w:t xml:space="preserve"> </w:t>
      </w:r>
    </w:p>
    <w:p w14:paraId="1C7CAFAF" w14:textId="098B4D86" w:rsidR="005E5006" w:rsidRDefault="00A208CC" w:rsidP="005E5006">
      <w:r w:rsidRPr="00A208CC">
        <w:t xml:space="preserve">Endpoint-specific scoring: Q1-Q4 may be inherited across endpoints only when the target population, source frame, recruitment </w:t>
      </w:r>
      <w:r w:rsidRPr="00A208CC">
        <w:t>pathway,</w:t>
      </w:r>
      <w:r w:rsidRPr="00A208CC">
        <w:t xml:space="preserve"> and relevant data source are genuinely identical. Q1, Q3 and Q4 are separate design constructs and must never compensate for one another: Q1 asks whether the achieved sample represents the explicitly defined target; Q3 asks whether the frame from which participants or specimens could enter reasonably covers that target; Q4 asks how sites, participants or specimens were selected. Q2 remains a data-provenance item. Q5 and Q6a-Q10 must be checked for each endpoint; Q5 may be inherited only when endpoint-specific eligibility and completeness are demonstrably identical</w:t>
      </w:r>
      <w:r w:rsidR="00C8031C" w:rsidRPr="00C8031C">
        <w:t>.</w:t>
      </w:r>
    </w:p>
    <w:p w14:paraId="03D19CC3" w14:textId="0C0DFDF0" w:rsidR="00D8761F" w:rsidRDefault="00FA7B0E" w:rsidP="00FA7B0E">
      <w:pPr>
        <w:pStyle w:val="Heading2"/>
      </w:pPr>
      <w:r>
        <w:t xml:space="preserve">4.1 </w:t>
      </w:r>
      <w:r w:rsidR="00D8761F">
        <w:t>Study-design application sequence for Q1, Q3 and Q4</w:t>
      </w:r>
    </w:p>
    <w:p w14:paraId="24194043" w14:textId="77777777" w:rsidR="00A208CC" w:rsidRPr="00A208CC" w:rsidRDefault="00A208CC" w:rsidP="00A208CC">
      <w:r w:rsidRPr="00A208CC">
        <w:t>Q1, Q3 and Q4 must be scored from three separate controlled classifications: the target population (who the study intends to represent), the source frame (who could enter the sample), and the selection method (how units were chosen from that frame). Do not allow a strong recruitment method to compensate for an inappropriate frame, or a well-matched frame to compensate for poor achieved representation.</w:t>
      </w:r>
    </w:p>
    <w:p w14:paraId="3D6A8E06" w14:textId="02B22F09" w:rsidR="005E5006" w:rsidRDefault="00A208CC" w:rsidP="00A208CC">
      <w:r w:rsidRPr="00433B13">
        <w:rPr>
          <w:b/>
          <w:bCs/>
          <w:i/>
          <w:iCs/>
        </w:rPr>
        <w:t>Target classification precedence</w:t>
      </w:r>
      <w:r w:rsidRPr="00A208CC">
        <w:t>. First identify whether eligibility is defined by a special sampling universe such as pregnancy/ANC, blood donation, occupation/exposure, or another explicitly bounded cohort. When such a universe defines who could be enrolled, use it as the primary target and retain fever/arbovirus suspicion as a qualifier. Otherwise classify clinical symptomatic populations in the order</w:t>
      </w:r>
      <w:r w:rsidR="00433B13">
        <w:t xml:space="preserve">: </w:t>
      </w:r>
      <w:r w:rsidRPr="00A208CC">
        <w:t>suspected arbovirus → non-malarial febrile → general febrile → non-febrile patients → general outpatients. Community/general populations are used when recruitment is independent of current healthcare attendance. Archive status alone is not a target unless the original population is unrecoverable</w:t>
      </w:r>
      <w:r w:rsidR="00D8761F" w:rsidRPr="00A208CC">
        <w:t>.</w:t>
      </w:r>
    </w:p>
    <w:tbl>
      <w:tblPr>
        <w:tblStyle w:val="TableGridLight"/>
        <w:tblW w:w="949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06"/>
        <w:gridCol w:w="2693"/>
        <w:gridCol w:w="6095"/>
      </w:tblGrid>
      <w:tr w:rsidR="00A90D96" w:rsidRPr="00A90D96" w14:paraId="1746774A" w14:textId="77777777" w:rsidTr="00A90D96">
        <w:tc>
          <w:tcPr>
            <w:tcW w:w="706" w:type="dxa"/>
            <w:vAlign w:val="center"/>
          </w:tcPr>
          <w:p w14:paraId="5A29DAAA" w14:textId="77777777" w:rsidR="00A90D96" w:rsidRPr="00A90D96" w:rsidRDefault="00A90D96" w:rsidP="00A90D96">
            <w:pPr>
              <w:spacing w:before="0" w:after="0"/>
              <w:jc w:val="center"/>
              <w:rPr>
                <w:rFonts w:cs="Times New Roman"/>
                <w:color w:val="0F4761" w:themeColor="accent1" w:themeShade="BF"/>
                <w:sz w:val="20"/>
                <w:szCs w:val="20"/>
              </w:rPr>
            </w:pPr>
            <w:r w:rsidRPr="00A90D96">
              <w:rPr>
                <w:rFonts w:cs="Times New Roman"/>
                <w:b/>
                <w:color w:val="0F4761" w:themeColor="accent1" w:themeShade="BF"/>
                <w:sz w:val="20"/>
                <w:szCs w:val="20"/>
              </w:rPr>
              <w:t>Code</w:t>
            </w:r>
          </w:p>
        </w:tc>
        <w:tc>
          <w:tcPr>
            <w:tcW w:w="2693" w:type="dxa"/>
            <w:vAlign w:val="center"/>
          </w:tcPr>
          <w:p w14:paraId="12B68826" w14:textId="77777777" w:rsidR="00A90D96" w:rsidRPr="00A90D96" w:rsidRDefault="00A90D96" w:rsidP="00A90D96">
            <w:pPr>
              <w:spacing w:before="0" w:after="0"/>
              <w:jc w:val="center"/>
              <w:rPr>
                <w:rFonts w:cs="Times New Roman"/>
                <w:color w:val="0F4761" w:themeColor="accent1" w:themeShade="BF"/>
                <w:sz w:val="20"/>
                <w:szCs w:val="20"/>
              </w:rPr>
            </w:pPr>
            <w:r w:rsidRPr="00A90D96">
              <w:rPr>
                <w:rFonts w:cs="Times New Roman"/>
                <w:b/>
                <w:color w:val="0F4761" w:themeColor="accent1" w:themeShade="BF"/>
                <w:sz w:val="20"/>
                <w:szCs w:val="20"/>
              </w:rPr>
              <w:t>Controlled target population</w:t>
            </w:r>
          </w:p>
        </w:tc>
        <w:tc>
          <w:tcPr>
            <w:tcW w:w="6095" w:type="dxa"/>
            <w:vAlign w:val="center"/>
          </w:tcPr>
          <w:p w14:paraId="7F91CBDA" w14:textId="77777777" w:rsidR="00A90D96" w:rsidRPr="00A90D96" w:rsidRDefault="00A90D96" w:rsidP="00A90D96">
            <w:pPr>
              <w:spacing w:before="0" w:after="0"/>
              <w:jc w:val="center"/>
              <w:rPr>
                <w:rFonts w:cs="Times New Roman"/>
                <w:color w:val="0F4761" w:themeColor="accent1" w:themeShade="BF"/>
                <w:sz w:val="20"/>
                <w:szCs w:val="20"/>
              </w:rPr>
            </w:pPr>
            <w:r w:rsidRPr="00A90D96">
              <w:rPr>
                <w:rFonts w:cs="Times New Roman"/>
                <w:b/>
                <w:color w:val="0F4761" w:themeColor="accent1" w:themeShade="BF"/>
                <w:sz w:val="20"/>
                <w:szCs w:val="20"/>
              </w:rPr>
              <w:t>Operational trigger / boundary rule</w:t>
            </w:r>
          </w:p>
        </w:tc>
      </w:tr>
      <w:tr w:rsidR="00A90D96" w:rsidRPr="00A90D96" w14:paraId="7CBD39A3" w14:textId="77777777" w:rsidTr="00A90D96">
        <w:tc>
          <w:tcPr>
            <w:tcW w:w="706" w:type="dxa"/>
            <w:vAlign w:val="center"/>
          </w:tcPr>
          <w:p w14:paraId="055B0690"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TP1</w:t>
            </w:r>
          </w:p>
        </w:tc>
        <w:tc>
          <w:tcPr>
            <w:tcW w:w="2693" w:type="dxa"/>
            <w:vAlign w:val="center"/>
          </w:tcPr>
          <w:p w14:paraId="10176A07"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Suspected arbovirus population</w:t>
            </w:r>
          </w:p>
        </w:tc>
        <w:tc>
          <w:tcPr>
            <w:tcW w:w="6095" w:type="dxa"/>
            <w:vAlign w:val="center"/>
          </w:tcPr>
          <w:p w14:paraId="6D4B4C5B"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Arbovirus-specific suspected/probable case definition, syndrome explicitly framed as suspected arbovirus disease, or arbovirus-specific referral/testing. Generic fever is insufficient.</w:t>
            </w:r>
          </w:p>
        </w:tc>
      </w:tr>
      <w:tr w:rsidR="00A90D96" w:rsidRPr="00A90D96" w14:paraId="6A50519D" w14:textId="77777777" w:rsidTr="00A90D96">
        <w:tc>
          <w:tcPr>
            <w:tcW w:w="706" w:type="dxa"/>
            <w:vAlign w:val="center"/>
          </w:tcPr>
          <w:p w14:paraId="025928B7"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TP2</w:t>
            </w:r>
          </w:p>
        </w:tc>
        <w:tc>
          <w:tcPr>
            <w:tcW w:w="2693" w:type="dxa"/>
            <w:vAlign w:val="center"/>
          </w:tcPr>
          <w:p w14:paraId="317BA9C1"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Non-malarial febrile population</w:t>
            </w:r>
          </w:p>
        </w:tc>
        <w:tc>
          <w:tcPr>
            <w:tcW w:w="6095" w:type="dxa"/>
            <w:vAlign w:val="center"/>
          </w:tcPr>
          <w:p w14:paraId="702C3092"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Fever/AFI is required and malaria negativity/exclusion is an eligibility condition, not merely a later result.</w:t>
            </w:r>
          </w:p>
        </w:tc>
      </w:tr>
      <w:tr w:rsidR="00A90D96" w:rsidRPr="00A90D96" w14:paraId="747AC928" w14:textId="77777777" w:rsidTr="00A90D96">
        <w:tc>
          <w:tcPr>
            <w:tcW w:w="706" w:type="dxa"/>
            <w:vAlign w:val="center"/>
          </w:tcPr>
          <w:p w14:paraId="2657E88D"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TP3</w:t>
            </w:r>
          </w:p>
        </w:tc>
        <w:tc>
          <w:tcPr>
            <w:tcW w:w="2693" w:type="dxa"/>
            <w:vAlign w:val="center"/>
          </w:tcPr>
          <w:p w14:paraId="15812E02"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General febrile population</w:t>
            </w:r>
          </w:p>
        </w:tc>
        <w:tc>
          <w:tcPr>
            <w:tcW w:w="6095" w:type="dxa"/>
            <w:vAlign w:val="center"/>
          </w:tcPr>
          <w:p w14:paraId="17CED2D4"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Fever/AFI/undifferentiated fever defines eligibility without TP1 or TP2 restrictions.</w:t>
            </w:r>
          </w:p>
        </w:tc>
      </w:tr>
      <w:tr w:rsidR="00A90D96" w:rsidRPr="00A90D96" w14:paraId="37BF134C" w14:textId="77777777" w:rsidTr="00A90D96">
        <w:tc>
          <w:tcPr>
            <w:tcW w:w="706" w:type="dxa"/>
            <w:vAlign w:val="center"/>
          </w:tcPr>
          <w:p w14:paraId="258401F0"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TP4</w:t>
            </w:r>
          </w:p>
        </w:tc>
        <w:tc>
          <w:tcPr>
            <w:tcW w:w="2693" w:type="dxa"/>
            <w:vAlign w:val="center"/>
          </w:tcPr>
          <w:p w14:paraId="544B1826"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Non-febrile patients</w:t>
            </w:r>
          </w:p>
        </w:tc>
        <w:tc>
          <w:tcPr>
            <w:tcW w:w="6095" w:type="dxa"/>
            <w:vAlign w:val="center"/>
          </w:tcPr>
          <w:p w14:paraId="5FEA39FA"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Clinical patients are explicitly afebrile/non-febrile. Healthy community volunteers are not patients.</w:t>
            </w:r>
          </w:p>
        </w:tc>
      </w:tr>
      <w:tr w:rsidR="00A90D96" w:rsidRPr="00A90D96" w14:paraId="168809D5" w14:textId="77777777" w:rsidTr="00A90D96">
        <w:tc>
          <w:tcPr>
            <w:tcW w:w="706" w:type="dxa"/>
            <w:vAlign w:val="center"/>
          </w:tcPr>
          <w:p w14:paraId="38541E88"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TP5</w:t>
            </w:r>
          </w:p>
        </w:tc>
        <w:tc>
          <w:tcPr>
            <w:tcW w:w="2693" w:type="dxa"/>
            <w:vAlign w:val="center"/>
          </w:tcPr>
          <w:p w14:paraId="0E240BAB"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General outpatients</w:t>
            </w:r>
          </w:p>
        </w:tc>
        <w:tc>
          <w:tcPr>
            <w:tcW w:w="6095" w:type="dxa"/>
            <w:vAlign w:val="center"/>
          </w:tcPr>
          <w:p w14:paraId="17E064CF" w14:textId="035DCA0C" w:rsidR="00A90D96" w:rsidRPr="00A90D96" w:rsidRDefault="00A90D96" w:rsidP="00A90D96">
            <w:pPr>
              <w:spacing w:before="0" w:after="0"/>
              <w:jc w:val="left"/>
              <w:rPr>
                <w:rFonts w:cs="Times New Roman"/>
                <w:sz w:val="20"/>
                <w:szCs w:val="20"/>
              </w:rPr>
            </w:pPr>
            <w:r w:rsidRPr="00A90D96">
              <w:rPr>
                <w:rFonts w:cs="Times New Roman"/>
                <w:sz w:val="20"/>
                <w:szCs w:val="20"/>
              </w:rPr>
              <w:t xml:space="preserve">General ambulatory/OPD attendees with no more specific syndrome, physiological state, diagnosis, </w:t>
            </w:r>
            <w:r w:rsidRPr="00A90D96">
              <w:rPr>
                <w:rFonts w:cs="Times New Roman"/>
                <w:sz w:val="20"/>
                <w:szCs w:val="20"/>
              </w:rPr>
              <w:t>donation,</w:t>
            </w:r>
            <w:r w:rsidRPr="00A90D96">
              <w:rPr>
                <w:rFonts w:cs="Times New Roman"/>
                <w:sz w:val="20"/>
                <w:szCs w:val="20"/>
              </w:rPr>
              <w:t xml:space="preserve"> or exposure defining eligibility.</w:t>
            </w:r>
          </w:p>
        </w:tc>
      </w:tr>
      <w:tr w:rsidR="00A90D96" w:rsidRPr="00A90D96" w14:paraId="6AC32ADC" w14:textId="77777777" w:rsidTr="00A90D96">
        <w:tc>
          <w:tcPr>
            <w:tcW w:w="706" w:type="dxa"/>
            <w:vAlign w:val="center"/>
          </w:tcPr>
          <w:p w14:paraId="7BEDDF6E"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TP6</w:t>
            </w:r>
          </w:p>
        </w:tc>
        <w:tc>
          <w:tcPr>
            <w:tcW w:w="2693" w:type="dxa"/>
            <w:vAlign w:val="center"/>
          </w:tcPr>
          <w:p w14:paraId="6FA181DC"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Pregnant women / antenatal populations</w:t>
            </w:r>
          </w:p>
        </w:tc>
        <w:tc>
          <w:tcPr>
            <w:tcW w:w="6095" w:type="dxa"/>
            <w:vAlign w:val="center"/>
          </w:tcPr>
          <w:p w14:paraId="21FFBB5A"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Pregnancy/ANC/prenatal/postpartum status defines the sampling universe. Judge representation within that universe.</w:t>
            </w:r>
          </w:p>
        </w:tc>
      </w:tr>
      <w:tr w:rsidR="00A90D96" w:rsidRPr="00A90D96" w14:paraId="70AEB32E" w14:textId="77777777" w:rsidTr="00A90D96">
        <w:tc>
          <w:tcPr>
            <w:tcW w:w="706" w:type="dxa"/>
            <w:vAlign w:val="center"/>
          </w:tcPr>
          <w:p w14:paraId="5C50187B"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TP7</w:t>
            </w:r>
          </w:p>
        </w:tc>
        <w:tc>
          <w:tcPr>
            <w:tcW w:w="2693" w:type="dxa"/>
            <w:vAlign w:val="center"/>
          </w:tcPr>
          <w:p w14:paraId="07C8095E"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Blood donors</w:t>
            </w:r>
          </w:p>
        </w:tc>
        <w:tc>
          <w:tcPr>
            <w:tcW w:w="6095" w:type="dxa"/>
            <w:vAlign w:val="center"/>
          </w:tcPr>
          <w:p w14:paraId="201C1718"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Blood-donation eligibility defines the sampling universe. Do not relabel as general population.</w:t>
            </w:r>
          </w:p>
        </w:tc>
      </w:tr>
      <w:tr w:rsidR="00A90D96" w:rsidRPr="00A90D96" w14:paraId="14863B36" w14:textId="77777777" w:rsidTr="00A90D96">
        <w:tc>
          <w:tcPr>
            <w:tcW w:w="706" w:type="dxa"/>
            <w:vAlign w:val="center"/>
          </w:tcPr>
          <w:p w14:paraId="791CE624"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TP8</w:t>
            </w:r>
          </w:p>
        </w:tc>
        <w:tc>
          <w:tcPr>
            <w:tcW w:w="2693" w:type="dxa"/>
            <w:vAlign w:val="center"/>
          </w:tcPr>
          <w:p w14:paraId="64B5EBC9"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Occupationally / zoonotically exposed populations</w:t>
            </w:r>
          </w:p>
        </w:tc>
        <w:tc>
          <w:tcPr>
            <w:tcW w:w="6095" w:type="dxa"/>
            <w:vAlign w:val="center"/>
          </w:tcPr>
          <w:p w14:paraId="32236FD6" w14:textId="3DFDC954" w:rsidR="00A90D96" w:rsidRPr="00A90D96" w:rsidRDefault="00A90D96" w:rsidP="00A90D96">
            <w:pPr>
              <w:spacing w:before="0" w:after="0"/>
              <w:jc w:val="left"/>
              <w:rPr>
                <w:rFonts w:cs="Times New Roman"/>
                <w:sz w:val="20"/>
                <w:szCs w:val="20"/>
              </w:rPr>
            </w:pPr>
            <w:r w:rsidRPr="00A90D96">
              <w:rPr>
                <w:rFonts w:cs="Times New Roman"/>
                <w:sz w:val="20"/>
                <w:szCs w:val="20"/>
              </w:rPr>
              <w:t xml:space="preserve">Occupation, workplace, animal </w:t>
            </w:r>
            <w:r w:rsidRPr="00A90D96">
              <w:rPr>
                <w:rFonts w:cs="Times New Roman"/>
                <w:sz w:val="20"/>
                <w:szCs w:val="20"/>
              </w:rPr>
              <w:t>contact,</w:t>
            </w:r>
            <w:r w:rsidRPr="00A90D96">
              <w:rPr>
                <w:rFonts w:cs="Times New Roman"/>
                <w:sz w:val="20"/>
                <w:szCs w:val="20"/>
              </w:rPr>
              <w:t xml:space="preserve"> or another explicit high-exposure criterion defines eligibility. Geographic residence alone is insufficient.</w:t>
            </w:r>
          </w:p>
        </w:tc>
      </w:tr>
      <w:tr w:rsidR="00A90D96" w:rsidRPr="00A90D96" w14:paraId="4FF57DBD" w14:textId="77777777" w:rsidTr="00A90D96">
        <w:tc>
          <w:tcPr>
            <w:tcW w:w="706" w:type="dxa"/>
            <w:vAlign w:val="center"/>
          </w:tcPr>
          <w:p w14:paraId="7C9A519E"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TP9</w:t>
            </w:r>
          </w:p>
        </w:tc>
        <w:tc>
          <w:tcPr>
            <w:tcW w:w="2693" w:type="dxa"/>
            <w:vAlign w:val="center"/>
          </w:tcPr>
          <w:p w14:paraId="473A13C8"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Community or general populations</w:t>
            </w:r>
          </w:p>
        </w:tc>
        <w:tc>
          <w:tcPr>
            <w:tcW w:w="6095" w:type="dxa"/>
            <w:vAlign w:val="center"/>
          </w:tcPr>
          <w:p w14:paraId="1A15C363"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Residents/household/community members are sampled independently of current healthcare attendance or a special service/exposure status.</w:t>
            </w:r>
          </w:p>
        </w:tc>
      </w:tr>
      <w:tr w:rsidR="00A90D96" w:rsidRPr="00A90D96" w14:paraId="1FBE733B" w14:textId="77777777" w:rsidTr="00A90D96">
        <w:tc>
          <w:tcPr>
            <w:tcW w:w="706" w:type="dxa"/>
            <w:vAlign w:val="center"/>
          </w:tcPr>
          <w:p w14:paraId="17E58E29"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TP10</w:t>
            </w:r>
          </w:p>
        </w:tc>
        <w:tc>
          <w:tcPr>
            <w:tcW w:w="2693" w:type="dxa"/>
            <w:vAlign w:val="center"/>
          </w:tcPr>
          <w:p w14:paraId="5C8B6DD8"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Other defined populations / cohorts</w:t>
            </w:r>
          </w:p>
        </w:tc>
        <w:tc>
          <w:tcPr>
            <w:tcW w:w="6095" w:type="dxa"/>
            <w:vAlign w:val="center"/>
          </w:tcPr>
          <w:p w14:paraId="6C01E516" w14:textId="551AF675" w:rsidR="00A90D96" w:rsidRPr="00A90D96" w:rsidRDefault="00A90D96" w:rsidP="00A90D96">
            <w:pPr>
              <w:spacing w:before="0" w:after="0"/>
              <w:jc w:val="left"/>
              <w:rPr>
                <w:rFonts w:cs="Times New Roman"/>
                <w:sz w:val="20"/>
                <w:szCs w:val="20"/>
              </w:rPr>
            </w:pPr>
            <w:r w:rsidRPr="00A90D96">
              <w:rPr>
                <w:rFonts w:cs="Times New Roman"/>
                <w:sz w:val="20"/>
                <w:szCs w:val="20"/>
              </w:rPr>
              <w:t xml:space="preserve">Clearly bounded clinical, contact, trial, severe-disease, </w:t>
            </w:r>
            <w:r w:rsidRPr="00A90D96">
              <w:rPr>
                <w:rFonts w:cs="Times New Roman"/>
                <w:sz w:val="20"/>
                <w:szCs w:val="20"/>
              </w:rPr>
              <w:t>cohort,</w:t>
            </w:r>
            <w:r w:rsidRPr="00A90D96">
              <w:rPr>
                <w:rFonts w:cs="Times New Roman"/>
                <w:sz w:val="20"/>
                <w:szCs w:val="20"/>
              </w:rPr>
              <w:t xml:space="preserve"> or research target not covered above. Preserve exact source definition.</w:t>
            </w:r>
          </w:p>
        </w:tc>
      </w:tr>
      <w:tr w:rsidR="00A90D96" w:rsidRPr="00A90D96" w14:paraId="33805EEC" w14:textId="77777777" w:rsidTr="00A90D96">
        <w:tc>
          <w:tcPr>
            <w:tcW w:w="706" w:type="dxa"/>
            <w:vAlign w:val="center"/>
          </w:tcPr>
          <w:p w14:paraId="68576A2F"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TP11</w:t>
            </w:r>
          </w:p>
        </w:tc>
        <w:tc>
          <w:tcPr>
            <w:tcW w:w="2693" w:type="dxa"/>
            <w:vAlign w:val="center"/>
          </w:tcPr>
          <w:p w14:paraId="7C917F69"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Underlying target unresolved - archived/residual specimens</w:t>
            </w:r>
          </w:p>
        </w:tc>
        <w:tc>
          <w:tcPr>
            <w:tcW w:w="6095" w:type="dxa"/>
            <w:vAlign w:val="center"/>
          </w:tcPr>
          <w:p w14:paraId="74D1E663" w14:textId="3F3B824C" w:rsidR="00A90D96" w:rsidRPr="00A90D96" w:rsidRDefault="00A90D96" w:rsidP="00A90D96">
            <w:pPr>
              <w:spacing w:before="0" w:after="0"/>
              <w:jc w:val="left"/>
              <w:rPr>
                <w:rFonts w:cs="Times New Roman"/>
                <w:sz w:val="20"/>
                <w:szCs w:val="20"/>
              </w:rPr>
            </w:pPr>
            <w:r w:rsidRPr="00A90D96">
              <w:rPr>
                <w:rFonts w:cs="Times New Roman"/>
                <w:sz w:val="20"/>
                <w:szCs w:val="20"/>
              </w:rPr>
              <w:t xml:space="preserve">Stored/residual material is </w:t>
            </w:r>
            <w:r w:rsidRPr="00A90D96">
              <w:rPr>
                <w:rFonts w:cs="Times New Roman"/>
                <w:sz w:val="20"/>
                <w:szCs w:val="20"/>
              </w:rPr>
              <w:t>available,</w:t>
            </w:r>
            <w:r w:rsidRPr="00A90D96">
              <w:rPr>
                <w:rFonts w:cs="Times New Roman"/>
                <w:sz w:val="20"/>
                <w:szCs w:val="20"/>
              </w:rPr>
              <w:t xml:space="preserve"> but the original participant target cannot be reconstructed. Use only as fallback.</w:t>
            </w:r>
          </w:p>
        </w:tc>
      </w:tr>
      <w:tr w:rsidR="00A90D96" w:rsidRPr="00A90D96" w14:paraId="2AA4CF41" w14:textId="77777777" w:rsidTr="00A90D96">
        <w:tc>
          <w:tcPr>
            <w:tcW w:w="706" w:type="dxa"/>
            <w:vAlign w:val="center"/>
          </w:tcPr>
          <w:p w14:paraId="5EC6606B"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TP12</w:t>
            </w:r>
          </w:p>
        </w:tc>
        <w:tc>
          <w:tcPr>
            <w:tcW w:w="2693" w:type="dxa"/>
            <w:vAlign w:val="center"/>
          </w:tcPr>
          <w:p w14:paraId="7B6DDD28"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Other / mixed populations</w:t>
            </w:r>
          </w:p>
        </w:tc>
        <w:tc>
          <w:tcPr>
            <w:tcW w:w="6095" w:type="dxa"/>
            <w:vAlign w:val="center"/>
          </w:tcPr>
          <w:p w14:paraId="40CA4423"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Two or more substantively different targets feed one inseparable analytic denominator. Prefer separate endpoint-specific rows when possible.</w:t>
            </w:r>
          </w:p>
        </w:tc>
      </w:tr>
      <w:tr w:rsidR="00A90D96" w:rsidRPr="00A90D96" w14:paraId="568AB9E9" w14:textId="77777777" w:rsidTr="00A90D96">
        <w:tc>
          <w:tcPr>
            <w:tcW w:w="706" w:type="dxa"/>
            <w:vAlign w:val="center"/>
          </w:tcPr>
          <w:p w14:paraId="0FAFB09B"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TP13</w:t>
            </w:r>
          </w:p>
        </w:tc>
        <w:tc>
          <w:tcPr>
            <w:tcW w:w="2693" w:type="dxa"/>
            <w:vAlign w:val="center"/>
          </w:tcPr>
          <w:p w14:paraId="6216E26E"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Unclear / insufficiently described</w:t>
            </w:r>
          </w:p>
        </w:tc>
        <w:tc>
          <w:tcPr>
            <w:tcW w:w="6095" w:type="dxa"/>
            <w:vAlign w:val="center"/>
          </w:tcPr>
          <w:p w14:paraId="22F971AD" w14:textId="77777777" w:rsidR="00A90D96" w:rsidRPr="00A90D96" w:rsidRDefault="00A90D96" w:rsidP="00A90D96">
            <w:pPr>
              <w:spacing w:before="0" w:after="0"/>
              <w:jc w:val="left"/>
              <w:rPr>
                <w:rFonts w:cs="Times New Roman"/>
                <w:sz w:val="20"/>
                <w:szCs w:val="20"/>
              </w:rPr>
            </w:pPr>
            <w:r w:rsidRPr="00A90D96">
              <w:rPr>
                <w:rFonts w:cs="Times New Roman"/>
                <w:sz w:val="20"/>
                <w:szCs w:val="20"/>
              </w:rPr>
              <w:t xml:space="preserve">No auditable target can be established. Do not infer from title, </w:t>
            </w:r>
            <w:proofErr w:type="gramStart"/>
            <w:r w:rsidRPr="00A90D96">
              <w:rPr>
                <w:rFonts w:cs="Times New Roman"/>
                <w:sz w:val="20"/>
                <w:szCs w:val="20"/>
              </w:rPr>
              <w:t>assay</w:t>
            </w:r>
            <w:proofErr w:type="gramEnd"/>
            <w:r w:rsidRPr="00A90D96">
              <w:rPr>
                <w:rFonts w:cs="Times New Roman"/>
                <w:sz w:val="20"/>
                <w:szCs w:val="20"/>
              </w:rPr>
              <w:t xml:space="preserve"> or conclusion.</w:t>
            </w:r>
          </w:p>
        </w:tc>
      </w:tr>
    </w:tbl>
    <w:p w14:paraId="34D936C6" w14:textId="59925610" w:rsidR="00670529" w:rsidRPr="00670529" w:rsidRDefault="00C80321" w:rsidP="00FA7B0E">
      <w:pPr>
        <w:pStyle w:val="Heading2"/>
      </w:pPr>
      <w:r>
        <w:lastRenderedPageBreak/>
        <w:t xml:space="preserve">Q1: </w:t>
      </w:r>
      <w:r w:rsidR="00670529" w:rsidRPr="00670529">
        <w:t>Target-population representation</w:t>
      </w:r>
      <w:r>
        <w:t xml:space="preserve"> [</w:t>
      </w:r>
      <w:r w:rsidR="00670529" w:rsidRPr="00670529">
        <w:t>0</w:t>
      </w:r>
      <w:r>
        <w:t>-</w:t>
      </w:r>
      <w:r w:rsidR="00670529" w:rsidRPr="00670529">
        <w:t>1</w:t>
      </w:r>
      <w:r>
        <w:t>]</w:t>
      </w:r>
    </w:p>
    <w:p w14:paraId="46DDE888" w14:textId="3B29BA89" w:rsidR="00433B13" w:rsidRDefault="00433B13" w:rsidP="00433B13">
      <w:r>
        <w:t xml:space="preserve">Q1 asks whether the achieved sample adequately represents the explicitly classified target population with respect to the principal age and sex groups expected within that target. It is not a national-representativeness </w:t>
      </w:r>
      <w:r>
        <w:t>score,</w:t>
      </w:r>
      <w:r>
        <w:t xml:space="preserve"> and it is not determined by Q3 or Q4. A paediatric, pregnant, donor or occupation-defined study is judged against that restricted target when the restriction genuinely defines the sampling universe.</w:t>
      </w:r>
      <w:r>
        <w:t xml:space="preserve"> </w:t>
      </w:r>
    </w:p>
    <w:p w14:paraId="11B518B2" w14:textId="4422CA8B" w:rsidR="00AD2C68" w:rsidRPr="006D4288" w:rsidRDefault="00433B13" w:rsidP="00433B13">
      <w:r w:rsidRPr="00433B13">
        <w:rPr>
          <w:b/>
          <w:bCs/>
          <w:i/>
          <w:iCs/>
        </w:rPr>
        <w:t>Minimum audit evidence</w:t>
      </w:r>
      <w:r>
        <w:t xml:space="preserve">: target-population code and qualifier; eligibility criteria; achieved age distribution; achieved sex distribution when relevant; major exclusions/restrictions; and the population to which the article interprets or generalizes the endpoint. If representation cannot be judged from the reported information, score 0 rather than assuming </w:t>
      </w:r>
      <w:r>
        <w:t>adequacy.</w:t>
      </w:r>
    </w:p>
    <w:tbl>
      <w:tblPr>
        <w:tblStyle w:val="TableGrid"/>
        <w:tblW w:w="9209" w:type="dxa"/>
        <w:tblLook w:val="04A0" w:firstRow="1" w:lastRow="0" w:firstColumn="1" w:lastColumn="0" w:noHBand="0" w:noVBand="1"/>
      </w:tblPr>
      <w:tblGrid>
        <w:gridCol w:w="738"/>
        <w:gridCol w:w="5636"/>
        <w:gridCol w:w="2835"/>
      </w:tblGrid>
      <w:tr w:rsidR="00433B13" w:rsidRPr="00433B13" w14:paraId="69C46FC8" w14:textId="6103B770" w:rsidTr="00433B13">
        <w:tc>
          <w:tcPr>
            <w:tcW w:w="738" w:type="dxa"/>
            <w:hideMark/>
          </w:tcPr>
          <w:p w14:paraId="3781A508" w14:textId="77777777" w:rsidR="00433B13" w:rsidRPr="00433B13" w:rsidRDefault="00433B13" w:rsidP="00891D79">
            <w:pPr>
              <w:spacing w:before="0" w:after="0"/>
              <w:jc w:val="center"/>
              <w:rPr>
                <w:b/>
                <w:bCs/>
                <w:color w:val="153D63" w:themeColor="text2" w:themeTint="E6"/>
                <w:sz w:val="20"/>
                <w:szCs w:val="20"/>
              </w:rPr>
            </w:pPr>
            <w:r w:rsidRPr="00433B13">
              <w:rPr>
                <w:b/>
                <w:bCs/>
                <w:color w:val="153D63" w:themeColor="text2" w:themeTint="E6"/>
                <w:sz w:val="20"/>
                <w:szCs w:val="20"/>
              </w:rPr>
              <w:t>Score</w:t>
            </w:r>
          </w:p>
        </w:tc>
        <w:tc>
          <w:tcPr>
            <w:tcW w:w="5636" w:type="dxa"/>
            <w:hideMark/>
          </w:tcPr>
          <w:p w14:paraId="03A4F129" w14:textId="77777777" w:rsidR="00433B13" w:rsidRPr="00433B13" w:rsidRDefault="00433B13" w:rsidP="00891D79">
            <w:pPr>
              <w:spacing w:before="0" w:after="0"/>
              <w:jc w:val="center"/>
              <w:rPr>
                <w:b/>
                <w:bCs/>
                <w:color w:val="153D63" w:themeColor="text2" w:themeTint="E6"/>
                <w:sz w:val="20"/>
                <w:szCs w:val="20"/>
              </w:rPr>
            </w:pPr>
            <w:r w:rsidRPr="00433B13">
              <w:rPr>
                <w:b/>
                <w:bCs/>
                <w:color w:val="153D63" w:themeColor="text2" w:themeTint="E6"/>
                <w:sz w:val="20"/>
                <w:szCs w:val="20"/>
              </w:rPr>
              <w:t>Application rule</w:t>
            </w:r>
          </w:p>
        </w:tc>
        <w:tc>
          <w:tcPr>
            <w:tcW w:w="2835" w:type="dxa"/>
          </w:tcPr>
          <w:p w14:paraId="66A122EB" w14:textId="4FCCC113" w:rsidR="00433B13" w:rsidRPr="00433B13" w:rsidRDefault="00433B13" w:rsidP="00891D79">
            <w:pPr>
              <w:spacing w:before="0" w:after="0"/>
              <w:jc w:val="center"/>
              <w:rPr>
                <w:b/>
                <w:bCs/>
                <w:color w:val="153D63" w:themeColor="text2" w:themeTint="E6"/>
                <w:sz w:val="20"/>
                <w:szCs w:val="20"/>
              </w:rPr>
            </w:pPr>
            <w:r w:rsidRPr="00433B13">
              <w:rPr>
                <w:b/>
                <w:bCs/>
                <w:color w:val="153D63" w:themeColor="text2" w:themeTint="E6"/>
                <w:sz w:val="20"/>
                <w:szCs w:val="20"/>
              </w:rPr>
              <w:t>App guardrail</w:t>
            </w:r>
          </w:p>
        </w:tc>
      </w:tr>
      <w:tr w:rsidR="00433B13" w:rsidRPr="00433B13" w14:paraId="21F1FAA4" w14:textId="4EC58C67" w:rsidTr="00433B13">
        <w:tc>
          <w:tcPr>
            <w:tcW w:w="738" w:type="dxa"/>
            <w:vAlign w:val="center"/>
            <w:hideMark/>
          </w:tcPr>
          <w:p w14:paraId="30014D35" w14:textId="77777777" w:rsidR="00433B13" w:rsidRPr="00433B13" w:rsidRDefault="00433B13" w:rsidP="00433B13">
            <w:pPr>
              <w:spacing w:before="0" w:after="0"/>
              <w:jc w:val="left"/>
              <w:rPr>
                <w:sz w:val="20"/>
                <w:szCs w:val="20"/>
              </w:rPr>
            </w:pPr>
            <w:r w:rsidRPr="00433B13">
              <w:rPr>
                <w:b/>
                <w:bCs/>
                <w:sz w:val="20"/>
                <w:szCs w:val="20"/>
              </w:rPr>
              <w:t>0</w:t>
            </w:r>
          </w:p>
        </w:tc>
        <w:tc>
          <w:tcPr>
            <w:tcW w:w="5636" w:type="dxa"/>
            <w:vAlign w:val="center"/>
            <w:hideMark/>
          </w:tcPr>
          <w:p w14:paraId="3CFBC644" w14:textId="596C826A" w:rsidR="00433B13" w:rsidRPr="00433B13" w:rsidRDefault="00433B13" w:rsidP="00433B13">
            <w:pPr>
              <w:spacing w:before="0" w:after="0"/>
              <w:jc w:val="left"/>
              <w:rPr>
                <w:sz w:val="20"/>
                <w:szCs w:val="20"/>
              </w:rPr>
            </w:pPr>
            <w:r w:rsidRPr="00433B13">
              <w:rPr>
                <w:sz w:val="20"/>
                <w:szCs w:val="20"/>
              </w:rPr>
              <w:t>Target is unclear; age/sex information is insufficient to judge representation; important within-target groups are materially excluded/imbalanced without justification; or a restricted/special subgroup is generalized to a broader population that it does not represent.</w:t>
            </w:r>
          </w:p>
        </w:tc>
        <w:tc>
          <w:tcPr>
            <w:tcW w:w="2835" w:type="dxa"/>
            <w:vAlign w:val="center"/>
          </w:tcPr>
          <w:p w14:paraId="0BA82F00" w14:textId="32D3FEF7" w:rsidR="00433B13" w:rsidRPr="00433B13" w:rsidRDefault="00433B13" w:rsidP="00433B13">
            <w:pPr>
              <w:spacing w:before="0" w:after="0"/>
              <w:jc w:val="left"/>
              <w:rPr>
                <w:sz w:val="20"/>
                <w:szCs w:val="20"/>
              </w:rPr>
            </w:pPr>
            <w:r w:rsidRPr="00433B13">
              <w:rPr>
                <w:sz w:val="20"/>
                <w:szCs w:val="20"/>
              </w:rPr>
              <w:t>Do not use Q3 frame quality, Q4 recruitment strength, sample size alone, or countrywide wording to rescue Q1.</w:t>
            </w:r>
          </w:p>
        </w:tc>
      </w:tr>
      <w:tr w:rsidR="00433B13" w:rsidRPr="00433B13" w14:paraId="44FD73FE" w14:textId="4E1FD5D6" w:rsidTr="00433B13">
        <w:tc>
          <w:tcPr>
            <w:tcW w:w="738" w:type="dxa"/>
            <w:vAlign w:val="center"/>
            <w:hideMark/>
          </w:tcPr>
          <w:p w14:paraId="5B293A8C" w14:textId="77777777" w:rsidR="00433B13" w:rsidRPr="00433B13" w:rsidRDefault="00433B13" w:rsidP="00433B13">
            <w:pPr>
              <w:spacing w:before="0" w:after="0"/>
              <w:jc w:val="left"/>
              <w:rPr>
                <w:sz w:val="20"/>
                <w:szCs w:val="20"/>
              </w:rPr>
            </w:pPr>
            <w:r w:rsidRPr="00433B13">
              <w:rPr>
                <w:b/>
                <w:bCs/>
                <w:sz w:val="20"/>
                <w:szCs w:val="20"/>
              </w:rPr>
              <w:t>1</w:t>
            </w:r>
          </w:p>
        </w:tc>
        <w:tc>
          <w:tcPr>
            <w:tcW w:w="5636" w:type="dxa"/>
            <w:vAlign w:val="center"/>
            <w:hideMark/>
          </w:tcPr>
          <w:p w14:paraId="57B7E5F3" w14:textId="4C6FE52E" w:rsidR="00433B13" w:rsidRPr="00433B13" w:rsidRDefault="00433B13" w:rsidP="00433B13">
            <w:pPr>
              <w:spacing w:before="0" w:after="0"/>
              <w:jc w:val="left"/>
              <w:rPr>
                <w:sz w:val="20"/>
                <w:szCs w:val="20"/>
              </w:rPr>
            </w:pPr>
            <w:r w:rsidRPr="00433B13">
              <w:rPr>
                <w:sz w:val="20"/>
                <w:szCs w:val="20"/>
              </w:rPr>
              <w:t>The achieved sample includes the principal age and sex groups expected for the explicitly defined target, with no major unexplained demographic restriction that makes the sample inconsistent with that target. Legitimate age-/sex-specific targets may score 1 when the restriction is intrinsic to the target.</w:t>
            </w:r>
          </w:p>
        </w:tc>
        <w:tc>
          <w:tcPr>
            <w:tcW w:w="2835" w:type="dxa"/>
            <w:vAlign w:val="center"/>
          </w:tcPr>
          <w:p w14:paraId="365B4D7B" w14:textId="7BB7E4FB" w:rsidR="00433B13" w:rsidRPr="00433B13" w:rsidRDefault="00433B13" w:rsidP="00433B13">
            <w:pPr>
              <w:spacing w:before="0" w:after="0"/>
              <w:jc w:val="left"/>
              <w:rPr>
                <w:sz w:val="20"/>
                <w:szCs w:val="20"/>
              </w:rPr>
            </w:pPr>
            <w:r w:rsidRPr="00433B13">
              <w:rPr>
                <w:sz w:val="20"/>
                <w:szCs w:val="20"/>
              </w:rPr>
              <w:t>Pregnant women need not include men; paediatric targets need not include adults; donor age restrictions are judged against the eligible donor target.</w:t>
            </w:r>
          </w:p>
        </w:tc>
      </w:tr>
    </w:tbl>
    <w:p w14:paraId="3B647F9F" w14:textId="77777777" w:rsidR="00433B13" w:rsidRDefault="00433B13" w:rsidP="004E7015">
      <w:pPr>
        <w:spacing w:before="0" w:after="0"/>
      </w:pPr>
    </w:p>
    <w:p w14:paraId="70E14224" w14:textId="035DAA8C" w:rsidR="00670529" w:rsidRPr="00670529" w:rsidRDefault="00C80321" w:rsidP="00FA7B0E">
      <w:pPr>
        <w:pStyle w:val="Heading2"/>
      </w:pPr>
      <w:r>
        <w:t xml:space="preserve">Q2: </w:t>
      </w:r>
      <w:r w:rsidR="00670529" w:rsidRPr="00670529">
        <w:t>Direct participant-derived data or specimens</w:t>
      </w:r>
      <w:r>
        <w:t xml:space="preserve"> [</w:t>
      </w:r>
      <w:r w:rsidR="00670529" w:rsidRPr="00670529">
        <w:t>0</w:t>
      </w:r>
      <w:r w:rsidR="00FA27D0">
        <w:t>-</w:t>
      </w:r>
      <w:r w:rsidR="00670529" w:rsidRPr="00670529">
        <w:t>1</w:t>
      </w:r>
      <w:r>
        <w:t>]</w:t>
      </w:r>
    </w:p>
    <w:p w14:paraId="40FC32DC" w14:textId="6DB6874E" w:rsidR="00DB7C51" w:rsidRPr="00C80321" w:rsidRDefault="004E7015" w:rsidP="00E01F75">
      <w:r w:rsidRPr="004E7015">
        <w:t xml:space="preserve">This criterion concerns the origin of the measurement, not target-population representation, frame </w:t>
      </w:r>
      <w:r w:rsidRPr="004E7015">
        <w:t>coverage,</w:t>
      </w:r>
      <w:r w:rsidRPr="004E7015">
        <w:t xml:space="preserve"> or recruitment quality. Archived or stored specimens can score 1 because a specimen does not cease to be participant-derived merely because it was collected previously or stored in a biobank. Conversely, a direct participant-derived specimen does not imply that the study is representative. Q2 must therefore be scored independently of Q1, Q3 and Q4. For example, an archived convenience specimen may receive Q2=1 while Q3 or Q4 score 0-1</w:t>
      </w:r>
      <w:r w:rsidR="00E01F75" w:rsidRPr="00B36D8F">
        <w:t>.</w:t>
      </w:r>
    </w:p>
    <w:tbl>
      <w:tblPr>
        <w:tblStyle w:val="TableGrid"/>
        <w:tblW w:w="0" w:type="auto"/>
        <w:tblLook w:val="04A0" w:firstRow="1" w:lastRow="0" w:firstColumn="1" w:lastColumn="0" w:noHBand="0" w:noVBand="1"/>
      </w:tblPr>
      <w:tblGrid>
        <w:gridCol w:w="738"/>
        <w:gridCol w:w="8278"/>
      </w:tblGrid>
      <w:tr w:rsidR="00670529" w:rsidRPr="00670529" w14:paraId="30F3E905" w14:textId="77777777" w:rsidTr="00CD7EB4">
        <w:tc>
          <w:tcPr>
            <w:tcW w:w="0" w:type="auto"/>
            <w:hideMark/>
          </w:tcPr>
          <w:p w14:paraId="58697E2E"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Score</w:t>
            </w:r>
          </w:p>
        </w:tc>
        <w:tc>
          <w:tcPr>
            <w:tcW w:w="0" w:type="auto"/>
            <w:hideMark/>
          </w:tcPr>
          <w:p w14:paraId="621A95DB"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Application rule</w:t>
            </w:r>
          </w:p>
        </w:tc>
      </w:tr>
      <w:tr w:rsidR="00670529" w:rsidRPr="00670529" w14:paraId="6E91970C" w14:textId="77777777" w:rsidTr="00EA6403">
        <w:tc>
          <w:tcPr>
            <w:tcW w:w="0" w:type="auto"/>
            <w:vAlign w:val="center"/>
            <w:hideMark/>
          </w:tcPr>
          <w:p w14:paraId="183F4554" w14:textId="77777777" w:rsidR="00670529" w:rsidRPr="00670529" w:rsidRDefault="00670529" w:rsidP="00EA6403">
            <w:pPr>
              <w:spacing w:before="0" w:after="0"/>
              <w:jc w:val="left"/>
            </w:pPr>
            <w:r w:rsidRPr="00670529">
              <w:rPr>
                <w:b/>
                <w:bCs/>
              </w:rPr>
              <w:t>0</w:t>
            </w:r>
          </w:p>
        </w:tc>
        <w:tc>
          <w:tcPr>
            <w:tcW w:w="0" w:type="auto"/>
            <w:vAlign w:val="center"/>
            <w:hideMark/>
          </w:tcPr>
          <w:p w14:paraId="4E535931" w14:textId="514A81AC" w:rsidR="00670529" w:rsidRPr="00670529" w:rsidRDefault="0076386A" w:rsidP="00EA6403">
            <w:pPr>
              <w:spacing w:before="0" w:after="0"/>
              <w:jc w:val="left"/>
            </w:pPr>
            <w:r w:rsidRPr="0076386A">
              <w:t xml:space="preserve">Outcome derives only from proxy respondents, aggregated surveillance reports, line lists, medical records, modelled/reconstructed </w:t>
            </w:r>
            <w:r w:rsidR="00EA6403" w:rsidRPr="0076386A">
              <w:t>results,</w:t>
            </w:r>
            <w:r w:rsidRPr="0076386A">
              <w:t xml:space="preserve"> or another secondary source without direct participant biological measurement; or provenance cannot be established.</w:t>
            </w:r>
            <w:r>
              <w:t xml:space="preserve"> </w:t>
            </w:r>
          </w:p>
        </w:tc>
      </w:tr>
      <w:tr w:rsidR="00670529" w:rsidRPr="00670529" w14:paraId="2BAC7915" w14:textId="77777777" w:rsidTr="00EA6403">
        <w:tc>
          <w:tcPr>
            <w:tcW w:w="0" w:type="auto"/>
            <w:vAlign w:val="center"/>
            <w:hideMark/>
          </w:tcPr>
          <w:p w14:paraId="625C96ED" w14:textId="77777777" w:rsidR="00670529" w:rsidRPr="00670529" w:rsidRDefault="00670529" w:rsidP="00EA6403">
            <w:pPr>
              <w:spacing w:before="0" w:after="0"/>
              <w:jc w:val="left"/>
            </w:pPr>
            <w:r w:rsidRPr="00670529">
              <w:rPr>
                <w:b/>
                <w:bCs/>
              </w:rPr>
              <w:t>1</w:t>
            </w:r>
          </w:p>
        </w:tc>
        <w:tc>
          <w:tcPr>
            <w:tcW w:w="0" w:type="auto"/>
            <w:vAlign w:val="center"/>
            <w:hideMark/>
          </w:tcPr>
          <w:p w14:paraId="1516EDC6" w14:textId="1347C7F7" w:rsidR="00670529" w:rsidRPr="00670529" w:rsidRDefault="00EA6403" w:rsidP="00EA6403">
            <w:pPr>
              <w:spacing w:before="0" w:after="0"/>
              <w:jc w:val="left"/>
            </w:pPr>
            <w:r w:rsidRPr="00EA6403">
              <w:t xml:space="preserve">The arbovirus parameter is measured from an individual participant-derived blood, serum, plasma, CSF, urine, </w:t>
            </w:r>
            <w:r w:rsidR="00361745" w:rsidRPr="00EA6403">
              <w:t>saliva,</w:t>
            </w:r>
            <w:r w:rsidRPr="00EA6403">
              <w:t xml:space="preserve"> or other biological specimen, or directly collected participant data relevant to the endpoint.</w:t>
            </w:r>
          </w:p>
        </w:tc>
      </w:tr>
    </w:tbl>
    <w:p w14:paraId="693C05EC" w14:textId="2D3D9AF5" w:rsidR="00670529" w:rsidRPr="00670529" w:rsidRDefault="00B36D8F" w:rsidP="00FA7B0E">
      <w:pPr>
        <w:pStyle w:val="Heading2"/>
      </w:pPr>
      <w:r>
        <w:t xml:space="preserve">Q3: </w:t>
      </w:r>
      <w:r w:rsidR="00670529" w:rsidRPr="00670529">
        <w:t>Sampling-frame representation</w:t>
      </w:r>
      <w:r>
        <w:t xml:space="preserve"> [</w:t>
      </w:r>
      <w:r w:rsidR="00670529" w:rsidRPr="00670529">
        <w:t>0</w:t>
      </w:r>
      <w:r w:rsidR="00FA27D0">
        <w:t>-</w:t>
      </w:r>
      <w:r w:rsidR="00670529" w:rsidRPr="00670529">
        <w:t>1</w:t>
      </w:r>
      <w:r>
        <w:t>]</w:t>
      </w:r>
    </w:p>
    <w:p w14:paraId="0BD93373" w14:textId="3FF65894" w:rsidR="0055762D" w:rsidRDefault="004E7015" w:rsidP="00AD1AC8">
      <w:r w:rsidRPr="004E7015">
        <w:t xml:space="preserve">Q3 asks whether the source frame - the register, network, roster, enumeration </w:t>
      </w:r>
      <w:r w:rsidRPr="004E7015">
        <w:t>system,</w:t>
      </w:r>
      <w:r w:rsidRPr="004E7015">
        <w:t xml:space="preserve"> or operational specimen source from which participants could enter the endpoint denominator - reasonably covers the classified target population. Q3 does not ask how participants were selected from that frame; that is Q4. Use the most specific frame supported by the article. “Hospital”, “laboratory” or “multicentre” alone should not be treated as a precise frame when the service/source can be resolved further</w:t>
      </w:r>
      <w:r w:rsidR="00AD1AC8" w:rsidRPr="00670529">
        <w:t>.</w:t>
      </w:r>
    </w:p>
    <w:p w14:paraId="6611B418" w14:textId="77777777" w:rsidR="004E7015" w:rsidRDefault="004E7015" w:rsidP="00AD1AC8"/>
    <w:p w14:paraId="6786676E" w14:textId="77777777" w:rsidR="004E7015" w:rsidRDefault="004E7015" w:rsidP="00AD1AC8"/>
    <w:p w14:paraId="09431D32" w14:textId="77777777" w:rsidR="004E7015" w:rsidRDefault="004E7015" w:rsidP="00AD1AC8"/>
    <w:tbl>
      <w:tblPr>
        <w:tblStyle w:val="TableGridLight"/>
        <w:tblW w:w="977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92"/>
        <w:gridCol w:w="3026"/>
        <w:gridCol w:w="5954"/>
      </w:tblGrid>
      <w:tr w:rsidR="004E7015" w:rsidRPr="004E7015" w14:paraId="4BBFAAA6" w14:textId="77777777" w:rsidTr="004E7015">
        <w:tc>
          <w:tcPr>
            <w:tcW w:w="792" w:type="dxa"/>
            <w:vAlign w:val="center"/>
          </w:tcPr>
          <w:p w14:paraId="19C68387" w14:textId="77777777" w:rsidR="004E7015" w:rsidRPr="004E7015" w:rsidRDefault="004E7015" w:rsidP="004E7015">
            <w:pPr>
              <w:spacing w:before="0" w:after="0"/>
              <w:jc w:val="center"/>
              <w:rPr>
                <w:rFonts w:cs="Times New Roman"/>
                <w:color w:val="0F4761" w:themeColor="accent1" w:themeShade="BF"/>
                <w:sz w:val="20"/>
                <w:szCs w:val="20"/>
              </w:rPr>
            </w:pPr>
            <w:r w:rsidRPr="004E7015">
              <w:rPr>
                <w:rFonts w:cs="Times New Roman"/>
                <w:b/>
                <w:color w:val="0F4761" w:themeColor="accent1" w:themeShade="BF"/>
                <w:sz w:val="20"/>
                <w:szCs w:val="20"/>
              </w:rPr>
              <w:lastRenderedPageBreak/>
              <w:t>Code</w:t>
            </w:r>
          </w:p>
        </w:tc>
        <w:tc>
          <w:tcPr>
            <w:tcW w:w="3026" w:type="dxa"/>
            <w:vAlign w:val="center"/>
          </w:tcPr>
          <w:p w14:paraId="6FB09BFF" w14:textId="77777777" w:rsidR="004E7015" w:rsidRPr="004E7015" w:rsidRDefault="004E7015" w:rsidP="004E7015">
            <w:pPr>
              <w:spacing w:before="0" w:after="0"/>
              <w:jc w:val="center"/>
              <w:rPr>
                <w:rFonts w:cs="Times New Roman"/>
                <w:color w:val="0F4761" w:themeColor="accent1" w:themeShade="BF"/>
                <w:sz w:val="20"/>
                <w:szCs w:val="20"/>
              </w:rPr>
            </w:pPr>
            <w:r w:rsidRPr="004E7015">
              <w:rPr>
                <w:rFonts w:cs="Times New Roman"/>
                <w:b/>
                <w:color w:val="0F4761" w:themeColor="accent1" w:themeShade="BF"/>
                <w:sz w:val="20"/>
                <w:szCs w:val="20"/>
              </w:rPr>
              <w:t>Controlled sampling frame</w:t>
            </w:r>
          </w:p>
        </w:tc>
        <w:tc>
          <w:tcPr>
            <w:tcW w:w="5954" w:type="dxa"/>
            <w:vAlign w:val="center"/>
          </w:tcPr>
          <w:p w14:paraId="655D6A30" w14:textId="77777777" w:rsidR="004E7015" w:rsidRPr="004E7015" w:rsidRDefault="004E7015" w:rsidP="004E7015">
            <w:pPr>
              <w:spacing w:before="0" w:after="0"/>
              <w:jc w:val="center"/>
              <w:rPr>
                <w:rFonts w:cs="Times New Roman"/>
                <w:color w:val="0F4761" w:themeColor="accent1" w:themeShade="BF"/>
                <w:sz w:val="20"/>
                <w:szCs w:val="20"/>
              </w:rPr>
            </w:pPr>
            <w:r w:rsidRPr="004E7015">
              <w:rPr>
                <w:rFonts w:cs="Times New Roman"/>
                <w:b/>
                <w:color w:val="0F4761" w:themeColor="accent1" w:themeShade="BF"/>
                <w:sz w:val="20"/>
                <w:szCs w:val="20"/>
              </w:rPr>
              <w:t>Operational definition / boundary rule</w:t>
            </w:r>
          </w:p>
        </w:tc>
      </w:tr>
      <w:tr w:rsidR="004E7015" w:rsidRPr="004E7015" w14:paraId="2437FF50" w14:textId="77777777" w:rsidTr="004E7015">
        <w:tc>
          <w:tcPr>
            <w:tcW w:w="792" w:type="dxa"/>
            <w:vAlign w:val="center"/>
          </w:tcPr>
          <w:p w14:paraId="13027BC6"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SF1</w:t>
            </w:r>
          </w:p>
        </w:tc>
        <w:tc>
          <w:tcPr>
            <w:tcW w:w="3026" w:type="dxa"/>
            <w:vAlign w:val="center"/>
          </w:tcPr>
          <w:p w14:paraId="615309C2"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Inpatient Registry</w:t>
            </w:r>
          </w:p>
        </w:tc>
        <w:tc>
          <w:tcPr>
            <w:tcW w:w="5954" w:type="dxa"/>
            <w:vAlign w:val="center"/>
          </w:tcPr>
          <w:p w14:paraId="49AA4579"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Admission/ward/ICU registry or inpatient source. Best matched to hospitalized/severe targets; may under-cover broader febrile or outpatient targets.</w:t>
            </w:r>
          </w:p>
        </w:tc>
      </w:tr>
      <w:tr w:rsidR="004E7015" w:rsidRPr="004E7015" w14:paraId="35A566D4" w14:textId="77777777" w:rsidTr="004E7015">
        <w:tc>
          <w:tcPr>
            <w:tcW w:w="792" w:type="dxa"/>
            <w:vAlign w:val="center"/>
          </w:tcPr>
          <w:p w14:paraId="134A5710"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SF2</w:t>
            </w:r>
          </w:p>
        </w:tc>
        <w:tc>
          <w:tcPr>
            <w:tcW w:w="3026" w:type="dxa"/>
            <w:vAlign w:val="center"/>
          </w:tcPr>
          <w:p w14:paraId="25FAC0BA"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Outpatient Clinic Registry</w:t>
            </w:r>
          </w:p>
        </w:tc>
        <w:tc>
          <w:tcPr>
            <w:tcW w:w="5954" w:type="dxa"/>
            <w:vAlign w:val="center"/>
          </w:tcPr>
          <w:p w14:paraId="1FC07717"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General OPD/ambulatory/primary-care attendance register. Distinguish from specialised clinic and lab-only sources.</w:t>
            </w:r>
          </w:p>
        </w:tc>
      </w:tr>
      <w:tr w:rsidR="004E7015" w:rsidRPr="004E7015" w14:paraId="05B15D1E" w14:textId="77777777" w:rsidTr="004E7015">
        <w:tc>
          <w:tcPr>
            <w:tcW w:w="792" w:type="dxa"/>
            <w:vAlign w:val="center"/>
          </w:tcPr>
          <w:p w14:paraId="256692B5"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SF3</w:t>
            </w:r>
          </w:p>
        </w:tc>
        <w:tc>
          <w:tcPr>
            <w:tcW w:w="3026" w:type="dxa"/>
            <w:vAlign w:val="center"/>
          </w:tcPr>
          <w:p w14:paraId="6B16EC5D"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General Lab Register</w:t>
            </w:r>
          </w:p>
        </w:tc>
        <w:tc>
          <w:tcPr>
            <w:tcW w:w="5954" w:type="dxa"/>
            <w:vAlign w:val="center"/>
          </w:tcPr>
          <w:p w14:paraId="697697FB" w14:textId="57EEF3A2" w:rsidR="004E7015" w:rsidRPr="004E7015" w:rsidRDefault="004E7015" w:rsidP="004E7015">
            <w:pPr>
              <w:spacing w:before="0" w:after="0"/>
              <w:jc w:val="left"/>
              <w:rPr>
                <w:rFonts w:cs="Times New Roman"/>
                <w:sz w:val="20"/>
                <w:szCs w:val="20"/>
              </w:rPr>
            </w:pPr>
            <w:r w:rsidRPr="004E7015">
              <w:rPr>
                <w:rFonts w:cs="Times New Roman"/>
                <w:sz w:val="20"/>
                <w:szCs w:val="20"/>
              </w:rPr>
              <w:t xml:space="preserve">General diagnostic/reference laboratory register or specimen stream containing diagnostic seekers, routine </w:t>
            </w:r>
            <w:r w:rsidRPr="004E7015">
              <w:rPr>
                <w:rFonts w:cs="Times New Roman"/>
                <w:sz w:val="20"/>
                <w:szCs w:val="20"/>
              </w:rPr>
              <w:t>check-ups,</w:t>
            </w:r>
            <w:r w:rsidRPr="004E7015">
              <w:rPr>
                <w:rFonts w:cs="Times New Roman"/>
                <w:sz w:val="20"/>
                <w:szCs w:val="20"/>
              </w:rPr>
              <w:t xml:space="preserve"> and/or healthy screeners. Use only when the lab is the source frame, not merely the testing location.</w:t>
            </w:r>
          </w:p>
        </w:tc>
      </w:tr>
      <w:tr w:rsidR="004E7015" w:rsidRPr="004E7015" w14:paraId="46D54098" w14:textId="77777777" w:rsidTr="004E7015">
        <w:tc>
          <w:tcPr>
            <w:tcW w:w="792" w:type="dxa"/>
            <w:vAlign w:val="center"/>
          </w:tcPr>
          <w:p w14:paraId="004DEEB7"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SF4</w:t>
            </w:r>
          </w:p>
        </w:tc>
        <w:tc>
          <w:tcPr>
            <w:tcW w:w="3026" w:type="dxa"/>
            <w:vAlign w:val="center"/>
          </w:tcPr>
          <w:p w14:paraId="48CB9967"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Specialised Clinic Register</w:t>
            </w:r>
          </w:p>
        </w:tc>
        <w:tc>
          <w:tcPr>
            <w:tcW w:w="5954" w:type="dxa"/>
            <w:vAlign w:val="center"/>
          </w:tcPr>
          <w:p w14:paraId="45C8E3BA" w14:textId="217B3BBD" w:rsidR="004E7015" w:rsidRPr="004E7015" w:rsidRDefault="004E7015" w:rsidP="004E7015">
            <w:pPr>
              <w:spacing w:before="0" w:after="0"/>
              <w:jc w:val="left"/>
              <w:rPr>
                <w:rFonts w:cs="Times New Roman"/>
                <w:sz w:val="20"/>
                <w:szCs w:val="20"/>
              </w:rPr>
            </w:pPr>
            <w:r w:rsidRPr="004E7015">
              <w:rPr>
                <w:rFonts w:cs="Times New Roman"/>
                <w:sz w:val="20"/>
                <w:szCs w:val="20"/>
              </w:rPr>
              <w:t xml:space="preserve">Service defined by physiological state or diagnosis, e.g. ANC/maternity, HIV, </w:t>
            </w:r>
            <w:r w:rsidRPr="004E7015">
              <w:rPr>
                <w:rFonts w:cs="Times New Roman"/>
                <w:sz w:val="20"/>
                <w:szCs w:val="20"/>
              </w:rPr>
              <w:t>diabetes,</w:t>
            </w:r>
            <w:r w:rsidRPr="004E7015">
              <w:rPr>
                <w:rFonts w:cs="Times New Roman"/>
                <w:sz w:val="20"/>
                <w:szCs w:val="20"/>
              </w:rPr>
              <w:t xml:space="preserve"> or another disease-specific clinic.</w:t>
            </w:r>
          </w:p>
        </w:tc>
      </w:tr>
      <w:tr w:rsidR="004E7015" w:rsidRPr="004E7015" w14:paraId="6C33AAFE" w14:textId="77777777" w:rsidTr="004E7015">
        <w:tc>
          <w:tcPr>
            <w:tcW w:w="792" w:type="dxa"/>
            <w:vAlign w:val="center"/>
          </w:tcPr>
          <w:p w14:paraId="7E1BE1E1"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SF5</w:t>
            </w:r>
          </w:p>
        </w:tc>
        <w:tc>
          <w:tcPr>
            <w:tcW w:w="3026" w:type="dxa"/>
            <w:vAlign w:val="center"/>
          </w:tcPr>
          <w:p w14:paraId="0EB56CB4"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Blood Donor Registry</w:t>
            </w:r>
          </w:p>
        </w:tc>
        <w:tc>
          <w:tcPr>
            <w:tcW w:w="5954" w:type="dxa"/>
            <w:vAlign w:val="center"/>
          </w:tcPr>
          <w:p w14:paraId="6117E186"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Blood-transfusion/donation registry or donor specimen stream.</w:t>
            </w:r>
          </w:p>
        </w:tc>
      </w:tr>
      <w:tr w:rsidR="004E7015" w:rsidRPr="004E7015" w14:paraId="2B865FBD" w14:textId="77777777" w:rsidTr="004E7015">
        <w:tc>
          <w:tcPr>
            <w:tcW w:w="792" w:type="dxa"/>
            <w:vAlign w:val="center"/>
          </w:tcPr>
          <w:p w14:paraId="1533BFE5"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SF6</w:t>
            </w:r>
          </w:p>
        </w:tc>
        <w:tc>
          <w:tcPr>
            <w:tcW w:w="3026" w:type="dxa"/>
            <w:vAlign w:val="center"/>
          </w:tcPr>
          <w:p w14:paraId="7D558423"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Archived Specimen Frame</w:t>
            </w:r>
          </w:p>
        </w:tc>
        <w:tc>
          <w:tcPr>
            <w:tcW w:w="5954" w:type="dxa"/>
            <w:vAlign w:val="center"/>
          </w:tcPr>
          <w:p w14:paraId="54BB2BA6" w14:textId="7F2A6EF4" w:rsidR="004E7015" w:rsidRPr="004E7015" w:rsidRDefault="004E7015" w:rsidP="004E7015">
            <w:pPr>
              <w:spacing w:before="0" w:after="0"/>
              <w:jc w:val="left"/>
              <w:rPr>
                <w:rFonts w:cs="Times New Roman"/>
                <w:sz w:val="20"/>
                <w:szCs w:val="20"/>
              </w:rPr>
            </w:pPr>
            <w:r w:rsidRPr="004E7015">
              <w:rPr>
                <w:rFonts w:cs="Times New Roman"/>
                <w:sz w:val="20"/>
                <w:szCs w:val="20"/>
              </w:rPr>
              <w:t xml:space="preserve">Stored/residual repository is the operational </w:t>
            </w:r>
            <w:r w:rsidRPr="004E7015">
              <w:rPr>
                <w:rFonts w:cs="Times New Roman"/>
                <w:sz w:val="20"/>
                <w:szCs w:val="20"/>
              </w:rPr>
              <w:t>source,</w:t>
            </w:r>
            <w:r w:rsidRPr="004E7015">
              <w:rPr>
                <w:rFonts w:cs="Times New Roman"/>
                <w:sz w:val="20"/>
                <w:szCs w:val="20"/>
              </w:rPr>
              <w:t xml:space="preserve"> and no more specific original frame can be retained. If the original frame is known, retain it and mark archive as a modifier.</w:t>
            </w:r>
          </w:p>
        </w:tc>
      </w:tr>
      <w:tr w:rsidR="004E7015" w:rsidRPr="004E7015" w14:paraId="2D4B0161" w14:textId="77777777" w:rsidTr="004E7015">
        <w:tc>
          <w:tcPr>
            <w:tcW w:w="792" w:type="dxa"/>
            <w:vAlign w:val="center"/>
          </w:tcPr>
          <w:p w14:paraId="5D13A6BB"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SF7</w:t>
            </w:r>
          </w:p>
        </w:tc>
        <w:tc>
          <w:tcPr>
            <w:tcW w:w="3026" w:type="dxa"/>
            <w:vAlign w:val="center"/>
          </w:tcPr>
          <w:p w14:paraId="55F0424D"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Sentinel Site / Network</w:t>
            </w:r>
          </w:p>
        </w:tc>
        <w:tc>
          <w:tcPr>
            <w:tcW w:w="5954" w:type="dxa"/>
            <w:vAlign w:val="center"/>
          </w:tcPr>
          <w:p w14:paraId="7D2C732A"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Explicitly designated sentinel facilities/sites or sentinel laboratory/network. Sentinel status must be explicit.</w:t>
            </w:r>
          </w:p>
        </w:tc>
      </w:tr>
      <w:tr w:rsidR="004E7015" w:rsidRPr="004E7015" w14:paraId="04D85B1C" w14:textId="77777777" w:rsidTr="004E7015">
        <w:tc>
          <w:tcPr>
            <w:tcW w:w="792" w:type="dxa"/>
            <w:vAlign w:val="center"/>
          </w:tcPr>
          <w:p w14:paraId="3180A81A"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SF8</w:t>
            </w:r>
          </w:p>
        </w:tc>
        <w:tc>
          <w:tcPr>
            <w:tcW w:w="3026" w:type="dxa"/>
            <w:vAlign w:val="center"/>
          </w:tcPr>
          <w:p w14:paraId="2FBDBA53"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Surveillance / Outbreak Setting</w:t>
            </w:r>
          </w:p>
        </w:tc>
        <w:tc>
          <w:tcPr>
            <w:tcW w:w="5954" w:type="dxa"/>
            <w:vAlign w:val="center"/>
          </w:tcPr>
          <w:p w14:paraId="1CA1C391"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Formal routine/active/passive surveillance, case-finding, line-</w:t>
            </w:r>
            <w:proofErr w:type="gramStart"/>
            <w:r w:rsidRPr="004E7015">
              <w:rPr>
                <w:rFonts w:cs="Times New Roman"/>
                <w:sz w:val="20"/>
                <w:szCs w:val="20"/>
              </w:rPr>
              <w:t>list</w:t>
            </w:r>
            <w:proofErr w:type="gramEnd"/>
            <w:r w:rsidRPr="004E7015">
              <w:rPr>
                <w:rFonts w:cs="Times New Roman"/>
                <w:sz w:val="20"/>
                <w:szCs w:val="20"/>
              </w:rPr>
              <w:t xml:space="preserve"> or outbreak investigation/response system. Outbreak timing alone is insufficient.</w:t>
            </w:r>
          </w:p>
        </w:tc>
      </w:tr>
      <w:tr w:rsidR="004E7015" w:rsidRPr="004E7015" w14:paraId="0F33B366" w14:textId="77777777" w:rsidTr="004E7015">
        <w:tc>
          <w:tcPr>
            <w:tcW w:w="792" w:type="dxa"/>
            <w:vAlign w:val="center"/>
          </w:tcPr>
          <w:p w14:paraId="7B2BF4F2"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SF9</w:t>
            </w:r>
          </w:p>
        </w:tc>
        <w:tc>
          <w:tcPr>
            <w:tcW w:w="3026" w:type="dxa"/>
            <w:vAlign w:val="center"/>
          </w:tcPr>
          <w:p w14:paraId="6060D575"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Occupational / Exposure Frame</w:t>
            </w:r>
          </w:p>
        </w:tc>
        <w:tc>
          <w:tcPr>
            <w:tcW w:w="5954" w:type="dxa"/>
            <w:vAlign w:val="center"/>
          </w:tcPr>
          <w:p w14:paraId="7DE9D8EB" w14:textId="419F4337" w:rsidR="004E7015" w:rsidRPr="004E7015" w:rsidRDefault="004E7015" w:rsidP="004E7015">
            <w:pPr>
              <w:spacing w:before="0" w:after="0"/>
              <w:jc w:val="left"/>
              <w:rPr>
                <w:rFonts w:cs="Times New Roman"/>
                <w:sz w:val="20"/>
                <w:szCs w:val="20"/>
              </w:rPr>
            </w:pPr>
            <w:r w:rsidRPr="004E7015">
              <w:rPr>
                <w:rFonts w:cs="Times New Roman"/>
                <w:sz w:val="20"/>
                <w:szCs w:val="20"/>
              </w:rPr>
              <w:t xml:space="preserve">Workplace, </w:t>
            </w:r>
            <w:r w:rsidRPr="004E7015">
              <w:rPr>
                <w:rFonts w:cs="Times New Roman"/>
                <w:sz w:val="20"/>
                <w:szCs w:val="20"/>
              </w:rPr>
              <w:t>occupation,</w:t>
            </w:r>
            <w:r w:rsidRPr="004E7015">
              <w:rPr>
                <w:rFonts w:cs="Times New Roman"/>
                <w:sz w:val="20"/>
                <w:szCs w:val="20"/>
              </w:rPr>
              <w:t xml:space="preserve"> or exposure roster/settings from which the exposure-defined target can be identified.</w:t>
            </w:r>
          </w:p>
        </w:tc>
      </w:tr>
      <w:tr w:rsidR="004E7015" w:rsidRPr="004E7015" w14:paraId="31AE52EF" w14:textId="77777777" w:rsidTr="004E7015">
        <w:tc>
          <w:tcPr>
            <w:tcW w:w="792" w:type="dxa"/>
            <w:vAlign w:val="center"/>
          </w:tcPr>
          <w:p w14:paraId="4D7605A1"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SF10</w:t>
            </w:r>
          </w:p>
        </w:tc>
        <w:tc>
          <w:tcPr>
            <w:tcW w:w="3026" w:type="dxa"/>
            <w:vAlign w:val="center"/>
          </w:tcPr>
          <w:p w14:paraId="43C2C675"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Population / Household Enumeration</w:t>
            </w:r>
          </w:p>
        </w:tc>
        <w:tc>
          <w:tcPr>
            <w:tcW w:w="5954" w:type="dxa"/>
            <w:vAlign w:val="center"/>
          </w:tcPr>
          <w:p w14:paraId="22444F99" w14:textId="71810980" w:rsidR="004E7015" w:rsidRPr="004E7015" w:rsidRDefault="004E7015" w:rsidP="004E7015">
            <w:pPr>
              <w:spacing w:before="0" w:after="0"/>
              <w:jc w:val="left"/>
              <w:rPr>
                <w:rFonts w:cs="Times New Roman"/>
                <w:sz w:val="20"/>
                <w:szCs w:val="20"/>
              </w:rPr>
            </w:pPr>
            <w:r w:rsidRPr="004E7015">
              <w:rPr>
                <w:rFonts w:cs="Times New Roman"/>
                <w:sz w:val="20"/>
                <w:szCs w:val="20"/>
              </w:rPr>
              <w:t xml:space="preserve">Census, household list, enumeration areas, population </w:t>
            </w:r>
            <w:r w:rsidRPr="004E7015">
              <w:rPr>
                <w:rFonts w:cs="Times New Roman"/>
                <w:sz w:val="20"/>
                <w:szCs w:val="20"/>
              </w:rPr>
              <w:t>clusters,</w:t>
            </w:r>
            <w:r w:rsidRPr="004E7015">
              <w:rPr>
                <w:rFonts w:cs="Times New Roman"/>
                <w:sz w:val="20"/>
                <w:szCs w:val="20"/>
              </w:rPr>
              <w:t xml:space="preserve"> or comparable resident-based listing.</w:t>
            </w:r>
          </w:p>
        </w:tc>
      </w:tr>
      <w:tr w:rsidR="004E7015" w:rsidRPr="004E7015" w14:paraId="616C5968" w14:textId="77777777" w:rsidTr="004E7015">
        <w:tc>
          <w:tcPr>
            <w:tcW w:w="792" w:type="dxa"/>
            <w:vAlign w:val="center"/>
          </w:tcPr>
          <w:p w14:paraId="07B07711"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SF11</w:t>
            </w:r>
          </w:p>
        </w:tc>
        <w:tc>
          <w:tcPr>
            <w:tcW w:w="3026" w:type="dxa"/>
            <w:vAlign w:val="center"/>
          </w:tcPr>
          <w:p w14:paraId="17D46B4B"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Parent Cohort / Research Roster</w:t>
            </w:r>
          </w:p>
        </w:tc>
        <w:tc>
          <w:tcPr>
            <w:tcW w:w="5954" w:type="dxa"/>
            <w:vAlign w:val="center"/>
          </w:tcPr>
          <w:p w14:paraId="4B24E4DA" w14:textId="549522F7" w:rsidR="004E7015" w:rsidRPr="004E7015" w:rsidRDefault="004E7015" w:rsidP="004E7015">
            <w:pPr>
              <w:spacing w:before="0" w:after="0"/>
              <w:jc w:val="left"/>
              <w:rPr>
                <w:rFonts w:cs="Times New Roman"/>
                <w:sz w:val="20"/>
                <w:szCs w:val="20"/>
              </w:rPr>
            </w:pPr>
            <w:r w:rsidRPr="004E7015">
              <w:rPr>
                <w:rFonts w:cs="Times New Roman"/>
                <w:sz w:val="20"/>
                <w:szCs w:val="20"/>
              </w:rPr>
              <w:t xml:space="preserve">Existing trial, </w:t>
            </w:r>
            <w:r w:rsidRPr="004E7015">
              <w:rPr>
                <w:rFonts w:cs="Times New Roman"/>
                <w:sz w:val="20"/>
                <w:szCs w:val="20"/>
              </w:rPr>
              <w:t>cohort,</w:t>
            </w:r>
            <w:r w:rsidRPr="004E7015">
              <w:rPr>
                <w:rFonts w:cs="Times New Roman"/>
                <w:sz w:val="20"/>
                <w:szCs w:val="20"/>
              </w:rPr>
              <w:t xml:space="preserve"> or research roster supplies analytic participants/specimens. Parent recruitment remains relevant.</w:t>
            </w:r>
          </w:p>
        </w:tc>
      </w:tr>
      <w:tr w:rsidR="004E7015" w:rsidRPr="004E7015" w14:paraId="605FD2E4" w14:textId="77777777" w:rsidTr="004E7015">
        <w:tc>
          <w:tcPr>
            <w:tcW w:w="792" w:type="dxa"/>
            <w:vAlign w:val="center"/>
          </w:tcPr>
          <w:p w14:paraId="14AEDF4C"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SF12</w:t>
            </w:r>
          </w:p>
        </w:tc>
        <w:tc>
          <w:tcPr>
            <w:tcW w:w="3026" w:type="dxa"/>
            <w:vAlign w:val="center"/>
          </w:tcPr>
          <w:p w14:paraId="13B92B66"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Community / Location-Based Frame (No Verified Enumeration)</w:t>
            </w:r>
          </w:p>
        </w:tc>
        <w:tc>
          <w:tcPr>
            <w:tcW w:w="5954" w:type="dxa"/>
            <w:vAlign w:val="center"/>
          </w:tcPr>
          <w:p w14:paraId="41C291CA"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Named communities/areas are recruitment locations but no auditable listing/enumeration frame is documented.</w:t>
            </w:r>
          </w:p>
        </w:tc>
      </w:tr>
      <w:tr w:rsidR="004E7015" w:rsidRPr="004E7015" w14:paraId="233FD813" w14:textId="77777777" w:rsidTr="004E7015">
        <w:tc>
          <w:tcPr>
            <w:tcW w:w="792" w:type="dxa"/>
            <w:vAlign w:val="center"/>
          </w:tcPr>
          <w:p w14:paraId="572A4CDE"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SF13</w:t>
            </w:r>
          </w:p>
        </w:tc>
        <w:tc>
          <w:tcPr>
            <w:tcW w:w="3026" w:type="dxa"/>
            <w:vAlign w:val="center"/>
          </w:tcPr>
          <w:p w14:paraId="0CD3CAE6"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Health-Facility Register (Service Unspecified)</w:t>
            </w:r>
          </w:p>
        </w:tc>
        <w:tc>
          <w:tcPr>
            <w:tcW w:w="5954" w:type="dxa"/>
            <w:vAlign w:val="center"/>
          </w:tcPr>
          <w:p w14:paraId="341BA2C3" w14:textId="0300B3E4" w:rsidR="004E7015" w:rsidRPr="004E7015" w:rsidRDefault="004E7015" w:rsidP="004E7015">
            <w:pPr>
              <w:spacing w:before="0" w:after="0"/>
              <w:jc w:val="left"/>
              <w:rPr>
                <w:rFonts w:cs="Times New Roman"/>
                <w:sz w:val="20"/>
                <w:szCs w:val="20"/>
              </w:rPr>
            </w:pPr>
            <w:r w:rsidRPr="004E7015">
              <w:rPr>
                <w:rFonts w:cs="Times New Roman"/>
                <w:sz w:val="20"/>
                <w:szCs w:val="20"/>
              </w:rPr>
              <w:t xml:space="preserve">Health facility is clearly the </w:t>
            </w:r>
            <w:r w:rsidRPr="004E7015">
              <w:rPr>
                <w:rFonts w:cs="Times New Roman"/>
                <w:sz w:val="20"/>
                <w:szCs w:val="20"/>
              </w:rPr>
              <w:t>source,</w:t>
            </w:r>
            <w:r w:rsidRPr="004E7015">
              <w:rPr>
                <w:rFonts w:cs="Times New Roman"/>
                <w:sz w:val="20"/>
                <w:szCs w:val="20"/>
              </w:rPr>
              <w:t xml:space="preserve"> but inpatient/outpatient/specialised/lab service cannot be resolved.</w:t>
            </w:r>
          </w:p>
        </w:tc>
      </w:tr>
      <w:tr w:rsidR="004E7015" w:rsidRPr="004E7015" w14:paraId="3DB73047" w14:textId="77777777" w:rsidTr="004E7015">
        <w:tc>
          <w:tcPr>
            <w:tcW w:w="792" w:type="dxa"/>
            <w:vAlign w:val="center"/>
          </w:tcPr>
          <w:p w14:paraId="63512472"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SF14</w:t>
            </w:r>
          </w:p>
        </w:tc>
        <w:tc>
          <w:tcPr>
            <w:tcW w:w="3026" w:type="dxa"/>
            <w:vAlign w:val="center"/>
          </w:tcPr>
          <w:p w14:paraId="3AF0178F"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Mixed / Compound Frame</w:t>
            </w:r>
          </w:p>
        </w:tc>
        <w:tc>
          <w:tcPr>
            <w:tcW w:w="5954" w:type="dxa"/>
            <w:vAlign w:val="center"/>
          </w:tcPr>
          <w:p w14:paraId="27C4A33D" w14:textId="10A2EC93" w:rsidR="004E7015" w:rsidRPr="004E7015" w:rsidRDefault="004E7015" w:rsidP="004E7015">
            <w:pPr>
              <w:spacing w:before="0" w:after="0"/>
              <w:jc w:val="left"/>
              <w:rPr>
                <w:rFonts w:cs="Times New Roman"/>
                <w:sz w:val="20"/>
                <w:szCs w:val="20"/>
              </w:rPr>
            </w:pPr>
            <w:r w:rsidRPr="004E7015">
              <w:rPr>
                <w:rFonts w:cs="Times New Roman"/>
                <w:sz w:val="20"/>
                <w:szCs w:val="20"/>
              </w:rPr>
              <w:t>Two or more consequential frame types</w:t>
            </w:r>
            <w:r>
              <w:rPr>
                <w:rFonts w:cs="Times New Roman"/>
                <w:sz w:val="20"/>
                <w:szCs w:val="20"/>
              </w:rPr>
              <w:t xml:space="preserve"> </w:t>
            </w:r>
            <w:r w:rsidRPr="004E7015">
              <w:rPr>
                <w:rFonts w:cs="Times New Roman"/>
                <w:sz w:val="20"/>
                <w:szCs w:val="20"/>
              </w:rPr>
              <w:t>feed one denominator. Prefer separate endpoint/target records if separable.</w:t>
            </w:r>
          </w:p>
        </w:tc>
      </w:tr>
      <w:tr w:rsidR="004E7015" w:rsidRPr="004E7015" w14:paraId="37A49387" w14:textId="77777777" w:rsidTr="004E7015">
        <w:tc>
          <w:tcPr>
            <w:tcW w:w="792" w:type="dxa"/>
            <w:vAlign w:val="center"/>
          </w:tcPr>
          <w:p w14:paraId="37C3FAD2"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SF15</w:t>
            </w:r>
          </w:p>
        </w:tc>
        <w:tc>
          <w:tcPr>
            <w:tcW w:w="3026" w:type="dxa"/>
            <w:vAlign w:val="center"/>
          </w:tcPr>
          <w:p w14:paraId="747A1AC2"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Unclear / Insufficiently Described Frame</w:t>
            </w:r>
          </w:p>
        </w:tc>
        <w:tc>
          <w:tcPr>
            <w:tcW w:w="5954" w:type="dxa"/>
            <w:vAlign w:val="center"/>
          </w:tcPr>
          <w:p w14:paraId="0B6187D4" w14:textId="77777777" w:rsidR="004E7015" w:rsidRPr="004E7015" w:rsidRDefault="004E7015" w:rsidP="004E7015">
            <w:pPr>
              <w:spacing w:before="0" w:after="0"/>
              <w:jc w:val="left"/>
              <w:rPr>
                <w:rFonts w:cs="Times New Roman"/>
                <w:sz w:val="20"/>
                <w:szCs w:val="20"/>
              </w:rPr>
            </w:pPr>
            <w:r w:rsidRPr="004E7015">
              <w:rPr>
                <w:rFonts w:cs="Times New Roman"/>
                <w:sz w:val="20"/>
                <w:szCs w:val="20"/>
              </w:rPr>
              <w:t>Source frame cannot be established. This cannot support Q3=1.</w:t>
            </w:r>
          </w:p>
        </w:tc>
      </w:tr>
    </w:tbl>
    <w:p w14:paraId="63CDEEEA" w14:textId="08E5B282" w:rsidR="004E7015" w:rsidRDefault="004E7015" w:rsidP="00AD1AC8">
      <w:r w:rsidRPr="004E7015">
        <w:t>Default target-frame alignment guide. The following combinations are strong structural matches in the updated library; other combinations are not automatically wrong but require explicit coverage justification. A narrow frame can score Q3=1 when the target itself is correspondingly narrow (for example, an inpatient registry for hospitalized severe cases).</w:t>
      </w:r>
      <w:r>
        <w:t xml:space="preserve"> </w:t>
      </w:r>
    </w:p>
    <w:tbl>
      <w:tblPr>
        <w:tblStyle w:val="TableGridLight"/>
        <w:tblW w:w="9475" w:type="dxa"/>
        <w:tblLayout w:type="fixed"/>
        <w:tblLook w:val="04A0" w:firstRow="1" w:lastRow="0" w:firstColumn="1" w:lastColumn="0" w:noHBand="0" w:noVBand="1"/>
      </w:tblPr>
      <w:tblGrid>
        <w:gridCol w:w="1691"/>
        <w:gridCol w:w="3680"/>
        <w:gridCol w:w="4104"/>
      </w:tblGrid>
      <w:tr w:rsidR="00736A1A" w:rsidRPr="00736A1A" w14:paraId="4299FE30" w14:textId="77777777" w:rsidTr="00736A1A">
        <w:tc>
          <w:tcPr>
            <w:tcW w:w="1691" w:type="dxa"/>
            <w:tcBorders>
              <w:top w:val="single" w:sz="8" w:space="0" w:color="auto"/>
              <w:left w:val="single" w:sz="8" w:space="0" w:color="auto"/>
              <w:bottom w:val="single" w:sz="8" w:space="0" w:color="auto"/>
              <w:right w:val="single" w:sz="8" w:space="0" w:color="auto"/>
            </w:tcBorders>
            <w:vAlign w:val="center"/>
          </w:tcPr>
          <w:p w14:paraId="3E1B2978" w14:textId="77777777" w:rsidR="00736A1A" w:rsidRPr="00736A1A" w:rsidRDefault="00736A1A" w:rsidP="00736A1A">
            <w:pPr>
              <w:spacing w:before="0" w:after="0"/>
              <w:jc w:val="center"/>
              <w:rPr>
                <w:rFonts w:cs="Times New Roman"/>
                <w:color w:val="0F4761" w:themeColor="accent1" w:themeShade="BF"/>
                <w:sz w:val="20"/>
                <w:szCs w:val="20"/>
              </w:rPr>
            </w:pPr>
            <w:r w:rsidRPr="00736A1A">
              <w:rPr>
                <w:rFonts w:cs="Times New Roman"/>
                <w:b/>
                <w:color w:val="0F4761" w:themeColor="accent1" w:themeShade="BF"/>
                <w:sz w:val="20"/>
                <w:szCs w:val="20"/>
              </w:rPr>
              <w:t>Target population</w:t>
            </w:r>
          </w:p>
        </w:tc>
        <w:tc>
          <w:tcPr>
            <w:tcW w:w="3680" w:type="dxa"/>
            <w:tcBorders>
              <w:top w:val="single" w:sz="8" w:space="0" w:color="auto"/>
              <w:left w:val="single" w:sz="8" w:space="0" w:color="auto"/>
              <w:bottom w:val="single" w:sz="8" w:space="0" w:color="auto"/>
              <w:right w:val="single" w:sz="8" w:space="0" w:color="auto"/>
            </w:tcBorders>
            <w:vAlign w:val="center"/>
          </w:tcPr>
          <w:p w14:paraId="3312A514" w14:textId="77777777" w:rsidR="00736A1A" w:rsidRPr="00736A1A" w:rsidRDefault="00736A1A" w:rsidP="00736A1A">
            <w:pPr>
              <w:spacing w:before="0" w:after="0"/>
              <w:jc w:val="center"/>
              <w:rPr>
                <w:rFonts w:cs="Times New Roman"/>
                <w:color w:val="0F4761" w:themeColor="accent1" w:themeShade="BF"/>
                <w:sz w:val="20"/>
                <w:szCs w:val="20"/>
              </w:rPr>
            </w:pPr>
            <w:r w:rsidRPr="00736A1A">
              <w:rPr>
                <w:rFonts w:cs="Times New Roman"/>
                <w:b/>
                <w:color w:val="0F4761" w:themeColor="accent1" w:themeShade="BF"/>
                <w:sz w:val="20"/>
                <w:szCs w:val="20"/>
              </w:rPr>
              <w:t>Default-aligned frame(s)</w:t>
            </w:r>
          </w:p>
        </w:tc>
        <w:tc>
          <w:tcPr>
            <w:tcW w:w="4104" w:type="dxa"/>
            <w:tcBorders>
              <w:top w:val="single" w:sz="8" w:space="0" w:color="auto"/>
              <w:left w:val="single" w:sz="8" w:space="0" w:color="auto"/>
              <w:bottom w:val="single" w:sz="8" w:space="0" w:color="auto"/>
              <w:right w:val="single" w:sz="8" w:space="0" w:color="auto"/>
            </w:tcBorders>
            <w:vAlign w:val="center"/>
          </w:tcPr>
          <w:p w14:paraId="6D53CADA" w14:textId="77777777" w:rsidR="00736A1A" w:rsidRPr="00736A1A" w:rsidRDefault="00736A1A" w:rsidP="00736A1A">
            <w:pPr>
              <w:spacing w:before="0" w:after="0"/>
              <w:jc w:val="center"/>
              <w:rPr>
                <w:rFonts w:cs="Times New Roman"/>
                <w:color w:val="0F4761" w:themeColor="accent1" w:themeShade="BF"/>
                <w:sz w:val="20"/>
                <w:szCs w:val="20"/>
              </w:rPr>
            </w:pPr>
            <w:r w:rsidRPr="00736A1A">
              <w:rPr>
                <w:rFonts w:cs="Times New Roman"/>
                <w:b/>
                <w:color w:val="0F4761" w:themeColor="accent1" w:themeShade="BF"/>
                <w:sz w:val="20"/>
                <w:szCs w:val="20"/>
              </w:rPr>
              <w:t>Common undercoverage warning</w:t>
            </w:r>
          </w:p>
        </w:tc>
      </w:tr>
      <w:tr w:rsidR="00736A1A" w:rsidRPr="00736A1A" w14:paraId="29B28111" w14:textId="77777777" w:rsidTr="00736A1A">
        <w:tc>
          <w:tcPr>
            <w:tcW w:w="1691" w:type="dxa"/>
            <w:tcBorders>
              <w:top w:val="single" w:sz="8" w:space="0" w:color="auto"/>
              <w:left w:val="single" w:sz="8" w:space="0" w:color="auto"/>
              <w:bottom w:val="single" w:sz="8" w:space="0" w:color="auto"/>
              <w:right w:val="single" w:sz="8" w:space="0" w:color="auto"/>
            </w:tcBorders>
            <w:vAlign w:val="center"/>
          </w:tcPr>
          <w:p w14:paraId="28B94DFB"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Suspected arbovirus</w:t>
            </w:r>
          </w:p>
        </w:tc>
        <w:tc>
          <w:tcPr>
            <w:tcW w:w="3680" w:type="dxa"/>
            <w:tcBorders>
              <w:top w:val="single" w:sz="8" w:space="0" w:color="auto"/>
              <w:left w:val="single" w:sz="8" w:space="0" w:color="auto"/>
              <w:bottom w:val="single" w:sz="8" w:space="0" w:color="auto"/>
              <w:right w:val="single" w:sz="8" w:space="0" w:color="auto"/>
            </w:tcBorders>
            <w:vAlign w:val="center"/>
          </w:tcPr>
          <w:p w14:paraId="67F16827"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Sentinel Site / Network; Surveillance / Outbreak Setting</w:t>
            </w:r>
          </w:p>
        </w:tc>
        <w:tc>
          <w:tcPr>
            <w:tcW w:w="4104" w:type="dxa"/>
            <w:tcBorders>
              <w:top w:val="single" w:sz="8" w:space="0" w:color="auto"/>
              <w:left w:val="single" w:sz="8" w:space="0" w:color="auto"/>
              <w:bottom w:val="single" w:sz="8" w:space="0" w:color="auto"/>
              <w:right w:val="single" w:sz="8" w:space="0" w:color="auto"/>
            </w:tcBorders>
            <w:vAlign w:val="center"/>
          </w:tcPr>
          <w:p w14:paraId="3335956F"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A narrow referral lab or isolated facility cannot represent all suspected cases unless that restricted catchment is the declared target.</w:t>
            </w:r>
          </w:p>
        </w:tc>
      </w:tr>
      <w:tr w:rsidR="00736A1A" w:rsidRPr="00736A1A" w14:paraId="7D0708AF" w14:textId="77777777" w:rsidTr="00736A1A">
        <w:tc>
          <w:tcPr>
            <w:tcW w:w="1691" w:type="dxa"/>
            <w:tcBorders>
              <w:top w:val="single" w:sz="8" w:space="0" w:color="auto"/>
              <w:left w:val="single" w:sz="8" w:space="0" w:color="auto"/>
              <w:bottom w:val="single" w:sz="8" w:space="0" w:color="auto"/>
              <w:right w:val="single" w:sz="8" w:space="0" w:color="auto"/>
            </w:tcBorders>
            <w:vAlign w:val="center"/>
          </w:tcPr>
          <w:p w14:paraId="400E366D"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Non-malarial febrile</w:t>
            </w:r>
          </w:p>
        </w:tc>
        <w:tc>
          <w:tcPr>
            <w:tcW w:w="3680" w:type="dxa"/>
            <w:tcBorders>
              <w:top w:val="single" w:sz="8" w:space="0" w:color="auto"/>
              <w:left w:val="single" w:sz="8" w:space="0" w:color="auto"/>
              <w:bottom w:val="single" w:sz="8" w:space="0" w:color="auto"/>
              <w:right w:val="single" w:sz="8" w:space="0" w:color="auto"/>
            </w:tcBorders>
            <w:vAlign w:val="center"/>
          </w:tcPr>
          <w:p w14:paraId="7C4AD7D9"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Outpatient Clinic Registry; Sentinel Site / Network; Surveillance / Outbreak Setting</w:t>
            </w:r>
          </w:p>
        </w:tc>
        <w:tc>
          <w:tcPr>
            <w:tcW w:w="4104" w:type="dxa"/>
            <w:tcBorders>
              <w:top w:val="single" w:sz="8" w:space="0" w:color="auto"/>
              <w:left w:val="single" w:sz="8" w:space="0" w:color="auto"/>
              <w:bottom w:val="single" w:sz="8" w:space="0" w:color="auto"/>
              <w:right w:val="single" w:sz="8" w:space="0" w:color="auto"/>
            </w:tcBorders>
            <w:vAlign w:val="center"/>
          </w:tcPr>
          <w:p w14:paraId="5E47A162"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Inpatient-only capture under-covers all healthcare-presenting non-malarial fever when broader inference is intended.</w:t>
            </w:r>
          </w:p>
        </w:tc>
      </w:tr>
      <w:tr w:rsidR="00736A1A" w:rsidRPr="00736A1A" w14:paraId="6C214505" w14:textId="77777777" w:rsidTr="00736A1A">
        <w:tc>
          <w:tcPr>
            <w:tcW w:w="1691" w:type="dxa"/>
            <w:tcBorders>
              <w:top w:val="single" w:sz="8" w:space="0" w:color="auto"/>
              <w:left w:val="single" w:sz="8" w:space="0" w:color="auto"/>
              <w:bottom w:val="single" w:sz="8" w:space="0" w:color="auto"/>
              <w:right w:val="single" w:sz="8" w:space="0" w:color="auto"/>
            </w:tcBorders>
            <w:vAlign w:val="center"/>
          </w:tcPr>
          <w:p w14:paraId="11E52AD9"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General febrile</w:t>
            </w:r>
          </w:p>
        </w:tc>
        <w:tc>
          <w:tcPr>
            <w:tcW w:w="3680" w:type="dxa"/>
            <w:tcBorders>
              <w:top w:val="single" w:sz="8" w:space="0" w:color="auto"/>
              <w:left w:val="single" w:sz="8" w:space="0" w:color="auto"/>
              <w:bottom w:val="single" w:sz="8" w:space="0" w:color="auto"/>
              <w:right w:val="single" w:sz="8" w:space="0" w:color="auto"/>
            </w:tcBorders>
            <w:vAlign w:val="center"/>
          </w:tcPr>
          <w:p w14:paraId="1FA97152"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Outpatient Clinic Registry; Sentinel Site / Network; Surveillance / Outbreak Setting</w:t>
            </w:r>
          </w:p>
        </w:tc>
        <w:tc>
          <w:tcPr>
            <w:tcW w:w="4104" w:type="dxa"/>
            <w:tcBorders>
              <w:top w:val="single" w:sz="8" w:space="0" w:color="auto"/>
              <w:left w:val="single" w:sz="8" w:space="0" w:color="auto"/>
              <w:bottom w:val="single" w:sz="8" w:space="0" w:color="auto"/>
              <w:right w:val="single" w:sz="8" w:space="0" w:color="auto"/>
            </w:tcBorders>
            <w:vAlign w:val="center"/>
          </w:tcPr>
          <w:p w14:paraId="426D09E4"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Inpatient/referral/lab-only frames may overrepresent severity or diagnostic referral.</w:t>
            </w:r>
          </w:p>
        </w:tc>
      </w:tr>
      <w:tr w:rsidR="00736A1A" w:rsidRPr="00736A1A" w14:paraId="4411176D" w14:textId="77777777" w:rsidTr="00736A1A">
        <w:tc>
          <w:tcPr>
            <w:tcW w:w="1691" w:type="dxa"/>
            <w:tcBorders>
              <w:top w:val="single" w:sz="8" w:space="0" w:color="auto"/>
              <w:left w:val="single" w:sz="8" w:space="0" w:color="auto"/>
              <w:bottom w:val="single" w:sz="8" w:space="0" w:color="auto"/>
              <w:right w:val="single" w:sz="8" w:space="0" w:color="auto"/>
            </w:tcBorders>
            <w:vAlign w:val="center"/>
          </w:tcPr>
          <w:p w14:paraId="5361BECF"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Non-febrile patients</w:t>
            </w:r>
          </w:p>
        </w:tc>
        <w:tc>
          <w:tcPr>
            <w:tcW w:w="3680" w:type="dxa"/>
            <w:tcBorders>
              <w:top w:val="single" w:sz="8" w:space="0" w:color="auto"/>
              <w:left w:val="single" w:sz="8" w:space="0" w:color="auto"/>
              <w:bottom w:val="single" w:sz="8" w:space="0" w:color="auto"/>
              <w:right w:val="single" w:sz="8" w:space="0" w:color="auto"/>
            </w:tcBorders>
            <w:vAlign w:val="center"/>
          </w:tcPr>
          <w:p w14:paraId="67E1FDEA"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Outpatient Clinic Registry; General Lab Register</w:t>
            </w:r>
          </w:p>
        </w:tc>
        <w:tc>
          <w:tcPr>
            <w:tcW w:w="4104" w:type="dxa"/>
            <w:tcBorders>
              <w:top w:val="single" w:sz="8" w:space="0" w:color="auto"/>
              <w:left w:val="single" w:sz="8" w:space="0" w:color="auto"/>
              <w:bottom w:val="single" w:sz="8" w:space="0" w:color="auto"/>
              <w:right w:val="single" w:sz="8" w:space="0" w:color="auto"/>
            </w:tcBorders>
            <w:vAlign w:val="center"/>
          </w:tcPr>
          <w:p w14:paraId="63D6D75E"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Healthy community volunteers are not a patient frame; inpatient-only sources may be too narrow.</w:t>
            </w:r>
          </w:p>
        </w:tc>
      </w:tr>
      <w:tr w:rsidR="00736A1A" w:rsidRPr="00736A1A" w14:paraId="7015B980" w14:textId="77777777" w:rsidTr="00736A1A">
        <w:tc>
          <w:tcPr>
            <w:tcW w:w="1691" w:type="dxa"/>
            <w:tcBorders>
              <w:top w:val="single" w:sz="8" w:space="0" w:color="auto"/>
              <w:left w:val="single" w:sz="8" w:space="0" w:color="auto"/>
              <w:bottom w:val="single" w:sz="8" w:space="0" w:color="auto"/>
              <w:right w:val="single" w:sz="8" w:space="0" w:color="auto"/>
            </w:tcBorders>
            <w:vAlign w:val="center"/>
          </w:tcPr>
          <w:p w14:paraId="5EBC881D"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General outpatients</w:t>
            </w:r>
          </w:p>
        </w:tc>
        <w:tc>
          <w:tcPr>
            <w:tcW w:w="3680" w:type="dxa"/>
            <w:tcBorders>
              <w:top w:val="single" w:sz="8" w:space="0" w:color="auto"/>
              <w:left w:val="single" w:sz="8" w:space="0" w:color="auto"/>
              <w:bottom w:val="single" w:sz="8" w:space="0" w:color="auto"/>
              <w:right w:val="single" w:sz="8" w:space="0" w:color="auto"/>
            </w:tcBorders>
            <w:vAlign w:val="center"/>
          </w:tcPr>
          <w:p w14:paraId="01BEA05F"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Outpatient Clinic Registry</w:t>
            </w:r>
          </w:p>
        </w:tc>
        <w:tc>
          <w:tcPr>
            <w:tcW w:w="4104" w:type="dxa"/>
            <w:tcBorders>
              <w:top w:val="single" w:sz="8" w:space="0" w:color="auto"/>
              <w:left w:val="single" w:sz="8" w:space="0" w:color="auto"/>
              <w:bottom w:val="single" w:sz="8" w:space="0" w:color="auto"/>
              <w:right w:val="single" w:sz="8" w:space="0" w:color="auto"/>
            </w:tcBorders>
            <w:vAlign w:val="center"/>
          </w:tcPr>
          <w:p w14:paraId="091B1C34" w14:textId="763E3650" w:rsidR="00736A1A" w:rsidRPr="00736A1A" w:rsidRDefault="00736A1A" w:rsidP="00736A1A">
            <w:pPr>
              <w:spacing w:before="0" w:after="0"/>
              <w:jc w:val="left"/>
              <w:rPr>
                <w:rFonts w:cs="Times New Roman"/>
                <w:sz w:val="20"/>
                <w:szCs w:val="20"/>
              </w:rPr>
            </w:pPr>
            <w:r w:rsidRPr="00736A1A">
              <w:rPr>
                <w:rFonts w:cs="Times New Roman"/>
                <w:sz w:val="20"/>
                <w:szCs w:val="20"/>
              </w:rPr>
              <w:t xml:space="preserve">Inpatient, specialised clinic, </w:t>
            </w:r>
            <w:r w:rsidRPr="00736A1A">
              <w:rPr>
                <w:rFonts w:cs="Times New Roman"/>
                <w:sz w:val="20"/>
                <w:szCs w:val="20"/>
              </w:rPr>
              <w:t>donor,</w:t>
            </w:r>
            <w:r w:rsidRPr="00736A1A">
              <w:rPr>
                <w:rFonts w:cs="Times New Roman"/>
                <w:sz w:val="20"/>
                <w:szCs w:val="20"/>
              </w:rPr>
              <w:t xml:space="preserve"> or selected lab frames are narrower than general OPD.</w:t>
            </w:r>
          </w:p>
        </w:tc>
      </w:tr>
      <w:tr w:rsidR="00736A1A" w:rsidRPr="00736A1A" w14:paraId="4840CE62" w14:textId="77777777" w:rsidTr="00736A1A">
        <w:tc>
          <w:tcPr>
            <w:tcW w:w="1691" w:type="dxa"/>
            <w:tcBorders>
              <w:top w:val="single" w:sz="8" w:space="0" w:color="auto"/>
              <w:left w:val="single" w:sz="8" w:space="0" w:color="auto"/>
              <w:bottom w:val="single" w:sz="8" w:space="0" w:color="auto"/>
              <w:right w:val="single" w:sz="8" w:space="0" w:color="auto"/>
            </w:tcBorders>
            <w:vAlign w:val="center"/>
          </w:tcPr>
          <w:p w14:paraId="0C7A66B2"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lastRenderedPageBreak/>
              <w:t>Community/general population</w:t>
            </w:r>
          </w:p>
        </w:tc>
        <w:tc>
          <w:tcPr>
            <w:tcW w:w="3680" w:type="dxa"/>
            <w:tcBorders>
              <w:top w:val="single" w:sz="8" w:space="0" w:color="auto"/>
              <w:left w:val="single" w:sz="8" w:space="0" w:color="auto"/>
              <w:bottom w:val="single" w:sz="8" w:space="0" w:color="auto"/>
              <w:right w:val="single" w:sz="8" w:space="0" w:color="auto"/>
            </w:tcBorders>
            <w:vAlign w:val="center"/>
          </w:tcPr>
          <w:p w14:paraId="4EC260F4"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Population / Household Enumeration</w:t>
            </w:r>
          </w:p>
        </w:tc>
        <w:tc>
          <w:tcPr>
            <w:tcW w:w="4104" w:type="dxa"/>
            <w:tcBorders>
              <w:top w:val="single" w:sz="8" w:space="0" w:color="auto"/>
              <w:left w:val="single" w:sz="8" w:space="0" w:color="auto"/>
              <w:bottom w:val="single" w:sz="8" w:space="0" w:color="auto"/>
              <w:right w:val="single" w:sz="8" w:space="0" w:color="auto"/>
            </w:tcBorders>
            <w:vAlign w:val="center"/>
          </w:tcPr>
          <w:p w14:paraId="120E4384" w14:textId="01F86D42" w:rsidR="00736A1A" w:rsidRPr="00736A1A" w:rsidRDefault="00736A1A" w:rsidP="00736A1A">
            <w:pPr>
              <w:spacing w:before="0" w:after="0"/>
              <w:jc w:val="left"/>
              <w:rPr>
                <w:rFonts w:cs="Times New Roman"/>
                <w:sz w:val="20"/>
                <w:szCs w:val="20"/>
              </w:rPr>
            </w:pPr>
            <w:r w:rsidRPr="00736A1A">
              <w:rPr>
                <w:rFonts w:cs="Times New Roman"/>
                <w:sz w:val="20"/>
                <w:szCs w:val="20"/>
              </w:rPr>
              <w:t xml:space="preserve">Facility, lab, </w:t>
            </w:r>
            <w:r w:rsidRPr="00736A1A">
              <w:rPr>
                <w:rFonts w:cs="Times New Roman"/>
                <w:sz w:val="20"/>
                <w:szCs w:val="20"/>
              </w:rPr>
              <w:t>donor,</w:t>
            </w:r>
            <w:r w:rsidRPr="00736A1A">
              <w:rPr>
                <w:rFonts w:cs="Times New Roman"/>
                <w:sz w:val="20"/>
                <w:szCs w:val="20"/>
              </w:rPr>
              <w:t xml:space="preserve"> and case-surveillance frames generally under-cover broad community targets.</w:t>
            </w:r>
          </w:p>
        </w:tc>
      </w:tr>
      <w:tr w:rsidR="00736A1A" w:rsidRPr="00736A1A" w14:paraId="20BFCE73" w14:textId="77777777" w:rsidTr="00736A1A">
        <w:tc>
          <w:tcPr>
            <w:tcW w:w="1691" w:type="dxa"/>
            <w:tcBorders>
              <w:top w:val="single" w:sz="8" w:space="0" w:color="auto"/>
              <w:left w:val="single" w:sz="8" w:space="0" w:color="auto"/>
              <w:bottom w:val="single" w:sz="8" w:space="0" w:color="auto"/>
              <w:right w:val="single" w:sz="8" w:space="0" w:color="auto"/>
            </w:tcBorders>
            <w:vAlign w:val="center"/>
          </w:tcPr>
          <w:p w14:paraId="793A5E9D"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Pregnant/ANC</w:t>
            </w:r>
          </w:p>
        </w:tc>
        <w:tc>
          <w:tcPr>
            <w:tcW w:w="3680" w:type="dxa"/>
            <w:tcBorders>
              <w:top w:val="single" w:sz="8" w:space="0" w:color="auto"/>
              <w:left w:val="single" w:sz="8" w:space="0" w:color="auto"/>
              <w:bottom w:val="single" w:sz="8" w:space="0" w:color="auto"/>
              <w:right w:val="single" w:sz="8" w:space="0" w:color="auto"/>
            </w:tcBorders>
            <w:vAlign w:val="center"/>
          </w:tcPr>
          <w:p w14:paraId="4F4CA525"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Specialised Clinic Register; Population / Household Enumeration</w:t>
            </w:r>
          </w:p>
        </w:tc>
        <w:tc>
          <w:tcPr>
            <w:tcW w:w="4104" w:type="dxa"/>
            <w:tcBorders>
              <w:top w:val="single" w:sz="8" w:space="0" w:color="auto"/>
              <w:left w:val="single" w:sz="8" w:space="0" w:color="auto"/>
              <w:bottom w:val="single" w:sz="8" w:space="0" w:color="auto"/>
              <w:right w:val="single" w:sz="8" w:space="0" w:color="auto"/>
            </w:tcBorders>
            <w:vAlign w:val="center"/>
          </w:tcPr>
          <w:p w14:paraId="4A685CE0"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ANC can represent ANC-attending pregnant women; it does not automatically represent all pregnant women in the community.</w:t>
            </w:r>
          </w:p>
        </w:tc>
      </w:tr>
      <w:tr w:rsidR="00736A1A" w:rsidRPr="00736A1A" w14:paraId="2F67B581" w14:textId="77777777" w:rsidTr="00736A1A">
        <w:tc>
          <w:tcPr>
            <w:tcW w:w="1691" w:type="dxa"/>
            <w:tcBorders>
              <w:top w:val="single" w:sz="8" w:space="0" w:color="auto"/>
              <w:left w:val="single" w:sz="8" w:space="0" w:color="auto"/>
              <w:bottom w:val="single" w:sz="8" w:space="0" w:color="auto"/>
              <w:right w:val="single" w:sz="8" w:space="0" w:color="auto"/>
            </w:tcBorders>
            <w:vAlign w:val="center"/>
          </w:tcPr>
          <w:p w14:paraId="795FD9C8"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Blood donors</w:t>
            </w:r>
          </w:p>
        </w:tc>
        <w:tc>
          <w:tcPr>
            <w:tcW w:w="3680" w:type="dxa"/>
            <w:tcBorders>
              <w:top w:val="single" w:sz="8" w:space="0" w:color="auto"/>
              <w:left w:val="single" w:sz="8" w:space="0" w:color="auto"/>
              <w:bottom w:val="single" w:sz="8" w:space="0" w:color="auto"/>
              <w:right w:val="single" w:sz="8" w:space="0" w:color="auto"/>
            </w:tcBorders>
            <w:vAlign w:val="center"/>
          </w:tcPr>
          <w:p w14:paraId="6D32BCD9"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Blood Donor Registry</w:t>
            </w:r>
          </w:p>
        </w:tc>
        <w:tc>
          <w:tcPr>
            <w:tcW w:w="4104" w:type="dxa"/>
            <w:tcBorders>
              <w:top w:val="single" w:sz="8" w:space="0" w:color="auto"/>
              <w:left w:val="single" w:sz="8" w:space="0" w:color="auto"/>
              <w:bottom w:val="single" w:sz="8" w:space="0" w:color="auto"/>
              <w:right w:val="single" w:sz="8" w:space="0" w:color="auto"/>
            </w:tcBorders>
            <w:vAlign w:val="center"/>
          </w:tcPr>
          <w:p w14:paraId="4E83BFF3"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Donor samples do not represent the general community merely because donors are healthy.</w:t>
            </w:r>
          </w:p>
        </w:tc>
      </w:tr>
      <w:tr w:rsidR="00736A1A" w:rsidRPr="00736A1A" w14:paraId="4392570A" w14:textId="77777777" w:rsidTr="00736A1A">
        <w:tc>
          <w:tcPr>
            <w:tcW w:w="1691" w:type="dxa"/>
            <w:tcBorders>
              <w:top w:val="single" w:sz="8" w:space="0" w:color="auto"/>
              <w:left w:val="single" w:sz="8" w:space="0" w:color="auto"/>
              <w:bottom w:val="single" w:sz="8" w:space="0" w:color="auto"/>
              <w:right w:val="single" w:sz="8" w:space="0" w:color="auto"/>
            </w:tcBorders>
            <w:vAlign w:val="center"/>
          </w:tcPr>
          <w:p w14:paraId="38AAE2BE"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Occupational/zoonotic exposure</w:t>
            </w:r>
          </w:p>
        </w:tc>
        <w:tc>
          <w:tcPr>
            <w:tcW w:w="3680" w:type="dxa"/>
            <w:tcBorders>
              <w:top w:val="single" w:sz="8" w:space="0" w:color="auto"/>
              <w:left w:val="single" w:sz="8" w:space="0" w:color="auto"/>
              <w:bottom w:val="single" w:sz="8" w:space="0" w:color="auto"/>
              <w:right w:val="single" w:sz="8" w:space="0" w:color="auto"/>
            </w:tcBorders>
            <w:vAlign w:val="center"/>
          </w:tcPr>
          <w:p w14:paraId="0EC95470"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Occupational / Exposure Frame</w:t>
            </w:r>
          </w:p>
        </w:tc>
        <w:tc>
          <w:tcPr>
            <w:tcW w:w="4104" w:type="dxa"/>
            <w:tcBorders>
              <w:top w:val="single" w:sz="8" w:space="0" w:color="auto"/>
              <w:left w:val="single" w:sz="8" w:space="0" w:color="auto"/>
              <w:bottom w:val="single" w:sz="8" w:space="0" w:color="auto"/>
              <w:right w:val="single" w:sz="8" w:space="0" w:color="auto"/>
            </w:tcBorders>
            <w:vAlign w:val="center"/>
          </w:tcPr>
          <w:p w14:paraId="5CB9161E"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General outpatients in an exposed region are not automatically an occupational frame.</w:t>
            </w:r>
          </w:p>
        </w:tc>
      </w:tr>
      <w:tr w:rsidR="00736A1A" w:rsidRPr="00736A1A" w14:paraId="3456877A" w14:textId="77777777" w:rsidTr="00736A1A">
        <w:tc>
          <w:tcPr>
            <w:tcW w:w="1691" w:type="dxa"/>
            <w:tcBorders>
              <w:top w:val="single" w:sz="8" w:space="0" w:color="auto"/>
              <w:left w:val="single" w:sz="8" w:space="0" w:color="auto"/>
              <w:bottom w:val="single" w:sz="8" w:space="0" w:color="auto"/>
              <w:right w:val="single" w:sz="8" w:space="0" w:color="auto"/>
            </w:tcBorders>
            <w:vAlign w:val="center"/>
          </w:tcPr>
          <w:p w14:paraId="6021E1D0"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Other defined population/cohort</w:t>
            </w:r>
          </w:p>
        </w:tc>
        <w:tc>
          <w:tcPr>
            <w:tcW w:w="3680" w:type="dxa"/>
            <w:tcBorders>
              <w:top w:val="single" w:sz="8" w:space="0" w:color="auto"/>
              <w:left w:val="single" w:sz="8" w:space="0" w:color="auto"/>
              <w:bottom w:val="single" w:sz="8" w:space="0" w:color="auto"/>
              <w:right w:val="single" w:sz="8" w:space="0" w:color="auto"/>
            </w:tcBorders>
            <w:vAlign w:val="center"/>
          </w:tcPr>
          <w:p w14:paraId="0EE0D7D6"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Frame matching the exact target, including Parent Cohort / Research Roster when applicable</w:t>
            </w:r>
          </w:p>
        </w:tc>
        <w:tc>
          <w:tcPr>
            <w:tcW w:w="4104" w:type="dxa"/>
            <w:tcBorders>
              <w:top w:val="single" w:sz="8" w:space="0" w:color="auto"/>
              <w:left w:val="single" w:sz="8" w:space="0" w:color="auto"/>
              <w:bottom w:val="single" w:sz="8" w:space="0" w:color="auto"/>
              <w:right w:val="single" w:sz="8" w:space="0" w:color="auto"/>
            </w:tcBorders>
            <w:vAlign w:val="center"/>
          </w:tcPr>
          <w:p w14:paraId="62C4D61A"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Manual appraisal required; preserve the explicit source restriction.</w:t>
            </w:r>
          </w:p>
        </w:tc>
      </w:tr>
    </w:tbl>
    <w:p w14:paraId="13718B92" w14:textId="77777777" w:rsidR="004E7015" w:rsidRDefault="004E7015" w:rsidP="00AD1AC8"/>
    <w:tbl>
      <w:tblPr>
        <w:tblStyle w:val="TableGridLight"/>
        <w:tblW w:w="9493" w:type="dxa"/>
        <w:tblLayout w:type="fixed"/>
        <w:tblLook w:val="04A0" w:firstRow="1" w:lastRow="0" w:firstColumn="1" w:lastColumn="0" w:noHBand="0" w:noVBand="1"/>
      </w:tblPr>
      <w:tblGrid>
        <w:gridCol w:w="846"/>
        <w:gridCol w:w="4678"/>
        <w:gridCol w:w="3969"/>
      </w:tblGrid>
      <w:tr w:rsidR="00736A1A" w:rsidRPr="00736A1A" w14:paraId="4CA869B8" w14:textId="77777777" w:rsidTr="00736A1A">
        <w:tc>
          <w:tcPr>
            <w:tcW w:w="846" w:type="dxa"/>
            <w:tcBorders>
              <w:top w:val="single" w:sz="8" w:space="0" w:color="auto"/>
              <w:bottom w:val="single" w:sz="2" w:space="0" w:color="auto"/>
            </w:tcBorders>
            <w:vAlign w:val="center"/>
          </w:tcPr>
          <w:p w14:paraId="4D0AAA07" w14:textId="77777777" w:rsidR="00736A1A" w:rsidRPr="00736A1A" w:rsidRDefault="00736A1A" w:rsidP="00736A1A">
            <w:pPr>
              <w:spacing w:before="0" w:after="0"/>
              <w:jc w:val="center"/>
              <w:rPr>
                <w:rFonts w:cs="Times New Roman"/>
                <w:color w:val="0F4761" w:themeColor="accent1" w:themeShade="BF"/>
                <w:sz w:val="20"/>
                <w:szCs w:val="20"/>
              </w:rPr>
            </w:pPr>
            <w:r w:rsidRPr="00736A1A">
              <w:rPr>
                <w:rFonts w:cs="Times New Roman"/>
                <w:b/>
                <w:color w:val="0F4761" w:themeColor="accent1" w:themeShade="BF"/>
                <w:sz w:val="20"/>
                <w:szCs w:val="20"/>
              </w:rPr>
              <w:t>Score</w:t>
            </w:r>
          </w:p>
        </w:tc>
        <w:tc>
          <w:tcPr>
            <w:tcW w:w="4678" w:type="dxa"/>
            <w:tcBorders>
              <w:top w:val="single" w:sz="8" w:space="0" w:color="auto"/>
              <w:bottom w:val="single" w:sz="2" w:space="0" w:color="auto"/>
            </w:tcBorders>
            <w:vAlign w:val="center"/>
          </w:tcPr>
          <w:p w14:paraId="2D29BBA4" w14:textId="77777777" w:rsidR="00736A1A" w:rsidRPr="00736A1A" w:rsidRDefault="00736A1A" w:rsidP="00736A1A">
            <w:pPr>
              <w:spacing w:before="0" w:after="0"/>
              <w:jc w:val="center"/>
              <w:rPr>
                <w:rFonts w:cs="Times New Roman"/>
                <w:color w:val="0F4761" w:themeColor="accent1" w:themeShade="BF"/>
                <w:sz w:val="20"/>
                <w:szCs w:val="20"/>
              </w:rPr>
            </w:pPr>
            <w:r w:rsidRPr="00736A1A">
              <w:rPr>
                <w:rFonts w:cs="Times New Roman"/>
                <w:b/>
                <w:color w:val="0F4761" w:themeColor="accent1" w:themeShade="BF"/>
                <w:sz w:val="20"/>
                <w:szCs w:val="20"/>
              </w:rPr>
              <w:t>Application rule</w:t>
            </w:r>
          </w:p>
        </w:tc>
        <w:tc>
          <w:tcPr>
            <w:tcW w:w="3969" w:type="dxa"/>
            <w:tcBorders>
              <w:top w:val="single" w:sz="8" w:space="0" w:color="auto"/>
              <w:bottom w:val="single" w:sz="2" w:space="0" w:color="auto"/>
            </w:tcBorders>
            <w:vAlign w:val="center"/>
          </w:tcPr>
          <w:p w14:paraId="3510480A" w14:textId="77777777" w:rsidR="00736A1A" w:rsidRPr="00736A1A" w:rsidRDefault="00736A1A" w:rsidP="00736A1A">
            <w:pPr>
              <w:spacing w:before="0" w:after="0"/>
              <w:jc w:val="center"/>
              <w:rPr>
                <w:rFonts w:cs="Times New Roman"/>
                <w:color w:val="0F4761" w:themeColor="accent1" w:themeShade="BF"/>
                <w:sz w:val="20"/>
                <w:szCs w:val="20"/>
              </w:rPr>
            </w:pPr>
            <w:r w:rsidRPr="00736A1A">
              <w:rPr>
                <w:rFonts w:cs="Times New Roman"/>
                <w:b/>
                <w:color w:val="0F4761" w:themeColor="accent1" w:themeShade="BF"/>
                <w:sz w:val="20"/>
                <w:szCs w:val="20"/>
              </w:rPr>
              <w:t>App guardrail</w:t>
            </w:r>
          </w:p>
        </w:tc>
      </w:tr>
      <w:tr w:rsidR="00736A1A" w:rsidRPr="00736A1A" w14:paraId="10730184" w14:textId="77777777" w:rsidTr="00736A1A">
        <w:tc>
          <w:tcPr>
            <w:tcW w:w="846" w:type="dxa"/>
            <w:tcBorders>
              <w:top w:val="single" w:sz="2" w:space="0" w:color="auto"/>
              <w:bottom w:val="single" w:sz="2" w:space="0" w:color="auto"/>
            </w:tcBorders>
            <w:vAlign w:val="center"/>
          </w:tcPr>
          <w:p w14:paraId="73EC999F"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0</w:t>
            </w:r>
          </w:p>
        </w:tc>
        <w:tc>
          <w:tcPr>
            <w:tcW w:w="4678" w:type="dxa"/>
            <w:tcBorders>
              <w:top w:val="single" w:sz="2" w:space="0" w:color="auto"/>
              <w:bottom w:val="single" w:sz="2" w:space="0" w:color="auto"/>
            </w:tcBorders>
            <w:vAlign w:val="center"/>
          </w:tcPr>
          <w:p w14:paraId="56CE6A89"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Frame is unclear; coverage cannot be established; frame structurally excludes important members/settings of the defined target; or a narrow service/repository/referral source is used to support inference to a materially broader target without justification.</w:t>
            </w:r>
          </w:p>
        </w:tc>
        <w:tc>
          <w:tcPr>
            <w:tcW w:w="3969" w:type="dxa"/>
            <w:tcBorders>
              <w:top w:val="single" w:sz="2" w:space="0" w:color="auto"/>
              <w:bottom w:val="single" w:sz="2" w:space="0" w:color="auto"/>
            </w:tcBorders>
            <w:vAlign w:val="center"/>
          </w:tcPr>
          <w:p w14:paraId="47D9FAB0"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SF15 defaults to 0. TP11 cannot receive Q3=1 solely because archived specimens are available. A strong Q4 cannot compensate for target-frame mismatch.</w:t>
            </w:r>
          </w:p>
        </w:tc>
      </w:tr>
      <w:tr w:rsidR="00736A1A" w:rsidRPr="00736A1A" w14:paraId="504ABB9C" w14:textId="77777777" w:rsidTr="00736A1A">
        <w:tc>
          <w:tcPr>
            <w:tcW w:w="846" w:type="dxa"/>
            <w:tcBorders>
              <w:top w:val="single" w:sz="2" w:space="0" w:color="auto"/>
              <w:bottom w:val="single" w:sz="2" w:space="0" w:color="auto"/>
            </w:tcBorders>
            <w:vAlign w:val="center"/>
          </w:tcPr>
          <w:p w14:paraId="270DD4AF"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1</w:t>
            </w:r>
          </w:p>
        </w:tc>
        <w:tc>
          <w:tcPr>
            <w:tcW w:w="4678" w:type="dxa"/>
            <w:tcBorders>
              <w:top w:val="single" w:sz="2" w:space="0" w:color="auto"/>
              <w:bottom w:val="single" w:sz="2" w:space="0" w:color="auto"/>
            </w:tcBorders>
            <w:vAlign w:val="center"/>
          </w:tcPr>
          <w:p w14:paraId="58A50C19" w14:textId="58C87A8B" w:rsidR="00736A1A" w:rsidRPr="00736A1A" w:rsidRDefault="00736A1A" w:rsidP="00736A1A">
            <w:pPr>
              <w:spacing w:before="0" w:after="0"/>
              <w:jc w:val="left"/>
              <w:rPr>
                <w:rFonts w:cs="Times New Roman"/>
                <w:sz w:val="20"/>
                <w:szCs w:val="20"/>
              </w:rPr>
            </w:pPr>
            <w:r w:rsidRPr="00736A1A">
              <w:rPr>
                <w:rFonts w:cs="Times New Roman"/>
                <w:sz w:val="20"/>
                <w:szCs w:val="20"/>
              </w:rPr>
              <w:t xml:space="preserve">The identifiable source frame reasonably covers the explicitly defined target with respect to the relevant geography, catchment/service, </w:t>
            </w:r>
            <w:r w:rsidRPr="00736A1A">
              <w:rPr>
                <w:rFonts w:cs="Times New Roman"/>
                <w:sz w:val="20"/>
                <w:szCs w:val="20"/>
              </w:rPr>
              <w:t>eligibility,</w:t>
            </w:r>
            <w:r w:rsidRPr="00736A1A">
              <w:rPr>
                <w:rFonts w:cs="Times New Roman"/>
                <w:sz w:val="20"/>
                <w:szCs w:val="20"/>
              </w:rPr>
              <w:t xml:space="preserve"> and source system.</w:t>
            </w:r>
          </w:p>
        </w:tc>
        <w:tc>
          <w:tcPr>
            <w:tcW w:w="3969" w:type="dxa"/>
            <w:tcBorders>
              <w:top w:val="single" w:sz="2" w:space="0" w:color="auto"/>
              <w:bottom w:val="single" w:sz="2" w:space="0" w:color="auto"/>
            </w:tcBorders>
            <w:vAlign w:val="center"/>
          </w:tcPr>
          <w:p w14:paraId="4ECE02B5" w14:textId="77777777" w:rsidR="00736A1A" w:rsidRPr="00736A1A" w:rsidRDefault="00736A1A" w:rsidP="00736A1A">
            <w:pPr>
              <w:spacing w:before="0" w:after="0"/>
              <w:jc w:val="left"/>
              <w:rPr>
                <w:rFonts w:cs="Times New Roman"/>
                <w:sz w:val="20"/>
                <w:szCs w:val="20"/>
              </w:rPr>
            </w:pPr>
            <w:r w:rsidRPr="00736A1A">
              <w:rPr>
                <w:rFonts w:cs="Times New Roman"/>
                <w:sz w:val="20"/>
                <w:szCs w:val="20"/>
              </w:rPr>
              <w:t>Use target-frame alignment as a prompt, not an automatic lookup. A narrow frame can score 1 for an equally narrow declared target.</w:t>
            </w:r>
          </w:p>
        </w:tc>
      </w:tr>
    </w:tbl>
    <w:p w14:paraId="35159327" w14:textId="77777777" w:rsidR="004E7015" w:rsidRPr="00670529" w:rsidRDefault="004E7015" w:rsidP="00AD1AC8"/>
    <w:p w14:paraId="727ED382" w14:textId="1BB40E80" w:rsidR="00670529" w:rsidRDefault="006D4288" w:rsidP="00FA7B0E">
      <w:pPr>
        <w:pStyle w:val="Heading2"/>
      </w:pPr>
      <w:r>
        <w:t xml:space="preserve">Q4. </w:t>
      </w:r>
      <w:r w:rsidR="00670529" w:rsidRPr="00670529">
        <w:t>Sampling and recruitment method</w:t>
      </w:r>
      <w:r>
        <w:t xml:space="preserve"> [</w:t>
      </w:r>
      <w:r w:rsidR="00670529" w:rsidRPr="00670529">
        <w:t>0</w:t>
      </w:r>
      <w:r w:rsidR="00FA7B0E">
        <w:t>-</w:t>
      </w:r>
      <w:r w:rsidR="00670529" w:rsidRPr="00670529">
        <w:t>3</w:t>
      </w:r>
      <w:r>
        <w:t>]</w:t>
      </w:r>
    </w:p>
    <w:p w14:paraId="64994CAC" w14:textId="77777777" w:rsidR="00736A1A" w:rsidRDefault="00736A1A" w:rsidP="00736A1A">
      <w:r>
        <w:t>Q4 evaluates the selection process that generated the endpoint-specific analytic sample. Assess every consequential stage: selection of sites/communities, selection of participants within the source frame, and selection of stored specimens/records when a secondary analytic sample is created. The score is determined by the weakest consequential stage that can change who enters the endpoint denominator.</w:t>
      </w:r>
    </w:p>
    <w:p w14:paraId="18102BED" w14:textId="656D989B" w:rsidR="003E715D" w:rsidRPr="003E715D" w:rsidRDefault="00736A1A" w:rsidP="00736A1A">
      <w:r>
        <w:t>Do not score from study-design labels alone. “Cross-sectional”, “multicentre”, “multistage” or “systematic” are not sufficient by themselves. Multiple sites do not automatically score 2; the site structure must be predefined and materially broaden target coverage. “All consenting” does not establish census/universal capture. Random laboratory retesting or random subsampling cannot upgrade non-probability recruitment into the parent/source population</w:t>
      </w:r>
      <w:r w:rsidR="0083228F" w:rsidRPr="0083228F">
        <w:t>.</w:t>
      </w:r>
    </w:p>
    <w:tbl>
      <w:tblPr>
        <w:tblStyle w:val="TableGrid"/>
        <w:tblW w:w="9067" w:type="dxa"/>
        <w:tblLook w:val="04A0" w:firstRow="1" w:lastRow="0" w:firstColumn="1" w:lastColumn="0" w:noHBand="0" w:noVBand="1"/>
      </w:tblPr>
      <w:tblGrid>
        <w:gridCol w:w="738"/>
        <w:gridCol w:w="4077"/>
        <w:gridCol w:w="4252"/>
      </w:tblGrid>
      <w:tr w:rsidR="00736A1A" w:rsidRPr="00670529" w14:paraId="47E72F08" w14:textId="543A9D96" w:rsidTr="00736A1A">
        <w:tc>
          <w:tcPr>
            <w:tcW w:w="738" w:type="dxa"/>
            <w:vAlign w:val="center"/>
            <w:hideMark/>
          </w:tcPr>
          <w:p w14:paraId="06852940" w14:textId="77777777" w:rsidR="00736A1A" w:rsidRPr="00891D79" w:rsidRDefault="00736A1A" w:rsidP="00736A1A">
            <w:pPr>
              <w:spacing w:before="0" w:after="0"/>
              <w:jc w:val="center"/>
              <w:rPr>
                <w:b/>
                <w:bCs/>
                <w:color w:val="153D63" w:themeColor="text2" w:themeTint="E6"/>
              </w:rPr>
            </w:pPr>
            <w:r w:rsidRPr="00891D79">
              <w:rPr>
                <w:b/>
                <w:bCs/>
                <w:color w:val="153D63" w:themeColor="text2" w:themeTint="E6"/>
              </w:rPr>
              <w:t>Score</w:t>
            </w:r>
          </w:p>
        </w:tc>
        <w:tc>
          <w:tcPr>
            <w:tcW w:w="4077" w:type="dxa"/>
            <w:vAlign w:val="center"/>
            <w:hideMark/>
          </w:tcPr>
          <w:p w14:paraId="3D8C3C04" w14:textId="77777777" w:rsidR="00736A1A" w:rsidRPr="00891D79" w:rsidRDefault="00736A1A" w:rsidP="00736A1A">
            <w:pPr>
              <w:spacing w:before="0" w:after="0"/>
              <w:jc w:val="center"/>
              <w:rPr>
                <w:b/>
                <w:bCs/>
                <w:color w:val="153D63" w:themeColor="text2" w:themeTint="E6"/>
              </w:rPr>
            </w:pPr>
            <w:r w:rsidRPr="00891D79">
              <w:rPr>
                <w:b/>
                <w:bCs/>
                <w:color w:val="153D63" w:themeColor="text2" w:themeTint="E6"/>
              </w:rPr>
              <w:t>Explicit application</w:t>
            </w:r>
          </w:p>
        </w:tc>
        <w:tc>
          <w:tcPr>
            <w:tcW w:w="4252" w:type="dxa"/>
            <w:vAlign w:val="center"/>
          </w:tcPr>
          <w:p w14:paraId="67BC7348" w14:textId="00025560" w:rsidR="00736A1A" w:rsidRPr="00891D79" w:rsidRDefault="00736A1A" w:rsidP="00736A1A">
            <w:pPr>
              <w:spacing w:before="0" w:after="0"/>
              <w:jc w:val="center"/>
              <w:rPr>
                <w:b/>
                <w:bCs/>
                <w:color w:val="153D63" w:themeColor="text2" w:themeTint="E6"/>
              </w:rPr>
            </w:pPr>
            <w:r w:rsidRPr="00736A1A">
              <w:rPr>
                <w:b/>
                <w:bCs/>
                <w:color w:val="153D63" w:themeColor="text2" w:themeTint="E6"/>
              </w:rPr>
              <w:t>Explicit application rule</w:t>
            </w:r>
          </w:p>
        </w:tc>
      </w:tr>
      <w:tr w:rsidR="00736A1A" w:rsidRPr="00670529" w14:paraId="4A451410" w14:textId="439F91A9" w:rsidTr="00736A1A">
        <w:tc>
          <w:tcPr>
            <w:tcW w:w="738" w:type="dxa"/>
            <w:vAlign w:val="center"/>
            <w:hideMark/>
          </w:tcPr>
          <w:p w14:paraId="0B042DFC" w14:textId="0295344B" w:rsidR="00736A1A" w:rsidRPr="00736A1A" w:rsidRDefault="00736A1A" w:rsidP="00736A1A">
            <w:pPr>
              <w:spacing w:before="0" w:after="0"/>
              <w:jc w:val="left"/>
              <w:rPr>
                <w:sz w:val="20"/>
                <w:szCs w:val="20"/>
              </w:rPr>
            </w:pPr>
            <w:r w:rsidRPr="00736A1A">
              <w:rPr>
                <w:sz w:val="20"/>
                <w:szCs w:val="20"/>
              </w:rPr>
              <w:t>0</w:t>
            </w:r>
          </w:p>
        </w:tc>
        <w:tc>
          <w:tcPr>
            <w:tcW w:w="4077" w:type="dxa"/>
            <w:vAlign w:val="center"/>
            <w:hideMark/>
          </w:tcPr>
          <w:p w14:paraId="3A64DB7D" w14:textId="78A60A2A" w:rsidR="00736A1A" w:rsidRPr="00736A1A" w:rsidRDefault="00736A1A" w:rsidP="00736A1A">
            <w:pPr>
              <w:spacing w:before="0" w:after="0"/>
              <w:jc w:val="left"/>
              <w:rPr>
                <w:sz w:val="20"/>
                <w:szCs w:val="20"/>
              </w:rPr>
            </w:pPr>
            <w:r w:rsidRPr="00736A1A">
              <w:rPr>
                <w:sz w:val="20"/>
                <w:szCs w:val="20"/>
              </w:rPr>
              <w:t>Selection method not reported/insufficient; archived/secondary specimen selection mechanism unclear; structured/multistage/systematic process with probability basis unresolved after appraisal.</w:t>
            </w:r>
          </w:p>
        </w:tc>
        <w:tc>
          <w:tcPr>
            <w:tcW w:w="4252" w:type="dxa"/>
            <w:vAlign w:val="center"/>
          </w:tcPr>
          <w:p w14:paraId="5BA3C793" w14:textId="406EDA56" w:rsidR="00736A1A" w:rsidRPr="00736A1A" w:rsidRDefault="00736A1A" w:rsidP="00736A1A">
            <w:pPr>
              <w:spacing w:before="0" w:after="0"/>
              <w:jc w:val="left"/>
              <w:rPr>
                <w:sz w:val="20"/>
                <w:szCs w:val="20"/>
              </w:rPr>
            </w:pPr>
            <w:r w:rsidRPr="00736A1A">
              <w:rPr>
                <w:sz w:val="20"/>
                <w:szCs w:val="20"/>
              </w:rPr>
              <w:t xml:space="preserve">The assessor cannot establish how the endpoint sample was assembled. Do not infer random, consecutive, </w:t>
            </w:r>
            <w:r w:rsidRPr="00736A1A">
              <w:rPr>
                <w:sz w:val="20"/>
                <w:szCs w:val="20"/>
              </w:rPr>
              <w:t>systematic,</w:t>
            </w:r>
            <w:r w:rsidRPr="00736A1A">
              <w:rPr>
                <w:sz w:val="20"/>
                <w:szCs w:val="20"/>
              </w:rPr>
              <w:t xml:space="preserve"> or universal selection from generic design terminology. Flag unresolved structured designs for review; if they remain unresolved, score 0.</w:t>
            </w:r>
          </w:p>
        </w:tc>
      </w:tr>
      <w:tr w:rsidR="00736A1A" w:rsidRPr="00670529" w14:paraId="6635450D" w14:textId="352C41AC" w:rsidTr="00736A1A">
        <w:tc>
          <w:tcPr>
            <w:tcW w:w="738" w:type="dxa"/>
            <w:vAlign w:val="center"/>
            <w:hideMark/>
          </w:tcPr>
          <w:p w14:paraId="571F98DB" w14:textId="428DC22E" w:rsidR="00736A1A" w:rsidRPr="00736A1A" w:rsidRDefault="00736A1A" w:rsidP="00736A1A">
            <w:pPr>
              <w:spacing w:before="0" w:after="0"/>
              <w:jc w:val="left"/>
              <w:rPr>
                <w:sz w:val="20"/>
                <w:szCs w:val="20"/>
              </w:rPr>
            </w:pPr>
            <w:r w:rsidRPr="00736A1A">
              <w:rPr>
                <w:sz w:val="20"/>
                <w:szCs w:val="20"/>
              </w:rPr>
              <w:t>1</w:t>
            </w:r>
          </w:p>
        </w:tc>
        <w:tc>
          <w:tcPr>
            <w:tcW w:w="4077" w:type="dxa"/>
            <w:vAlign w:val="center"/>
            <w:hideMark/>
          </w:tcPr>
          <w:p w14:paraId="7237EABD" w14:textId="171D0A41" w:rsidR="00736A1A" w:rsidRPr="00736A1A" w:rsidRDefault="00736A1A" w:rsidP="00736A1A">
            <w:pPr>
              <w:spacing w:before="0" w:after="0"/>
              <w:jc w:val="left"/>
              <w:rPr>
                <w:sz w:val="20"/>
                <w:szCs w:val="20"/>
              </w:rPr>
            </w:pPr>
            <w:r w:rsidRPr="00736A1A">
              <w:rPr>
                <w:sz w:val="20"/>
                <w:szCs w:val="20"/>
              </w:rPr>
              <w:t xml:space="preserve">Convenience/service-based or facility-based non-probability recruitment; consecutive recruitment; volunteer/self-selection; purposive/judgement selection; case-based/passive surveillance/outbreak </w:t>
            </w:r>
            <w:r w:rsidRPr="00736A1A">
              <w:rPr>
                <w:sz w:val="20"/>
                <w:szCs w:val="20"/>
              </w:rPr>
              <w:t>enrolment</w:t>
            </w:r>
            <w:r w:rsidRPr="00736A1A">
              <w:rPr>
                <w:sz w:val="20"/>
                <w:szCs w:val="20"/>
              </w:rPr>
              <w:t xml:space="preserve">; available or eligibility-selected archived specimens; other selected/non-probability sources; mixed probability/non-probability </w:t>
            </w:r>
            <w:r w:rsidRPr="00736A1A">
              <w:rPr>
                <w:sz w:val="20"/>
                <w:szCs w:val="20"/>
              </w:rPr>
              <w:lastRenderedPageBreak/>
              <w:t>pathways when a consequential stage is non-probability.</w:t>
            </w:r>
          </w:p>
        </w:tc>
        <w:tc>
          <w:tcPr>
            <w:tcW w:w="4252" w:type="dxa"/>
            <w:vAlign w:val="center"/>
          </w:tcPr>
          <w:p w14:paraId="7DE03334" w14:textId="06BD4475" w:rsidR="00736A1A" w:rsidRPr="00736A1A" w:rsidRDefault="00736A1A" w:rsidP="00736A1A">
            <w:pPr>
              <w:spacing w:before="0" w:after="0"/>
              <w:jc w:val="left"/>
              <w:rPr>
                <w:sz w:val="20"/>
                <w:szCs w:val="20"/>
              </w:rPr>
            </w:pPr>
            <w:r w:rsidRPr="00736A1A">
              <w:rPr>
                <w:sz w:val="20"/>
                <w:szCs w:val="20"/>
              </w:rPr>
              <w:lastRenderedPageBreak/>
              <w:t>The mechanism is identifiable but does not provide a probability sample of the relevant frame. Consecutive recruitment scores 1, not 0. Passive/sentinel case accrual is 1 unless a structured coverage design qualifies for 2 or complete ascertainment qualifies for 3.</w:t>
            </w:r>
          </w:p>
        </w:tc>
      </w:tr>
      <w:tr w:rsidR="00736A1A" w:rsidRPr="00670529" w14:paraId="15C57123" w14:textId="1D195C49" w:rsidTr="00736A1A">
        <w:tc>
          <w:tcPr>
            <w:tcW w:w="738" w:type="dxa"/>
            <w:vAlign w:val="center"/>
            <w:hideMark/>
          </w:tcPr>
          <w:p w14:paraId="24A6EF3F" w14:textId="33B5A23F" w:rsidR="00736A1A" w:rsidRPr="00736A1A" w:rsidRDefault="00736A1A" w:rsidP="00736A1A">
            <w:pPr>
              <w:spacing w:before="0" w:after="0"/>
              <w:jc w:val="left"/>
              <w:rPr>
                <w:sz w:val="20"/>
                <w:szCs w:val="20"/>
              </w:rPr>
            </w:pPr>
            <w:r w:rsidRPr="00736A1A">
              <w:rPr>
                <w:sz w:val="20"/>
                <w:szCs w:val="20"/>
              </w:rPr>
              <w:t>2</w:t>
            </w:r>
          </w:p>
        </w:tc>
        <w:tc>
          <w:tcPr>
            <w:tcW w:w="4077" w:type="dxa"/>
            <w:vAlign w:val="center"/>
            <w:hideMark/>
          </w:tcPr>
          <w:p w14:paraId="33351077" w14:textId="4D7D12E5" w:rsidR="00736A1A" w:rsidRPr="00736A1A" w:rsidRDefault="00736A1A" w:rsidP="00736A1A">
            <w:pPr>
              <w:spacing w:before="0" w:after="0"/>
              <w:jc w:val="left"/>
              <w:rPr>
                <w:sz w:val="20"/>
                <w:szCs w:val="20"/>
              </w:rPr>
            </w:pPr>
            <w:r w:rsidRPr="00736A1A">
              <w:rPr>
                <w:sz w:val="20"/>
                <w:szCs w:val="20"/>
              </w:rPr>
              <w:t>Simple random or systematic random selection within a defined frame; predefined structured multisite/spatial/sentinel capture that materially broadens target coverage but does not establish a full multistage probability design.</w:t>
            </w:r>
          </w:p>
        </w:tc>
        <w:tc>
          <w:tcPr>
            <w:tcW w:w="4252" w:type="dxa"/>
            <w:vAlign w:val="center"/>
          </w:tcPr>
          <w:p w14:paraId="70F622E0" w14:textId="524AB182" w:rsidR="00736A1A" w:rsidRPr="00736A1A" w:rsidRDefault="00736A1A" w:rsidP="00736A1A">
            <w:pPr>
              <w:spacing w:before="0" w:after="0"/>
              <w:jc w:val="left"/>
              <w:rPr>
                <w:sz w:val="20"/>
                <w:szCs w:val="20"/>
              </w:rPr>
            </w:pPr>
            <w:r w:rsidRPr="00736A1A">
              <w:rPr>
                <w:sz w:val="20"/>
                <w:szCs w:val="20"/>
              </w:rPr>
              <w:t>For systematic random selection, require an auditable interval/ordering and a defensible starting procedure. For structured multisite/sentinel capture, document why the design improves coverage; “multicentre” alone remains score 1 or 0 depending on selection evidence.</w:t>
            </w:r>
          </w:p>
        </w:tc>
      </w:tr>
      <w:tr w:rsidR="00736A1A" w:rsidRPr="00670529" w14:paraId="3CB2813D" w14:textId="2DA4DAB8" w:rsidTr="00736A1A">
        <w:tc>
          <w:tcPr>
            <w:tcW w:w="738" w:type="dxa"/>
            <w:vAlign w:val="center"/>
            <w:hideMark/>
          </w:tcPr>
          <w:p w14:paraId="5291FF44" w14:textId="142E274C" w:rsidR="00736A1A" w:rsidRPr="00736A1A" w:rsidRDefault="00736A1A" w:rsidP="00736A1A">
            <w:pPr>
              <w:spacing w:before="0" w:after="0"/>
              <w:jc w:val="left"/>
              <w:rPr>
                <w:sz w:val="20"/>
                <w:szCs w:val="20"/>
              </w:rPr>
            </w:pPr>
            <w:r w:rsidRPr="00736A1A">
              <w:rPr>
                <w:sz w:val="20"/>
                <w:szCs w:val="20"/>
              </w:rPr>
              <w:t>3</w:t>
            </w:r>
          </w:p>
        </w:tc>
        <w:tc>
          <w:tcPr>
            <w:tcW w:w="4077" w:type="dxa"/>
            <w:vAlign w:val="center"/>
            <w:hideMark/>
          </w:tcPr>
          <w:p w14:paraId="45FAAC58" w14:textId="77DE00FF" w:rsidR="00736A1A" w:rsidRPr="00736A1A" w:rsidRDefault="00736A1A" w:rsidP="00736A1A">
            <w:pPr>
              <w:spacing w:before="0" w:after="0"/>
              <w:jc w:val="left"/>
              <w:rPr>
                <w:sz w:val="20"/>
                <w:szCs w:val="20"/>
              </w:rPr>
            </w:pPr>
            <w:r w:rsidRPr="00736A1A">
              <w:rPr>
                <w:sz w:val="20"/>
                <w:szCs w:val="20"/>
              </w:rPr>
              <w:t xml:space="preserve">Implemented multistage, stratified, cluster, </w:t>
            </w:r>
            <w:r w:rsidRPr="00736A1A">
              <w:rPr>
                <w:sz w:val="20"/>
                <w:szCs w:val="20"/>
              </w:rPr>
              <w:t>PPS,</w:t>
            </w:r>
            <w:r w:rsidRPr="00736A1A">
              <w:rPr>
                <w:sz w:val="20"/>
                <w:szCs w:val="20"/>
              </w:rPr>
              <w:t xml:space="preserve"> or comparable probability sampling; verified census/universal inclusion; complete eligible case/specimen ascertainment across the explicitly defined frame.</w:t>
            </w:r>
          </w:p>
        </w:tc>
        <w:tc>
          <w:tcPr>
            <w:tcW w:w="4252" w:type="dxa"/>
            <w:vAlign w:val="center"/>
          </w:tcPr>
          <w:p w14:paraId="28679BB0" w14:textId="322124CF" w:rsidR="00736A1A" w:rsidRPr="00736A1A" w:rsidRDefault="00736A1A" w:rsidP="00736A1A">
            <w:pPr>
              <w:spacing w:before="0" w:after="0"/>
              <w:jc w:val="left"/>
              <w:rPr>
                <w:sz w:val="20"/>
                <w:szCs w:val="20"/>
              </w:rPr>
            </w:pPr>
            <w:r w:rsidRPr="00736A1A">
              <w:rPr>
                <w:sz w:val="20"/>
                <w:szCs w:val="20"/>
              </w:rPr>
              <w:t>Probability selection must be demonstrated, not inferred from the word “multistage”. Universal capture requires evidence that all eligible units in the defined frame were included/ascertained; nonresponse is then handled separately under Q5.</w:t>
            </w:r>
          </w:p>
        </w:tc>
      </w:tr>
    </w:tbl>
    <w:p w14:paraId="501FA8C7" w14:textId="73B443D4" w:rsidR="00736A1A" w:rsidRDefault="00736A1A" w:rsidP="00736A1A">
      <w:r>
        <w:t>Q4 mixed-pathway rule: score the weakest consequential selection stage. Example: randomly selected districts followed by convenience patient recruitment scores 1; purposively selected hospitals followed by random specimen selection remains 1 for inference to the broader patient population; a complete census of all workers in a defined workplace frame can score 3 even though the frame itself may still require a separate Q3 judgement</w:t>
      </w:r>
      <w:r>
        <w:t xml:space="preserve"> </w:t>
      </w:r>
    </w:p>
    <w:p w14:paraId="76F6842F" w14:textId="20B80EE2" w:rsidR="00670529" w:rsidRDefault="002F59E4" w:rsidP="000C7018">
      <w:pPr>
        <w:pStyle w:val="Heading2"/>
      </w:pPr>
      <w:r>
        <w:t xml:space="preserve">Q5: </w:t>
      </w:r>
      <w:r w:rsidR="00670529" w:rsidRPr="00670529">
        <w:t>Nonresponse, missingness, or completeness bias</w:t>
      </w:r>
      <w:r>
        <w:t xml:space="preserve"> [</w:t>
      </w:r>
      <w:r w:rsidR="00670529" w:rsidRPr="00670529">
        <w:t>0</w:t>
      </w:r>
      <w:r w:rsidR="000C7018">
        <w:t>-</w:t>
      </w:r>
      <w:r w:rsidR="00670529" w:rsidRPr="00670529">
        <w:t>2</w:t>
      </w:r>
      <w:r>
        <w:t>]</w:t>
      </w:r>
    </w:p>
    <w:p w14:paraId="3BD77496" w14:textId="53A07329" w:rsidR="00736A1A" w:rsidRPr="002E1B0C" w:rsidRDefault="00736A1A" w:rsidP="00F04944">
      <w:r w:rsidRPr="00736A1A">
        <w:t>Q5 evaluates completeness for the specific endpoint being assessed. For a single-assay endpoint, calculate completeness using participants eligible for that endpoint-defining assay. For an explicit staged algorithm, a participant is completely classified only when all stages required by the algorithm have been completed. A predefined subset-verification design is not “missing confirmation” for the subset endpoint, but it cannot be treated as a complete population algorithm endpoint</w:t>
      </w:r>
      <w:r>
        <w:t>.</w:t>
      </w:r>
    </w:p>
    <w:p w14:paraId="6A497613" w14:textId="5F891717" w:rsidR="00F04944" w:rsidRPr="004101FE" w:rsidRDefault="00736A1A" w:rsidP="00F04944">
      <w:pPr>
        <w:spacing w:line="278" w:lineRule="auto"/>
      </w:pPr>
      <m:oMathPara>
        <m:oMath>
          <m:r>
            <m:rPr>
              <m:nor/>
            </m:rPr>
            <w:rPr>
              <w:rFonts w:ascii="Cambria Math"/>
            </w:rPr>
            <m:t>Endpoint completeness</m:t>
          </m:r>
          <m:r>
            <w:rPr>
              <w:rFonts w:ascii="Cambria Math" w:hAnsi="Cambria Math"/>
            </w:rPr>
            <m:t xml:space="preserve">= 100 × </m:t>
          </m:r>
          <m:f>
            <m:fPr>
              <m:ctrlPr>
                <w:rPr>
                  <w:rFonts w:ascii="Cambria Math" w:hAnsi="Cambria Math"/>
                </w:rPr>
              </m:ctrlPr>
            </m:fPr>
            <m:num>
              <m:r>
                <m:rPr>
                  <m:nor/>
                </m:rPr>
                <w:rPr>
                  <w:rFonts w:ascii="Cambria Math"/>
                </w:rPr>
                <m:t xml:space="preserve">participants with an interpretable endpoint result </m:t>
              </m:r>
            </m:num>
            <m:den>
              <m:r>
                <m:rPr>
                  <m:nor/>
                </m:rPr>
                <w:rPr>
                  <w:rFonts w:ascii="Cambria Math"/>
                </w:rPr>
                <m:t>participants eligible for that endpoint</m:t>
              </m:r>
            </m:den>
          </m:f>
          <m:r>
            <m:rPr>
              <m:sty m:val="p"/>
            </m:rPr>
            <w:br/>
          </m:r>
        </m:oMath>
      </m:oMathPara>
    </w:p>
    <w:p w14:paraId="0C651905" w14:textId="77777777" w:rsidR="00736A1A" w:rsidRDefault="00736A1A" w:rsidP="004101FE">
      <w:pPr>
        <w:spacing w:line="278" w:lineRule="auto"/>
      </w:pPr>
      <w:r w:rsidRPr="00736A1A">
        <w:rPr>
          <w:i/>
          <w:iCs/>
        </w:rPr>
        <w:t>For a staged algorithm, “interpretable endpoint result” means completion of every stage required for final classification</w:t>
      </w:r>
      <w:r w:rsidR="004101FE" w:rsidRPr="004101FE">
        <w:t>.</w:t>
      </w:r>
      <w:r w:rsidR="004101FE">
        <w:t xml:space="preserve"> </w:t>
      </w:r>
    </w:p>
    <w:p w14:paraId="4A93801D" w14:textId="66BADAAA" w:rsidR="00670529" w:rsidRPr="00F04944" w:rsidRDefault="002A40D2" w:rsidP="004101FE">
      <w:pPr>
        <w:spacing w:line="278" w:lineRule="auto"/>
      </w:pPr>
      <w:r w:rsidRPr="002A40D2">
        <w:t>For surveillance/retrospective studies, use record/specimen completeness rather than conventional questionnaire response. Missing required confirmation must not be coded as a negative result. Conversely, molecular testing restricted by a predefined subset design should be assessed against the subset endpoint denominator rather than misclassified as missingness in the source population</w:t>
      </w:r>
      <w:r w:rsidR="00F04944" w:rsidRPr="00F84640">
        <w:t>.</w:t>
      </w:r>
    </w:p>
    <w:tbl>
      <w:tblPr>
        <w:tblStyle w:val="TableGrid"/>
        <w:tblW w:w="0" w:type="auto"/>
        <w:tblLook w:val="04A0" w:firstRow="1" w:lastRow="0" w:firstColumn="1" w:lastColumn="0" w:noHBand="0" w:noVBand="1"/>
      </w:tblPr>
      <w:tblGrid>
        <w:gridCol w:w="738"/>
        <w:gridCol w:w="8278"/>
      </w:tblGrid>
      <w:tr w:rsidR="00670529" w:rsidRPr="00670529" w14:paraId="7ACE29F3" w14:textId="77777777" w:rsidTr="00BC2AE2">
        <w:tc>
          <w:tcPr>
            <w:tcW w:w="0" w:type="auto"/>
            <w:vAlign w:val="center"/>
            <w:hideMark/>
          </w:tcPr>
          <w:p w14:paraId="17A6B3F3"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Score</w:t>
            </w:r>
          </w:p>
        </w:tc>
        <w:tc>
          <w:tcPr>
            <w:tcW w:w="0" w:type="auto"/>
            <w:vAlign w:val="center"/>
            <w:hideMark/>
          </w:tcPr>
          <w:p w14:paraId="71523BD4"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Explicit application</w:t>
            </w:r>
          </w:p>
        </w:tc>
      </w:tr>
      <w:tr w:rsidR="00670529" w:rsidRPr="00670529" w14:paraId="17E0C892" w14:textId="77777777" w:rsidTr="00BC2AE2">
        <w:tc>
          <w:tcPr>
            <w:tcW w:w="0" w:type="auto"/>
            <w:vAlign w:val="center"/>
            <w:hideMark/>
          </w:tcPr>
          <w:p w14:paraId="522C4BE2" w14:textId="77777777" w:rsidR="00670529" w:rsidRPr="00670529" w:rsidRDefault="00670529" w:rsidP="00BC2AE2">
            <w:pPr>
              <w:spacing w:before="0" w:after="0"/>
              <w:jc w:val="left"/>
            </w:pPr>
            <w:r w:rsidRPr="00670529">
              <w:rPr>
                <w:b/>
                <w:bCs/>
              </w:rPr>
              <w:t>0</w:t>
            </w:r>
          </w:p>
        </w:tc>
        <w:tc>
          <w:tcPr>
            <w:tcW w:w="0" w:type="auto"/>
            <w:vAlign w:val="center"/>
            <w:hideMark/>
          </w:tcPr>
          <w:p w14:paraId="0867F9A4" w14:textId="1B4E2672" w:rsidR="00670529" w:rsidRPr="00670529" w:rsidRDefault="002A40D2" w:rsidP="00BC2AE2">
            <w:pPr>
              <w:spacing w:before="0" w:after="0"/>
              <w:jc w:val="left"/>
            </w:pPr>
            <w:r w:rsidRPr="002A40D2">
              <w:t>&lt;70% response/completeness; substantial potentially differential missingness; required pathway completion is substantially incomplete; or relevant endpoint completeness is not reported and cannot be established</w:t>
            </w:r>
            <w:r w:rsidR="00670529" w:rsidRPr="00670529">
              <w:t>.</w:t>
            </w:r>
          </w:p>
        </w:tc>
      </w:tr>
      <w:tr w:rsidR="00670529" w:rsidRPr="00670529" w14:paraId="2ECE29BD" w14:textId="77777777" w:rsidTr="00BC2AE2">
        <w:tc>
          <w:tcPr>
            <w:tcW w:w="0" w:type="auto"/>
            <w:vAlign w:val="center"/>
            <w:hideMark/>
          </w:tcPr>
          <w:p w14:paraId="257B412A" w14:textId="77777777" w:rsidR="00670529" w:rsidRPr="00670529" w:rsidRDefault="00670529" w:rsidP="00BC2AE2">
            <w:pPr>
              <w:spacing w:before="0" w:after="0"/>
              <w:jc w:val="left"/>
            </w:pPr>
            <w:r w:rsidRPr="00670529">
              <w:rPr>
                <w:b/>
                <w:bCs/>
              </w:rPr>
              <w:t>1</w:t>
            </w:r>
          </w:p>
        </w:tc>
        <w:tc>
          <w:tcPr>
            <w:tcW w:w="0" w:type="auto"/>
            <w:vAlign w:val="center"/>
            <w:hideMark/>
          </w:tcPr>
          <w:p w14:paraId="047F9D9C" w14:textId="2F5BD373" w:rsidR="00670529" w:rsidRPr="00670529" w:rsidRDefault="002A40D2" w:rsidP="00BC2AE2">
            <w:pPr>
              <w:spacing w:before="0" w:after="0"/>
              <w:jc w:val="left"/>
            </w:pPr>
            <w:r w:rsidRPr="002A40D2">
              <w:t>70% to &lt;80% complete, or moderate missingness/pathway incompleteness is adequately described and unlikely to cause major bias</w:t>
            </w:r>
            <w:r w:rsidR="00670529" w:rsidRPr="00670529">
              <w:t>.</w:t>
            </w:r>
          </w:p>
        </w:tc>
      </w:tr>
      <w:tr w:rsidR="00670529" w:rsidRPr="00670529" w14:paraId="3F601F68" w14:textId="77777777" w:rsidTr="00BC2AE2">
        <w:tc>
          <w:tcPr>
            <w:tcW w:w="0" w:type="auto"/>
            <w:vAlign w:val="center"/>
            <w:hideMark/>
          </w:tcPr>
          <w:p w14:paraId="3623F6C0" w14:textId="77777777" w:rsidR="00670529" w:rsidRPr="00670529" w:rsidRDefault="00670529" w:rsidP="00BC2AE2">
            <w:pPr>
              <w:spacing w:before="0" w:after="0"/>
              <w:jc w:val="left"/>
            </w:pPr>
            <w:r w:rsidRPr="00670529">
              <w:rPr>
                <w:b/>
                <w:bCs/>
              </w:rPr>
              <w:t>2</w:t>
            </w:r>
          </w:p>
        </w:tc>
        <w:tc>
          <w:tcPr>
            <w:tcW w:w="0" w:type="auto"/>
            <w:vAlign w:val="center"/>
            <w:hideMark/>
          </w:tcPr>
          <w:p w14:paraId="1CBDFB58" w14:textId="6C3ACA2A" w:rsidR="00670529" w:rsidRPr="00670529" w:rsidRDefault="002A40D2" w:rsidP="00BC2AE2">
            <w:pPr>
              <w:spacing w:before="0" w:after="0"/>
              <w:jc w:val="left"/>
            </w:pPr>
            <w:r w:rsidRPr="002A40D2">
              <w:t>≥80% complete; near-complete census/universal capture; or endpoint completeness is high and analyses demonstrate no important difference between included and excluded/nonresponding participants in relevant infection-risk characteristics. Comparability analyses should not by themselves rescue grossly incomplete endpoint ascertainment</w:t>
            </w:r>
            <w:r w:rsidR="00670529" w:rsidRPr="00670529">
              <w:t>.</w:t>
            </w:r>
          </w:p>
        </w:tc>
      </w:tr>
    </w:tbl>
    <w:p w14:paraId="3720C69B" w14:textId="0FC33842" w:rsidR="00670529" w:rsidRPr="00670529" w:rsidRDefault="002F59E4" w:rsidP="00214022">
      <w:pPr>
        <w:pStyle w:val="Heading2"/>
      </w:pPr>
      <w:r w:rsidRPr="00670529">
        <w:lastRenderedPageBreak/>
        <w:t>Q6</w:t>
      </w:r>
      <w:r>
        <w:t xml:space="preserve">. </w:t>
      </w:r>
      <w:r w:rsidR="00214022" w:rsidRPr="00214022">
        <w:t>Assay validity, standardization, and independent confirmation</w:t>
      </w:r>
      <w:r>
        <w:t xml:space="preserve"> [</w:t>
      </w:r>
      <w:r w:rsidR="00670529" w:rsidRPr="00670529">
        <w:t>0</w:t>
      </w:r>
      <w:r w:rsidR="00214022">
        <w:t>-</w:t>
      </w:r>
      <w:r w:rsidR="00670529" w:rsidRPr="00670529">
        <w:t>4</w:t>
      </w:r>
      <w:r>
        <w:t>]</w:t>
      </w:r>
    </w:p>
    <w:p w14:paraId="7F6FF75B" w14:textId="05FE880D" w:rsidR="00670529" w:rsidRDefault="002A40D2" w:rsidP="00E34830">
      <w:r w:rsidRPr="002A40D2">
        <w:t>Q6 contains three deliberately distinct constructs. Q6a scores the intrinsic appropriateness and diagnostic validity of the endpoint-defining assay or algorithm. Q6b scores evidence that the assay was validated/standardized and implemented with appropriate performance specifications or quality controls. Q6c scores independent orthogonal confirmation of the same endpoint. The same evidence should not be counted twice</w:t>
      </w:r>
      <w:r w:rsidR="00670529" w:rsidRPr="00670529">
        <w:t>.</w:t>
      </w:r>
    </w:p>
    <w:p w14:paraId="2450DCB1" w14:textId="0A3D7415" w:rsidR="0008379E" w:rsidRDefault="00596407" w:rsidP="00596407">
      <w:pPr>
        <w:pStyle w:val="Heading3"/>
      </w:pPr>
      <w:r w:rsidRPr="00596407">
        <w:t>Q6a: Overall validity of the endpoint-defining assay or diagnostic algorithm [0-4]</w:t>
      </w:r>
    </w:p>
    <w:p w14:paraId="3FE6ABEB" w14:textId="19167532" w:rsidR="00E34830" w:rsidRPr="00670529" w:rsidRDefault="002A40D2" w:rsidP="00E34830">
      <w:r w:rsidRPr="002A40D2">
        <w:rPr>
          <w:b/>
          <w:bCs/>
          <w:i/>
          <w:iCs/>
        </w:rPr>
        <w:t>Anchor Q6a to the endpoint numerator</w:t>
      </w:r>
      <w:r w:rsidRPr="002A40D2">
        <w:t>: For a primary single-assay endpoint, score the assay that produced the numerator. For an explicit staged endpoint, score the validity of the entire stated diagnostic algorithm. Do not raise Q6a solely because a more specific method was performed on a different or selected subset</w:t>
      </w:r>
      <w:r w:rsidR="00D27AAA" w:rsidRPr="00D27AAA">
        <w:t>.</w:t>
      </w:r>
    </w:p>
    <w:tbl>
      <w:tblPr>
        <w:tblStyle w:val="TableGrid"/>
        <w:tblW w:w="0" w:type="auto"/>
        <w:tblLook w:val="04A0" w:firstRow="1" w:lastRow="0" w:firstColumn="1" w:lastColumn="0" w:noHBand="0" w:noVBand="1"/>
      </w:tblPr>
      <w:tblGrid>
        <w:gridCol w:w="738"/>
        <w:gridCol w:w="8278"/>
      </w:tblGrid>
      <w:tr w:rsidR="00670529" w:rsidRPr="00670529" w14:paraId="077598E4" w14:textId="77777777" w:rsidTr="00C66EF9">
        <w:tc>
          <w:tcPr>
            <w:tcW w:w="0" w:type="auto"/>
            <w:hideMark/>
          </w:tcPr>
          <w:p w14:paraId="0571501A"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Score</w:t>
            </w:r>
          </w:p>
        </w:tc>
        <w:tc>
          <w:tcPr>
            <w:tcW w:w="0" w:type="auto"/>
            <w:hideMark/>
          </w:tcPr>
          <w:p w14:paraId="671ABA9A"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Explicit application</w:t>
            </w:r>
          </w:p>
        </w:tc>
      </w:tr>
      <w:tr w:rsidR="00670529" w:rsidRPr="00670529" w14:paraId="56D5B674" w14:textId="77777777" w:rsidTr="00C66EF9">
        <w:tc>
          <w:tcPr>
            <w:tcW w:w="0" w:type="auto"/>
            <w:hideMark/>
          </w:tcPr>
          <w:p w14:paraId="4577085E" w14:textId="77777777" w:rsidR="00670529" w:rsidRPr="00670529" w:rsidRDefault="00670529" w:rsidP="00D27AAA">
            <w:pPr>
              <w:spacing w:before="0" w:after="0"/>
              <w:jc w:val="left"/>
            </w:pPr>
            <w:r w:rsidRPr="00670529">
              <w:rPr>
                <w:b/>
                <w:bCs/>
              </w:rPr>
              <w:t>0</w:t>
            </w:r>
          </w:p>
        </w:tc>
        <w:tc>
          <w:tcPr>
            <w:tcW w:w="0" w:type="auto"/>
            <w:hideMark/>
          </w:tcPr>
          <w:p w14:paraId="0288D811" w14:textId="23D16999" w:rsidR="00670529" w:rsidRPr="00670529" w:rsidRDefault="002A40D2" w:rsidP="00D27AAA">
            <w:pPr>
              <w:spacing w:before="0" w:after="0"/>
            </w:pPr>
            <w:r w:rsidRPr="002A40D2">
              <w:t>Assay insufficiently described, inappropriate for the endpoint, or insufficient evidence exists to establish that it measures the intended arbovirus outcome</w:t>
            </w:r>
            <w:r w:rsidR="00670529" w:rsidRPr="00670529">
              <w:t>.</w:t>
            </w:r>
          </w:p>
        </w:tc>
      </w:tr>
      <w:tr w:rsidR="00670529" w:rsidRPr="00670529" w14:paraId="0126BEEB" w14:textId="77777777" w:rsidTr="00C66EF9">
        <w:tc>
          <w:tcPr>
            <w:tcW w:w="0" w:type="auto"/>
            <w:hideMark/>
          </w:tcPr>
          <w:p w14:paraId="5FC55569" w14:textId="77777777" w:rsidR="00670529" w:rsidRPr="00670529" w:rsidRDefault="00670529" w:rsidP="00D27AAA">
            <w:pPr>
              <w:spacing w:before="0" w:after="0"/>
              <w:jc w:val="left"/>
            </w:pPr>
            <w:r w:rsidRPr="00670529">
              <w:rPr>
                <w:b/>
                <w:bCs/>
              </w:rPr>
              <w:t>1</w:t>
            </w:r>
          </w:p>
        </w:tc>
        <w:tc>
          <w:tcPr>
            <w:tcW w:w="0" w:type="auto"/>
            <w:hideMark/>
          </w:tcPr>
          <w:p w14:paraId="306A82C0" w14:textId="49DAC6BA" w:rsidR="00670529" w:rsidRPr="00670529" w:rsidRDefault="002A40D2" w:rsidP="00D27AAA">
            <w:pPr>
              <w:spacing w:before="0" w:after="0"/>
            </w:pPr>
            <w:r w:rsidRPr="002A40D2">
              <w:t>Low-validity screening method with minimal information supporting endpoint specificity or reliability.</w:t>
            </w:r>
          </w:p>
        </w:tc>
      </w:tr>
      <w:tr w:rsidR="00670529" w:rsidRPr="00670529" w14:paraId="0B42F6D5" w14:textId="77777777" w:rsidTr="00C66EF9">
        <w:tc>
          <w:tcPr>
            <w:tcW w:w="0" w:type="auto"/>
            <w:hideMark/>
          </w:tcPr>
          <w:p w14:paraId="4676F591" w14:textId="77777777" w:rsidR="00670529" w:rsidRPr="00670529" w:rsidRDefault="00670529" w:rsidP="00D27AAA">
            <w:pPr>
              <w:spacing w:before="0" w:after="0"/>
              <w:jc w:val="left"/>
            </w:pPr>
            <w:r w:rsidRPr="00670529">
              <w:rPr>
                <w:b/>
                <w:bCs/>
              </w:rPr>
              <w:t>2</w:t>
            </w:r>
          </w:p>
        </w:tc>
        <w:tc>
          <w:tcPr>
            <w:tcW w:w="0" w:type="auto"/>
            <w:hideMark/>
          </w:tcPr>
          <w:p w14:paraId="5CB79E5B" w14:textId="2AA17E80" w:rsidR="00670529" w:rsidRPr="00670529" w:rsidRDefault="002A40D2" w:rsidP="00D27AAA">
            <w:pPr>
              <w:spacing w:before="0" w:after="0"/>
            </w:pPr>
            <w:r w:rsidRPr="002A40D2">
              <w:t xml:space="preserve">Recognized commercial, published or laboratory-developed single assay appropriate for the endpoint, but the method class provides only moderate </w:t>
            </w:r>
            <w:r w:rsidRPr="002A40D2">
              <w:t>specificity,</w:t>
            </w:r>
            <w:r w:rsidRPr="002A40D2">
              <w:t xml:space="preserve"> or the article provides limited evidence supporting diagnostic performance</w:t>
            </w:r>
            <w:r w:rsidR="00670529" w:rsidRPr="00670529">
              <w:t>.</w:t>
            </w:r>
          </w:p>
        </w:tc>
      </w:tr>
      <w:tr w:rsidR="00670529" w:rsidRPr="00670529" w14:paraId="089CB008" w14:textId="77777777" w:rsidTr="00C66EF9">
        <w:tc>
          <w:tcPr>
            <w:tcW w:w="0" w:type="auto"/>
            <w:hideMark/>
          </w:tcPr>
          <w:p w14:paraId="230400D4" w14:textId="77777777" w:rsidR="00670529" w:rsidRPr="00670529" w:rsidRDefault="00670529" w:rsidP="00D27AAA">
            <w:pPr>
              <w:spacing w:before="0" w:after="0"/>
              <w:jc w:val="left"/>
            </w:pPr>
            <w:r w:rsidRPr="00670529">
              <w:rPr>
                <w:b/>
                <w:bCs/>
              </w:rPr>
              <w:t>3</w:t>
            </w:r>
          </w:p>
        </w:tc>
        <w:tc>
          <w:tcPr>
            <w:tcW w:w="0" w:type="auto"/>
            <w:hideMark/>
          </w:tcPr>
          <w:p w14:paraId="6BA08860" w14:textId="33B8891B" w:rsidR="00670529" w:rsidRPr="00670529" w:rsidRDefault="002A40D2" w:rsidP="00D27AAA">
            <w:pPr>
              <w:spacing w:before="0" w:after="0"/>
            </w:pPr>
            <w:r w:rsidRPr="002A40D2">
              <w:t xml:space="preserve">Method/algorithm provides good endpoint validity and specificity, but important residual specificity limitations </w:t>
            </w:r>
            <w:r w:rsidRPr="002A40D2">
              <w:t>remain,</w:t>
            </w:r>
            <w:r w:rsidRPr="002A40D2">
              <w:t xml:space="preserve"> or the endpoint relies on a non-reference single-assay approach</w:t>
            </w:r>
            <w:r w:rsidR="00670529" w:rsidRPr="00670529">
              <w:t>.</w:t>
            </w:r>
          </w:p>
        </w:tc>
      </w:tr>
      <w:tr w:rsidR="00670529" w:rsidRPr="00670529" w14:paraId="07508DBA" w14:textId="77777777" w:rsidTr="00C66EF9">
        <w:tc>
          <w:tcPr>
            <w:tcW w:w="0" w:type="auto"/>
            <w:hideMark/>
          </w:tcPr>
          <w:p w14:paraId="7E19DEC5" w14:textId="77777777" w:rsidR="00670529" w:rsidRPr="00670529" w:rsidRDefault="00670529" w:rsidP="00D27AAA">
            <w:pPr>
              <w:spacing w:before="0" w:after="0"/>
              <w:jc w:val="left"/>
            </w:pPr>
            <w:r w:rsidRPr="00670529">
              <w:rPr>
                <w:b/>
                <w:bCs/>
              </w:rPr>
              <w:t>4</w:t>
            </w:r>
          </w:p>
        </w:tc>
        <w:tc>
          <w:tcPr>
            <w:tcW w:w="0" w:type="auto"/>
            <w:hideMark/>
          </w:tcPr>
          <w:p w14:paraId="418430CA" w14:textId="364D463E" w:rsidR="00670529" w:rsidRPr="00670529" w:rsidRDefault="002A40D2" w:rsidP="00D27AAA">
            <w:pPr>
              <w:spacing w:before="0" w:after="0"/>
            </w:pPr>
            <w:r w:rsidRPr="002A40D2">
              <w:t>Reference-standard/high-specificity endpoint-defining measurement or robust high-specificity diagnostic algorithm. Examples within this framework include PRNT/VNT/microneutralization when neutralization itself defines the endpoint; validated direct-detection NAAT or viable-virus detection when direct detection defines the endpoint; or an equivalently strong endpoint-defining multi-assay algorithm</w:t>
            </w:r>
            <w:r w:rsidR="00670529" w:rsidRPr="00670529">
              <w:t>.</w:t>
            </w:r>
          </w:p>
        </w:tc>
      </w:tr>
    </w:tbl>
    <w:p w14:paraId="4B1EDB30" w14:textId="2F7D8468" w:rsidR="00670529" w:rsidRDefault="00AD2D47" w:rsidP="00777398">
      <w:pPr>
        <w:pStyle w:val="Heading3"/>
      </w:pPr>
      <w:r w:rsidRPr="00670529">
        <w:t>Q6b</w:t>
      </w:r>
      <w:r>
        <w:t xml:space="preserve">: </w:t>
      </w:r>
      <w:r w:rsidR="00777398" w:rsidRPr="00777398">
        <w:t xml:space="preserve">Validation/standardization before study use </w:t>
      </w:r>
      <w:r>
        <w:t>[</w:t>
      </w:r>
      <w:r w:rsidR="00670529" w:rsidRPr="00670529">
        <w:t>0</w:t>
      </w:r>
      <w:r w:rsidR="00777398">
        <w:t>-</w:t>
      </w:r>
      <w:r w:rsidR="00670529" w:rsidRPr="00670529">
        <w:t>1</w:t>
      </w:r>
      <w:r>
        <w:t>]</w:t>
      </w:r>
    </w:p>
    <w:p w14:paraId="1A452DE4" w14:textId="12DBEF4C" w:rsidR="00E34830" w:rsidRPr="00E34830" w:rsidRDefault="002A40D2" w:rsidP="00E34830">
      <w:r w:rsidRPr="002A40D2">
        <w:t xml:space="preserve">Q6b concerns how the endpoint-defining assay was validated, standardized and quality-controlled before or during study use. Acceptable evidence includes manufacturer-validated commercial kits used according to the prescribed protocol, regulatory/reference authority validation, previously validated in-house methods, cited validated published protocols, documented performance/cut-offs, reference </w:t>
      </w:r>
      <w:r w:rsidRPr="002A40D2">
        <w:t>standards,</w:t>
      </w:r>
      <w:r w:rsidRPr="002A40D2">
        <w:t xml:space="preserve"> and appropriate internal/external controls for molecular assays. A materially modified commercial or published assay should not automatically receive 1 if the modification could affect diagnostic performance and no revalidation is described</w:t>
      </w:r>
      <w:r w:rsidR="00E34830" w:rsidRPr="00670529">
        <w:t>.</w:t>
      </w:r>
    </w:p>
    <w:tbl>
      <w:tblPr>
        <w:tblStyle w:val="TableGrid"/>
        <w:tblW w:w="0" w:type="auto"/>
        <w:tblLook w:val="04A0" w:firstRow="1" w:lastRow="0" w:firstColumn="1" w:lastColumn="0" w:noHBand="0" w:noVBand="1"/>
      </w:tblPr>
      <w:tblGrid>
        <w:gridCol w:w="738"/>
        <w:gridCol w:w="8278"/>
      </w:tblGrid>
      <w:tr w:rsidR="00670529" w:rsidRPr="00670529" w14:paraId="10C0AEC4" w14:textId="77777777" w:rsidTr="00C66EF9">
        <w:tc>
          <w:tcPr>
            <w:tcW w:w="0" w:type="auto"/>
            <w:hideMark/>
          </w:tcPr>
          <w:p w14:paraId="79CB8BE3"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Score</w:t>
            </w:r>
          </w:p>
        </w:tc>
        <w:tc>
          <w:tcPr>
            <w:tcW w:w="0" w:type="auto"/>
            <w:hideMark/>
          </w:tcPr>
          <w:p w14:paraId="10C2804C"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Application rule</w:t>
            </w:r>
          </w:p>
        </w:tc>
      </w:tr>
      <w:tr w:rsidR="00670529" w:rsidRPr="00670529" w14:paraId="414E5F1B" w14:textId="77777777" w:rsidTr="00F651C3">
        <w:tc>
          <w:tcPr>
            <w:tcW w:w="0" w:type="auto"/>
            <w:vAlign w:val="center"/>
            <w:hideMark/>
          </w:tcPr>
          <w:p w14:paraId="4AFD4FCC" w14:textId="77777777" w:rsidR="00670529" w:rsidRPr="00670529" w:rsidRDefault="00670529" w:rsidP="00F651C3">
            <w:pPr>
              <w:spacing w:before="0" w:after="0"/>
              <w:jc w:val="left"/>
            </w:pPr>
            <w:r w:rsidRPr="00670529">
              <w:rPr>
                <w:b/>
                <w:bCs/>
              </w:rPr>
              <w:t>0</w:t>
            </w:r>
          </w:p>
        </w:tc>
        <w:tc>
          <w:tcPr>
            <w:tcW w:w="0" w:type="auto"/>
            <w:vAlign w:val="center"/>
            <w:hideMark/>
          </w:tcPr>
          <w:p w14:paraId="72EB2098" w14:textId="31731038" w:rsidR="00670529" w:rsidRPr="00670529" w:rsidRDefault="002A40D2" w:rsidP="00F651C3">
            <w:pPr>
              <w:spacing w:before="0" w:after="0"/>
              <w:jc w:val="left"/>
            </w:pPr>
            <w:r w:rsidRPr="002A40D2">
              <w:t xml:space="preserve">No evidence of manufacturer validation, regulatory/reference-laboratory validation, established published protocol, assay-performance specification, defined cut-off </w:t>
            </w:r>
            <w:r w:rsidRPr="002A40D2">
              <w:t>validation,</w:t>
            </w:r>
            <w:r w:rsidRPr="002A40D2">
              <w:t xml:space="preserve"> or appropriate quality-control system</w:t>
            </w:r>
            <w:r w:rsidR="00670529" w:rsidRPr="00670529">
              <w:t>.</w:t>
            </w:r>
          </w:p>
        </w:tc>
      </w:tr>
      <w:tr w:rsidR="00670529" w:rsidRPr="00670529" w14:paraId="3D6EDA5A" w14:textId="77777777" w:rsidTr="00F651C3">
        <w:tc>
          <w:tcPr>
            <w:tcW w:w="0" w:type="auto"/>
            <w:vAlign w:val="center"/>
            <w:hideMark/>
          </w:tcPr>
          <w:p w14:paraId="76A35A42" w14:textId="77777777" w:rsidR="00670529" w:rsidRPr="00670529" w:rsidRDefault="00670529" w:rsidP="00F651C3">
            <w:pPr>
              <w:spacing w:before="0" w:after="0"/>
              <w:jc w:val="left"/>
            </w:pPr>
            <w:r w:rsidRPr="00670529">
              <w:rPr>
                <w:b/>
                <w:bCs/>
              </w:rPr>
              <w:t>1</w:t>
            </w:r>
          </w:p>
        </w:tc>
        <w:tc>
          <w:tcPr>
            <w:tcW w:w="0" w:type="auto"/>
            <w:vAlign w:val="center"/>
            <w:hideMark/>
          </w:tcPr>
          <w:p w14:paraId="73CA92CE" w14:textId="4C44AF83" w:rsidR="00670529" w:rsidRPr="00670529" w:rsidRDefault="002A40D2" w:rsidP="00F651C3">
            <w:pPr>
              <w:spacing w:before="0" w:after="0"/>
              <w:jc w:val="left"/>
            </w:pPr>
            <w:r w:rsidRPr="002A40D2">
              <w:t>At least one defensible indicator of pre-use validation, standardization or relevant quality control is documented for the endpoint-defining assay.</w:t>
            </w:r>
          </w:p>
        </w:tc>
      </w:tr>
    </w:tbl>
    <w:p w14:paraId="374EA8F8" w14:textId="2CDC88E0" w:rsidR="00670529" w:rsidRDefault="00F84640" w:rsidP="00234F73">
      <w:pPr>
        <w:pStyle w:val="Heading3"/>
      </w:pPr>
      <w:r w:rsidRPr="00670529">
        <w:t>Q6c</w:t>
      </w:r>
      <w:r>
        <w:t xml:space="preserve">: </w:t>
      </w:r>
      <w:r w:rsidR="00670529" w:rsidRPr="00670529">
        <w:t>Independent confirmation of the arbovirus result</w:t>
      </w:r>
      <w:r>
        <w:t xml:space="preserve"> [</w:t>
      </w:r>
      <w:r w:rsidR="00670529" w:rsidRPr="00670529">
        <w:t>0</w:t>
      </w:r>
      <w:r w:rsidR="00094BA2">
        <w:t>-</w:t>
      </w:r>
      <w:r w:rsidR="00670529" w:rsidRPr="00670529">
        <w:t>2</w:t>
      </w:r>
      <w:r>
        <w:t>]</w:t>
      </w:r>
    </w:p>
    <w:p w14:paraId="4A13A605" w14:textId="52708A40" w:rsidR="00E34830" w:rsidRPr="00E34830" w:rsidRDefault="00D168F4" w:rsidP="00E34830">
      <w:r w:rsidRPr="00D168F4">
        <w:t>Q6c is endpoint-specific. The confirmation must be explicitly linked to the same virus and endpoint result. Internal controls, duplicate wells, routine repetition of the same assay or rerunning the same platform are not independent confirmation. A reference-standard assay used as the primary endpoint-defining assay contributes to Q6a; it does not automatically give Q6c=2 without an additional independent confirmation pathway</w:t>
      </w:r>
      <w:r w:rsidR="00E34830" w:rsidRPr="00F84640">
        <w:t>.</w:t>
      </w:r>
    </w:p>
    <w:tbl>
      <w:tblPr>
        <w:tblStyle w:val="TableGrid"/>
        <w:tblW w:w="9007" w:type="dxa"/>
        <w:tblLook w:val="04A0" w:firstRow="1" w:lastRow="0" w:firstColumn="1" w:lastColumn="0" w:noHBand="0" w:noVBand="1"/>
      </w:tblPr>
      <w:tblGrid>
        <w:gridCol w:w="738"/>
        <w:gridCol w:w="8269"/>
      </w:tblGrid>
      <w:tr w:rsidR="00670529" w:rsidRPr="00670529" w14:paraId="721BEA26" w14:textId="77777777" w:rsidTr="00D168F4">
        <w:trPr>
          <w:trHeight w:val="297"/>
        </w:trPr>
        <w:tc>
          <w:tcPr>
            <w:tcW w:w="0" w:type="auto"/>
            <w:hideMark/>
          </w:tcPr>
          <w:p w14:paraId="5FB50EEE"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lastRenderedPageBreak/>
              <w:t>Score</w:t>
            </w:r>
          </w:p>
        </w:tc>
        <w:tc>
          <w:tcPr>
            <w:tcW w:w="0" w:type="auto"/>
            <w:hideMark/>
          </w:tcPr>
          <w:p w14:paraId="400A9C53"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Application rule</w:t>
            </w:r>
          </w:p>
        </w:tc>
      </w:tr>
      <w:tr w:rsidR="00670529" w:rsidRPr="00670529" w14:paraId="0827F987" w14:textId="77777777" w:rsidTr="00223E7C">
        <w:trPr>
          <w:trHeight w:val="599"/>
        </w:trPr>
        <w:tc>
          <w:tcPr>
            <w:tcW w:w="0" w:type="auto"/>
            <w:vAlign w:val="center"/>
            <w:hideMark/>
          </w:tcPr>
          <w:p w14:paraId="33F2B761" w14:textId="77777777" w:rsidR="00670529" w:rsidRPr="00670529" w:rsidRDefault="00670529" w:rsidP="00223E7C">
            <w:pPr>
              <w:spacing w:before="0" w:after="0"/>
              <w:jc w:val="left"/>
            </w:pPr>
            <w:r w:rsidRPr="00670529">
              <w:rPr>
                <w:b/>
                <w:bCs/>
              </w:rPr>
              <w:t>0</w:t>
            </w:r>
          </w:p>
        </w:tc>
        <w:tc>
          <w:tcPr>
            <w:tcW w:w="0" w:type="auto"/>
            <w:vAlign w:val="center"/>
            <w:hideMark/>
          </w:tcPr>
          <w:p w14:paraId="0171DC95" w14:textId="7B1AECAA" w:rsidR="00670529" w:rsidRPr="00670529" w:rsidRDefault="00872162" w:rsidP="00223E7C">
            <w:pPr>
              <w:spacing w:before="0" w:after="0"/>
              <w:jc w:val="left"/>
            </w:pPr>
            <w:r w:rsidRPr="00872162">
              <w:t xml:space="preserve">No independent confirmation beyond the primary endpoint-defining assay; or the reported confirmatory testing concerns a different virus, </w:t>
            </w:r>
            <w:r w:rsidR="00F3582D" w:rsidRPr="00872162">
              <w:t>endpoint,</w:t>
            </w:r>
            <w:r w:rsidRPr="00872162">
              <w:t xml:space="preserve"> or unlinked participant set</w:t>
            </w:r>
            <w:r w:rsidR="00670529" w:rsidRPr="00670529">
              <w:t>.</w:t>
            </w:r>
          </w:p>
        </w:tc>
      </w:tr>
      <w:tr w:rsidR="00670529" w:rsidRPr="00670529" w14:paraId="484D11CC" w14:textId="77777777" w:rsidTr="00223E7C">
        <w:trPr>
          <w:trHeight w:val="595"/>
        </w:trPr>
        <w:tc>
          <w:tcPr>
            <w:tcW w:w="0" w:type="auto"/>
            <w:vAlign w:val="center"/>
            <w:hideMark/>
          </w:tcPr>
          <w:p w14:paraId="009C68C5" w14:textId="77777777" w:rsidR="00670529" w:rsidRPr="00670529" w:rsidRDefault="00670529" w:rsidP="00223E7C">
            <w:pPr>
              <w:spacing w:before="0" w:after="0"/>
              <w:jc w:val="left"/>
            </w:pPr>
            <w:r w:rsidRPr="00670529">
              <w:rPr>
                <w:b/>
                <w:bCs/>
              </w:rPr>
              <w:t>1</w:t>
            </w:r>
          </w:p>
        </w:tc>
        <w:tc>
          <w:tcPr>
            <w:tcW w:w="0" w:type="auto"/>
            <w:vAlign w:val="center"/>
            <w:hideMark/>
          </w:tcPr>
          <w:p w14:paraId="0B6BF971" w14:textId="4C35DC75" w:rsidR="00670529" w:rsidRPr="00670529" w:rsidRDefault="00F3582D" w:rsidP="00223E7C">
            <w:pPr>
              <w:spacing w:before="0" w:after="0"/>
              <w:jc w:val="left"/>
            </w:pPr>
            <w:r w:rsidRPr="00F3582D">
              <w:t>Limited/supportive confirmation: an orthogonal or additional method supports the result but is less definitive, is applied only to a predefined or selectively tested subset or does not systematically confirm the full relevant eligible set</w:t>
            </w:r>
            <w:r w:rsidR="00670529" w:rsidRPr="00670529">
              <w:t>.</w:t>
            </w:r>
          </w:p>
        </w:tc>
      </w:tr>
      <w:tr w:rsidR="00670529" w:rsidRPr="00670529" w14:paraId="153FAFF2" w14:textId="77777777" w:rsidTr="00223E7C">
        <w:trPr>
          <w:trHeight w:val="599"/>
        </w:trPr>
        <w:tc>
          <w:tcPr>
            <w:tcW w:w="0" w:type="auto"/>
            <w:vAlign w:val="center"/>
            <w:hideMark/>
          </w:tcPr>
          <w:p w14:paraId="4FB08D1C" w14:textId="77777777" w:rsidR="00670529" w:rsidRPr="00670529" w:rsidRDefault="00670529" w:rsidP="00223E7C">
            <w:pPr>
              <w:spacing w:before="0" w:after="0"/>
              <w:jc w:val="left"/>
            </w:pPr>
            <w:r w:rsidRPr="00670529">
              <w:rPr>
                <w:b/>
                <w:bCs/>
              </w:rPr>
              <w:t>2</w:t>
            </w:r>
          </w:p>
        </w:tc>
        <w:tc>
          <w:tcPr>
            <w:tcW w:w="0" w:type="auto"/>
            <w:vAlign w:val="center"/>
            <w:hideMark/>
          </w:tcPr>
          <w:p w14:paraId="43224862" w14:textId="27F78B71" w:rsidR="00670529" w:rsidRPr="00670529" w:rsidRDefault="00223E7C" w:rsidP="00223E7C">
            <w:pPr>
              <w:spacing w:before="0" w:after="0"/>
              <w:jc w:val="left"/>
            </w:pPr>
            <w:r w:rsidRPr="00223E7C">
              <w:t>Strong independent confirmation directly supports virus-specific identification or the endpoint result using a high-specificity orthogonal method and is systematically applied to the relevant positive/eligible set for that endpoint</w:t>
            </w:r>
            <w:r w:rsidR="00670529" w:rsidRPr="00670529">
              <w:t>.</w:t>
            </w:r>
          </w:p>
        </w:tc>
      </w:tr>
    </w:tbl>
    <w:p w14:paraId="7372FC7C" w14:textId="6EF5FBD1" w:rsidR="00670529" w:rsidRDefault="00F84640" w:rsidP="00223E7C">
      <w:pPr>
        <w:pStyle w:val="Heading2"/>
      </w:pPr>
      <w:r w:rsidRPr="00670529">
        <w:t>Q7</w:t>
      </w:r>
      <w:r>
        <w:t xml:space="preserve">: </w:t>
      </w:r>
      <w:r w:rsidR="00670529" w:rsidRPr="00670529">
        <w:t>Consistency of data collection and sample analysis</w:t>
      </w:r>
      <w:r>
        <w:t xml:space="preserve"> [</w:t>
      </w:r>
      <w:r w:rsidR="00670529" w:rsidRPr="00670529">
        <w:t>0</w:t>
      </w:r>
      <w:r w:rsidR="00A87966">
        <w:t>-</w:t>
      </w:r>
      <w:r w:rsidR="00670529" w:rsidRPr="00670529">
        <w:t>1</w:t>
      </w:r>
      <w:r>
        <w:t>]</w:t>
      </w:r>
    </w:p>
    <w:p w14:paraId="45F23403" w14:textId="2B1DFAF0" w:rsidR="00BD145F" w:rsidRPr="00E34830" w:rsidRDefault="007A16C6" w:rsidP="00E34830">
      <w:r w:rsidRPr="007A16C6">
        <w:t>Q7 is scored against the endpoint-defining procedure. A primary endpoint can score 1 when the primary assay is applied consistently even if optional confirmation is uneven, provided that confirmation does not define that primary numerator. An explicit staged endpoint can score 1 only when the staged diagnostic rule is predefined and consistently applied to everyone eligible at each required stage</w:t>
      </w:r>
      <w:r w:rsidR="00BD145F" w:rsidRPr="001E10B2">
        <w:t>.</w:t>
      </w:r>
    </w:p>
    <w:tbl>
      <w:tblPr>
        <w:tblStyle w:val="TableGrid"/>
        <w:tblW w:w="0" w:type="auto"/>
        <w:tblLook w:val="04A0" w:firstRow="1" w:lastRow="0" w:firstColumn="1" w:lastColumn="0" w:noHBand="0" w:noVBand="1"/>
      </w:tblPr>
      <w:tblGrid>
        <w:gridCol w:w="738"/>
        <w:gridCol w:w="8278"/>
      </w:tblGrid>
      <w:tr w:rsidR="00670529" w:rsidRPr="00670529" w14:paraId="00DAA069" w14:textId="77777777" w:rsidTr="00C66EF9">
        <w:tc>
          <w:tcPr>
            <w:tcW w:w="0" w:type="auto"/>
            <w:hideMark/>
          </w:tcPr>
          <w:p w14:paraId="1D4D2932"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Score</w:t>
            </w:r>
          </w:p>
        </w:tc>
        <w:tc>
          <w:tcPr>
            <w:tcW w:w="0" w:type="auto"/>
            <w:hideMark/>
          </w:tcPr>
          <w:p w14:paraId="3432184A" w14:textId="77777777" w:rsidR="00670529" w:rsidRPr="00891D79" w:rsidRDefault="00670529" w:rsidP="00891D79">
            <w:pPr>
              <w:spacing w:before="0" w:after="0"/>
              <w:jc w:val="center"/>
              <w:rPr>
                <w:b/>
                <w:bCs/>
                <w:color w:val="153D63" w:themeColor="text2" w:themeTint="E6"/>
              </w:rPr>
            </w:pPr>
            <w:r w:rsidRPr="00891D79">
              <w:rPr>
                <w:b/>
                <w:bCs/>
                <w:color w:val="153D63" w:themeColor="text2" w:themeTint="E6"/>
              </w:rPr>
              <w:t>Application rule</w:t>
            </w:r>
          </w:p>
        </w:tc>
      </w:tr>
      <w:tr w:rsidR="00670529" w:rsidRPr="00670529" w14:paraId="7CA7542B" w14:textId="77777777" w:rsidTr="00EE3C23">
        <w:tc>
          <w:tcPr>
            <w:tcW w:w="0" w:type="auto"/>
            <w:vAlign w:val="center"/>
            <w:hideMark/>
          </w:tcPr>
          <w:p w14:paraId="5E48813C" w14:textId="77777777" w:rsidR="00670529" w:rsidRPr="00670529" w:rsidRDefault="00670529" w:rsidP="00EE3C23">
            <w:pPr>
              <w:spacing w:before="0" w:after="0"/>
              <w:jc w:val="left"/>
            </w:pPr>
            <w:r w:rsidRPr="00670529">
              <w:rPr>
                <w:b/>
                <w:bCs/>
              </w:rPr>
              <w:t>0</w:t>
            </w:r>
          </w:p>
        </w:tc>
        <w:tc>
          <w:tcPr>
            <w:tcW w:w="0" w:type="auto"/>
            <w:vAlign w:val="center"/>
            <w:hideMark/>
          </w:tcPr>
          <w:p w14:paraId="1E92B145" w14:textId="1A9724DD" w:rsidR="00670529" w:rsidRPr="00670529" w:rsidRDefault="005329E2" w:rsidP="00EE3C23">
            <w:pPr>
              <w:spacing w:before="0" w:after="0"/>
              <w:jc w:val="left"/>
            </w:pPr>
            <w:r w:rsidRPr="005329E2">
              <w:t xml:space="preserve">Participants/specimens receive materially different endpoint-defining procedures without a predefined rule; required confirmation depends on convenience, specimen availability, titre, severity, clinician/investigator </w:t>
            </w:r>
            <w:r w:rsidR="00EE3C23" w:rsidRPr="005329E2">
              <w:t>preference,</w:t>
            </w:r>
            <w:r w:rsidRPr="005329E2">
              <w:t xml:space="preserve"> or another mechanism likely to bias classification</w:t>
            </w:r>
            <w:r w:rsidR="00670529" w:rsidRPr="00670529">
              <w:t>.</w:t>
            </w:r>
          </w:p>
        </w:tc>
      </w:tr>
      <w:tr w:rsidR="00670529" w:rsidRPr="00670529" w14:paraId="19005010" w14:textId="77777777" w:rsidTr="00EE3C23">
        <w:tc>
          <w:tcPr>
            <w:tcW w:w="0" w:type="auto"/>
            <w:vAlign w:val="center"/>
            <w:hideMark/>
          </w:tcPr>
          <w:p w14:paraId="3A54E6FD" w14:textId="77777777" w:rsidR="00670529" w:rsidRPr="00670529" w:rsidRDefault="00670529" w:rsidP="00EE3C23">
            <w:pPr>
              <w:spacing w:before="0" w:after="0"/>
              <w:jc w:val="left"/>
            </w:pPr>
            <w:r w:rsidRPr="00670529">
              <w:rPr>
                <w:b/>
                <w:bCs/>
              </w:rPr>
              <w:t>1</w:t>
            </w:r>
          </w:p>
        </w:tc>
        <w:tc>
          <w:tcPr>
            <w:tcW w:w="0" w:type="auto"/>
            <w:vAlign w:val="center"/>
            <w:hideMark/>
          </w:tcPr>
          <w:p w14:paraId="662E4B01" w14:textId="3F05588A" w:rsidR="00670529" w:rsidRPr="00F84640" w:rsidRDefault="00EE3C23" w:rsidP="00EE3C23">
            <w:pPr>
              <w:spacing w:before="0" w:after="0"/>
              <w:jc w:val="left"/>
            </w:pPr>
            <w:r w:rsidRPr="00EE3C23">
              <w:t>The same collection and endpoint-defining assay is applied to all participants/specimens relevant to the endpoint, or a single predefined staged diagnostic algorithm is applied consistently to all participants eligible at each stage</w:t>
            </w:r>
            <w:r>
              <w:t>.</w:t>
            </w:r>
          </w:p>
        </w:tc>
      </w:tr>
    </w:tbl>
    <w:p w14:paraId="56D31E2D" w14:textId="10083F1E" w:rsidR="00670529" w:rsidRPr="00670529" w:rsidRDefault="00F84640" w:rsidP="00094BA2">
      <w:pPr>
        <w:pStyle w:val="Heading2"/>
      </w:pPr>
      <w:r w:rsidRPr="00670529">
        <w:t>Q8</w:t>
      </w:r>
      <w:r>
        <w:t xml:space="preserve">: </w:t>
      </w:r>
      <w:r w:rsidR="00094BA2" w:rsidRPr="00094BA2">
        <w:t>Appropriate observed numerator and denom</w:t>
      </w:r>
      <w:r w:rsidR="00094BA2">
        <w:t>inator</w:t>
      </w:r>
      <w:r>
        <w:t xml:space="preserve"> [</w:t>
      </w:r>
      <w:r w:rsidR="00670529" w:rsidRPr="00670529">
        <w:t>0</w:t>
      </w:r>
      <w:r w:rsidR="00094BA2">
        <w:t>-</w:t>
      </w:r>
      <w:r w:rsidR="00670529" w:rsidRPr="00670529">
        <w:t>1</w:t>
      </w:r>
      <w:r>
        <w:t>]</w:t>
      </w:r>
    </w:p>
    <w:p w14:paraId="7C397617" w14:textId="00761337" w:rsidR="00670529" w:rsidRPr="00F84640" w:rsidRDefault="00612BED" w:rsidP="005D7D9E">
      <w:r w:rsidRPr="00612BED">
        <w:t>The numerator and denominator must correspond to the same virus, endpoint, population, time period and measurement pathway. Q8=1 only when both are clear, observed and internally consistent for the declared endpoint. Q8=0 when either is missing, ambiguous, mismatched, reconstructed without defensible linkage, or taken from different populations/time points. Observed integer event counts are required for the raw binomial endpoint; posterior-derived “expected true positives” are not observed numerators</w:t>
      </w:r>
      <w:r w:rsidR="00F541AF" w:rsidRPr="00670529">
        <w:t>:</w:t>
      </w:r>
    </w:p>
    <w:tbl>
      <w:tblPr>
        <w:tblStyle w:val="TableGrid"/>
        <w:tblW w:w="0" w:type="auto"/>
        <w:tblLook w:val="04A0" w:firstRow="1" w:lastRow="0" w:firstColumn="1" w:lastColumn="0" w:noHBand="0" w:noVBand="1"/>
      </w:tblPr>
      <w:tblGrid>
        <w:gridCol w:w="2219"/>
        <w:gridCol w:w="2408"/>
        <w:gridCol w:w="4389"/>
      </w:tblGrid>
      <w:tr w:rsidR="00670529" w:rsidRPr="00891D79" w14:paraId="1BBB9BD1" w14:textId="77777777" w:rsidTr="006A33D4">
        <w:tc>
          <w:tcPr>
            <w:tcW w:w="0" w:type="auto"/>
            <w:vAlign w:val="center"/>
            <w:hideMark/>
          </w:tcPr>
          <w:p w14:paraId="43745714" w14:textId="77777777" w:rsidR="00670529" w:rsidRPr="00891D79" w:rsidRDefault="00670529" w:rsidP="006A33D4">
            <w:pPr>
              <w:spacing w:before="0" w:after="0"/>
              <w:jc w:val="left"/>
              <w:rPr>
                <w:rFonts w:cs="Times New Roman"/>
                <w:b/>
                <w:bCs/>
                <w:szCs w:val="22"/>
              </w:rPr>
            </w:pPr>
            <w:r w:rsidRPr="00891D79">
              <w:rPr>
                <w:rFonts w:cs="Times New Roman"/>
                <w:b/>
                <w:bCs/>
                <w:szCs w:val="22"/>
              </w:rPr>
              <w:t>Endpoint</w:t>
            </w:r>
          </w:p>
        </w:tc>
        <w:tc>
          <w:tcPr>
            <w:tcW w:w="0" w:type="auto"/>
            <w:vAlign w:val="center"/>
            <w:hideMark/>
          </w:tcPr>
          <w:p w14:paraId="613D6485" w14:textId="77777777" w:rsidR="00670529" w:rsidRPr="00891D79" w:rsidRDefault="00670529" w:rsidP="006A33D4">
            <w:pPr>
              <w:spacing w:before="0" w:after="0"/>
              <w:jc w:val="left"/>
              <w:rPr>
                <w:rFonts w:cs="Times New Roman"/>
                <w:b/>
                <w:bCs/>
                <w:szCs w:val="22"/>
              </w:rPr>
            </w:pPr>
            <w:r w:rsidRPr="00891D79">
              <w:rPr>
                <w:rFonts w:cs="Times New Roman"/>
                <w:b/>
                <w:bCs/>
                <w:szCs w:val="22"/>
              </w:rPr>
              <w:t>Correct numerator</w:t>
            </w:r>
          </w:p>
        </w:tc>
        <w:tc>
          <w:tcPr>
            <w:tcW w:w="0" w:type="auto"/>
            <w:vAlign w:val="center"/>
            <w:hideMark/>
          </w:tcPr>
          <w:p w14:paraId="0B461C62" w14:textId="77777777" w:rsidR="00670529" w:rsidRPr="00891D79" w:rsidRDefault="00670529" w:rsidP="006A33D4">
            <w:pPr>
              <w:spacing w:before="0" w:after="0"/>
              <w:jc w:val="left"/>
              <w:rPr>
                <w:rFonts w:cs="Times New Roman"/>
                <w:b/>
                <w:bCs/>
                <w:szCs w:val="22"/>
              </w:rPr>
            </w:pPr>
            <w:r w:rsidRPr="00891D79">
              <w:rPr>
                <w:rFonts w:cs="Times New Roman"/>
                <w:b/>
                <w:bCs/>
                <w:szCs w:val="22"/>
              </w:rPr>
              <w:t>Correct denominator</w:t>
            </w:r>
          </w:p>
        </w:tc>
      </w:tr>
      <w:tr w:rsidR="006A33D4" w:rsidRPr="00891D79" w14:paraId="6E542EE7" w14:textId="77777777" w:rsidTr="006A33D4">
        <w:tc>
          <w:tcPr>
            <w:tcW w:w="0" w:type="auto"/>
            <w:vAlign w:val="center"/>
          </w:tcPr>
          <w:p w14:paraId="07556DF5" w14:textId="7DCB6B6E" w:rsidR="006A33D4" w:rsidRPr="00891D79" w:rsidRDefault="006A33D4" w:rsidP="006A33D4">
            <w:pPr>
              <w:spacing w:before="0" w:after="0"/>
              <w:jc w:val="left"/>
              <w:rPr>
                <w:rFonts w:cs="Times New Roman"/>
                <w:szCs w:val="22"/>
              </w:rPr>
            </w:pPr>
            <w:r w:rsidRPr="00891D79">
              <w:rPr>
                <w:rFonts w:cs="Times New Roman"/>
                <w:color w:val="1F1F1F"/>
                <w:szCs w:val="22"/>
              </w:rPr>
              <w:t>Prior-exposure seroprevalence</w:t>
            </w:r>
          </w:p>
        </w:tc>
        <w:tc>
          <w:tcPr>
            <w:tcW w:w="0" w:type="auto"/>
            <w:vAlign w:val="center"/>
          </w:tcPr>
          <w:p w14:paraId="7367F8FD" w14:textId="7FE55A69" w:rsidR="006A33D4" w:rsidRPr="00891D79" w:rsidRDefault="006A33D4" w:rsidP="006A33D4">
            <w:pPr>
              <w:spacing w:before="0" w:after="0"/>
              <w:jc w:val="left"/>
              <w:rPr>
                <w:rFonts w:cs="Times New Roman"/>
                <w:szCs w:val="22"/>
              </w:rPr>
            </w:pPr>
            <w:r w:rsidRPr="00891D79">
              <w:rPr>
                <w:rFonts w:cs="Times New Roman"/>
                <w:color w:val="1F1F1F"/>
                <w:szCs w:val="22"/>
              </w:rPr>
              <w:t>Primary serologic-assay positives</w:t>
            </w:r>
          </w:p>
        </w:tc>
        <w:tc>
          <w:tcPr>
            <w:tcW w:w="0" w:type="auto"/>
            <w:vAlign w:val="center"/>
          </w:tcPr>
          <w:p w14:paraId="76C7E975" w14:textId="1CCA6D4D" w:rsidR="006A33D4" w:rsidRPr="00891D79" w:rsidRDefault="006A33D4" w:rsidP="006A33D4">
            <w:pPr>
              <w:spacing w:before="0" w:after="0"/>
              <w:jc w:val="left"/>
              <w:rPr>
                <w:rFonts w:cs="Times New Roman"/>
                <w:szCs w:val="22"/>
              </w:rPr>
            </w:pPr>
            <w:r w:rsidRPr="00891D79">
              <w:rPr>
                <w:rFonts w:cs="Times New Roman"/>
                <w:color w:val="1F1F1F"/>
                <w:szCs w:val="22"/>
              </w:rPr>
              <w:t>Participants tested by that primary assay</w:t>
            </w:r>
          </w:p>
        </w:tc>
      </w:tr>
      <w:tr w:rsidR="006A33D4" w:rsidRPr="00891D79" w14:paraId="7631A276" w14:textId="77777777" w:rsidTr="006A33D4">
        <w:tc>
          <w:tcPr>
            <w:tcW w:w="0" w:type="auto"/>
            <w:vAlign w:val="center"/>
          </w:tcPr>
          <w:p w14:paraId="2E98486F" w14:textId="1CCFDFE4" w:rsidR="006A33D4" w:rsidRPr="00891D79" w:rsidRDefault="006A33D4" w:rsidP="006A33D4">
            <w:pPr>
              <w:spacing w:before="0" w:after="0"/>
              <w:jc w:val="left"/>
              <w:rPr>
                <w:rFonts w:cs="Times New Roman"/>
                <w:szCs w:val="22"/>
              </w:rPr>
            </w:pPr>
            <w:r w:rsidRPr="00891D79">
              <w:rPr>
                <w:rFonts w:cs="Times New Roman"/>
                <w:color w:val="1F1F1F"/>
                <w:szCs w:val="22"/>
              </w:rPr>
              <w:t>IgM presumptive recent infection</w:t>
            </w:r>
          </w:p>
        </w:tc>
        <w:tc>
          <w:tcPr>
            <w:tcW w:w="0" w:type="auto"/>
            <w:vAlign w:val="center"/>
          </w:tcPr>
          <w:p w14:paraId="231F8F2F" w14:textId="6DCCFB27" w:rsidR="006A33D4" w:rsidRPr="00891D79" w:rsidRDefault="006A33D4" w:rsidP="006A33D4">
            <w:pPr>
              <w:spacing w:before="0" w:after="0"/>
              <w:jc w:val="left"/>
              <w:rPr>
                <w:rFonts w:cs="Times New Roman"/>
                <w:szCs w:val="22"/>
              </w:rPr>
            </w:pPr>
            <w:r w:rsidRPr="00891D79">
              <w:rPr>
                <w:rFonts w:cs="Times New Roman"/>
                <w:color w:val="1F1F1F"/>
                <w:szCs w:val="22"/>
              </w:rPr>
              <w:t>IgM positives</w:t>
            </w:r>
          </w:p>
        </w:tc>
        <w:tc>
          <w:tcPr>
            <w:tcW w:w="0" w:type="auto"/>
            <w:vAlign w:val="center"/>
          </w:tcPr>
          <w:p w14:paraId="0CC4D525" w14:textId="6BCBF263" w:rsidR="006A33D4" w:rsidRPr="00891D79" w:rsidRDefault="006A33D4" w:rsidP="006A33D4">
            <w:pPr>
              <w:spacing w:before="0" w:after="0"/>
              <w:jc w:val="left"/>
              <w:rPr>
                <w:rFonts w:cs="Times New Roman"/>
                <w:szCs w:val="22"/>
              </w:rPr>
            </w:pPr>
            <w:r w:rsidRPr="00891D79">
              <w:rPr>
                <w:rFonts w:cs="Times New Roman"/>
                <w:color w:val="1F1F1F"/>
                <w:szCs w:val="22"/>
              </w:rPr>
              <w:t>Participants tested for IgM</w:t>
            </w:r>
          </w:p>
        </w:tc>
      </w:tr>
      <w:tr w:rsidR="006A33D4" w:rsidRPr="00891D79" w14:paraId="726C0519" w14:textId="77777777" w:rsidTr="006A33D4">
        <w:tc>
          <w:tcPr>
            <w:tcW w:w="0" w:type="auto"/>
            <w:vAlign w:val="center"/>
          </w:tcPr>
          <w:p w14:paraId="693287A5" w14:textId="0A1EBD79" w:rsidR="006A33D4" w:rsidRPr="00891D79" w:rsidRDefault="006A33D4" w:rsidP="006A33D4">
            <w:pPr>
              <w:spacing w:before="0" w:after="0"/>
              <w:jc w:val="left"/>
              <w:rPr>
                <w:rFonts w:cs="Times New Roman"/>
                <w:szCs w:val="22"/>
              </w:rPr>
            </w:pPr>
            <w:r w:rsidRPr="00891D79">
              <w:rPr>
                <w:rFonts w:cs="Times New Roman"/>
                <w:color w:val="1F1F1F"/>
                <w:szCs w:val="22"/>
              </w:rPr>
              <w:t>NS1 presumptive active infection</w:t>
            </w:r>
          </w:p>
        </w:tc>
        <w:tc>
          <w:tcPr>
            <w:tcW w:w="0" w:type="auto"/>
            <w:vAlign w:val="center"/>
          </w:tcPr>
          <w:p w14:paraId="528AABAB" w14:textId="58578806" w:rsidR="006A33D4" w:rsidRPr="00891D79" w:rsidRDefault="006A33D4" w:rsidP="006A33D4">
            <w:pPr>
              <w:spacing w:before="0" w:after="0"/>
              <w:jc w:val="left"/>
              <w:rPr>
                <w:rFonts w:cs="Times New Roman"/>
                <w:szCs w:val="22"/>
              </w:rPr>
            </w:pPr>
            <w:r w:rsidRPr="00891D79">
              <w:rPr>
                <w:rFonts w:cs="Times New Roman"/>
                <w:color w:val="1F1F1F"/>
                <w:szCs w:val="22"/>
              </w:rPr>
              <w:t>NS1 positives</w:t>
            </w:r>
          </w:p>
        </w:tc>
        <w:tc>
          <w:tcPr>
            <w:tcW w:w="0" w:type="auto"/>
            <w:vAlign w:val="center"/>
          </w:tcPr>
          <w:p w14:paraId="2CE89A16" w14:textId="310A2972" w:rsidR="006A33D4" w:rsidRPr="00891D79" w:rsidRDefault="006A33D4" w:rsidP="006A33D4">
            <w:pPr>
              <w:spacing w:before="0" w:after="0"/>
              <w:jc w:val="left"/>
              <w:rPr>
                <w:rFonts w:cs="Times New Roman"/>
                <w:szCs w:val="22"/>
              </w:rPr>
            </w:pPr>
            <w:r w:rsidRPr="00891D79">
              <w:rPr>
                <w:rFonts w:cs="Times New Roman"/>
                <w:color w:val="1F1F1F"/>
                <w:szCs w:val="22"/>
              </w:rPr>
              <w:t>Participants tested for NS1</w:t>
            </w:r>
          </w:p>
        </w:tc>
      </w:tr>
      <w:tr w:rsidR="006A33D4" w:rsidRPr="00891D79" w14:paraId="6C382457" w14:textId="77777777" w:rsidTr="006A33D4">
        <w:tc>
          <w:tcPr>
            <w:tcW w:w="0" w:type="auto"/>
            <w:vAlign w:val="center"/>
          </w:tcPr>
          <w:p w14:paraId="350C7862" w14:textId="6DE4B707" w:rsidR="006A33D4" w:rsidRPr="00891D79" w:rsidRDefault="006A33D4" w:rsidP="006A33D4">
            <w:pPr>
              <w:spacing w:before="0" w:after="0"/>
              <w:jc w:val="left"/>
              <w:rPr>
                <w:rFonts w:cs="Times New Roman"/>
                <w:szCs w:val="22"/>
              </w:rPr>
            </w:pPr>
            <w:r w:rsidRPr="00891D79">
              <w:rPr>
                <w:rFonts w:cs="Times New Roman"/>
                <w:color w:val="1F1F1F"/>
                <w:szCs w:val="22"/>
              </w:rPr>
              <w:t>Direct Tier A - primary direct detection</w:t>
            </w:r>
          </w:p>
        </w:tc>
        <w:tc>
          <w:tcPr>
            <w:tcW w:w="0" w:type="auto"/>
            <w:vAlign w:val="center"/>
          </w:tcPr>
          <w:p w14:paraId="3A731B72" w14:textId="7A4E85B8" w:rsidR="006A33D4" w:rsidRPr="00891D79" w:rsidRDefault="006A33D4" w:rsidP="006A33D4">
            <w:pPr>
              <w:spacing w:before="0" w:after="0"/>
              <w:jc w:val="left"/>
              <w:rPr>
                <w:rFonts w:cs="Times New Roman"/>
                <w:szCs w:val="22"/>
              </w:rPr>
            </w:pPr>
            <w:r w:rsidRPr="00891D79">
              <w:rPr>
                <w:rFonts w:cs="Times New Roman"/>
                <w:color w:val="1F1F1F"/>
                <w:szCs w:val="22"/>
              </w:rPr>
              <w:t>Direct-detection positives</w:t>
            </w:r>
          </w:p>
        </w:tc>
        <w:tc>
          <w:tcPr>
            <w:tcW w:w="0" w:type="auto"/>
            <w:vAlign w:val="center"/>
          </w:tcPr>
          <w:p w14:paraId="6CF0C811" w14:textId="316CDF8D" w:rsidR="006A33D4" w:rsidRPr="00891D79" w:rsidRDefault="006A33D4" w:rsidP="006A33D4">
            <w:pPr>
              <w:spacing w:before="0" w:after="0"/>
              <w:jc w:val="left"/>
              <w:rPr>
                <w:rFonts w:cs="Times New Roman"/>
                <w:szCs w:val="22"/>
              </w:rPr>
            </w:pPr>
            <w:r w:rsidRPr="00891D79">
              <w:rPr>
                <w:rFonts w:cs="Times New Roman"/>
                <w:color w:val="1F1F1F"/>
                <w:szCs w:val="22"/>
              </w:rPr>
              <w:t>Participants directly tested by NAAT/virus isolation</w:t>
            </w:r>
          </w:p>
        </w:tc>
      </w:tr>
      <w:tr w:rsidR="006A33D4" w:rsidRPr="00891D79" w14:paraId="5308CA04" w14:textId="77777777" w:rsidTr="006A33D4">
        <w:tc>
          <w:tcPr>
            <w:tcW w:w="0" w:type="auto"/>
            <w:vAlign w:val="center"/>
          </w:tcPr>
          <w:p w14:paraId="40D71AA9" w14:textId="38C8F9DE" w:rsidR="006A33D4" w:rsidRPr="00891D79" w:rsidRDefault="006A33D4" w:rsidP="006A33D4">
            <w:pPr>
              <w:spacing w:before="0" w:after="0"/>
              <w:jc w:val="left"/>
              <w:rPr>
                <w:rFonts w:cs="Times New Roman"/>
                <w:szCs w:val="22"/>
              </w:rPr>
            </w:pPr>
            <w:r w:rsidRPr="00891D79">
              <w:rPr>
                <w:rFonts w:cs="Times New Roman"/>
                <w:color w:val="1F1F1F"/>
                <w:szCs w:val="22"/>
              </w:rPr>
              <w:t>Direct Tier B - complete staged confirmation</w:t>
            </w:r>
          </w:p>
        </w:tc>
        <w:tc>
          <w:tcPr>
            <w:tcW w:w="0" w:type="auto"/>
            <w:vAlign w:val="center"/>
          </w:tcPr>
          <w:p w14:paraId="1726A561" w14:textId="112684BB" w:rsidR="006A33D4" w:rsidRPr="00891D79" w:rsidRDefault="006A33D4" w:rsidP="006A33D4">
            <w:pPr>
              <w:spacing w:before="0" w:after="0"/>
              <w:jc w:val="left"/>
              <w:rPr>
                <w:rFonts w:cs="Times New Roman"/>
                <w:szCs w:val="22"/>
              </w:rPr>
            </w:pPr>
            <w:r w:rsidRPr="00891D79">
              <w:rPr>
                <w:rFonts w:cs="Times New Roman"/>
                <w:color w:val="1F1F1F"/>
                <w:szCs w:val="22"/>
              </w:rPr>
              <w:t>Participants satisfying the full screen-plus-direct-confirmation rule</w:t>
            </w:r>
          </w:p>
        </w:tc>
        <w:tc>
          <w:tcPr>
            <w:tcW w:w="0" w:type="auto"/>
            <w:vAlign w:val="center"/>
          </w:tcPr>
          <w:p w14:paraId="40A347DD" w14:textId="0DBEAD90" w:rsidR="006A33D4" w:rsidRPr="00891D79" w:rsidRDefault="006A33D4" w:rsidP="006A33D4">
            <w:pPr>
              <w:spacing w:before="0" w:after="0"/>
              <w:jc w:val="left"/>
              <w:rPr>
                <w:rFonts w:cs="Times New Roman"/>
                <w:szCs w:val="22"/>
              </w:rPr>
            </w:pPr>
            <w:r w:rsidRPr="00891D79">
              <w:rPr>
                <w:rFonts w:cs="Times New Roman"/>
                <w:color w:val="1F1F1F"/>
                <w:szCs w:val="22"/>
              </w:rPr>
              <w:t>All participants entering the complete screening algorithm, only when every required positive/eligible participant completes confirmation and the article reports this as the endpoint</w:t>
            </w:r>
          </w:p>
        </w:tc>
      </w:tr>
      <w:tr w:rsidR="006A33D4" w:rsidRPr="00891D79" w14:paraId="46CAE1C5" w14:textId="77777777" w:rsidTr="006A33D4">
        <w:tc>
          <w:tcPr>
            <w:tcW w:w="0" w:type="auto"/>
            <w:vAlign w:val="center"/>
          </w:tcPr>
          <w:p w14:paraId="133AE867" w14:textId="6715268E" w:rsidR="006A33D4" w:rsidRPr="00891D79" w:rsidRDefault="006A33D4" w:rsidP="006A33D4">
            <w:pPr>
              <w:spacing w:before="0" w:after="0"/>
              <w:jc w:val="left"/>
              <w:rPr>
                <w:rFonts w:cs="Times New Roman"/>
                <w:szCs w:val="22"/>
              </w:rPr>
            </w:pPr>
            <w:r w:rsidRPr="00891D79">
              <w:rPr>
                <w:rFonts w:cs="Times New Roman"/>
                <w:color w:val="1F1F1F"/>
                <w:szCs w:val="22"/>
              </w:rPr>
              <w:t>Direct Tier C/D - subset or selected verification</w:t>
            </w:r>
          </w:p>
        </w:tc>
        <w:tc>
          <w:tcPr>
            <w:tcW w:w="0" w:type="auto"/>
            <w:vAlign w:val="center"/>
          </w:tcPr>
          <w:p w14:paraId="55F26EF0" w14:textId="31750D19" w:rsidR="006A33D4" w:rsidRPr="00891D79" w:rsidRDefault="006A33D4" w:rsidP="006A33D4">
            <w:pPr>
              <w:spacing w:before="0" w:after="0"/>
              <w:jc w:val="left"/>
              <w:rPr>
                <w:rFonts w:cs="Times New Roman"/>
                <w:szCs w:val="22"/>
              </w:rPr>
            </w:pPr>
            <w:r w:rsidRPr="00891D79">
              <w:rPr>
                <w:rFonts w:cs="Times New Roman"/>
                <w:color w:val="1F1F1F"/>
                <w:szCs w:val="22"/>
              </w:rPr>
              <w:t>Direct-detection positives in the verified subset</w:t>
            </w:r>
          </w:p>
        </w:tc>
        <w:tc>
          <w:tcPr>
            <w:tcW w:w="0" w:type="auto"/>
            <w:vAlign w:val="center"/>
          </w:tcPr>
          <w:p w14:paraId="5096DDE1" w14:textId="7284470E" w:rsidR="006A33D4" w:rsidRPr="00891D79" w:rsidRDefault="006A33D4" w:rsidP="006A33D4">
            <w:pPr>
              <w:spacing w:before="0" w:after="0"/>
              <w:jc w:val="left"/>
              <w:rPr>
                <w:rFonts w:cs="Times New Roman"/>
                <w:szCs w:val="22"/>
              </w:rPr>
            </w:pPr>
            <w:r w:rsidRPr="00891D79">
              <w:rPr>
                <w:rFonts w:cs="Times New Roman"/>
                <w:color w:val="1F1F1F"/>
                <w:szCs w:val="22"/>
              </w:rPr>
              <w:t>Directly tested subset only for the observed raw proportion; do not use unrestricted source-population N unless a valid design-based estimator is explicitly reported</w:t>
            </w:r>
          </w:p>
        </w:tc>
      </w:tr>
      <w:tr w:rsidR="006A33D4" w:rsidRPr="00891D79" w14:paraId="02B5F0D3" w14:textId="77777777" w:rsidTr="006A33D4">
        <w:tc>
          <w:tcPr>
            <w:tcW w:w="0" w:type="auto"/>
            <w:vAlign w:val="center"/>
          </w:tcPr>
          <w:p w14:paraId="70442505" w14:textId="57A6CF28" w:rsidR="006A33D4" w:rsidRPr="00891D79" w:rsidRDefault="006A33D4" w:rsidP="006A33D4">
            <w:pPr>
              <w:spacing w:before="0" w:after="0"/>
              <w:jc w:val="left"/>
              <w:rPr>
                <w:rFonts w:cs="Times New Roman"/>
                <w:szCs w:val="22"/>
              </w:rPr>
            </w:pPr>
            <w:r w:rsidRPr="00891D79">
              <w:rPr>
                <w:rFonts w:cs="Times New Roman"/>
                <w:color w:val="1F1F1F"/>
                <w:szCs w:val="22"/>
              </w:rPr>
              <w:lastRenderedPageBreak/>
              <w:t>Neutralization Tier A - primary neutralization</w:t>
            </w:r>
          </w:p>
        </w:tc>
        <w:tc>
          <w:tcPr>
            <w:tcW w:w="0" w:type="auto"/>
            <w:vAlign w:val="center"/>
          </w:tcPr>
          <w:p w14:paraId="014D2496" w14:textId="3566211A" w:rsidR="006A33D4" w:rsidRPr="00891D79" w:rsidRDefault="006A33D4" w:rsidP="006A33D4">
            <w:pPr>
              <w:spacing w:before="0" w:after="0"/>
              <w:jc w:val="left"/>
              <w:rPr>
                <w:rFonts w:cs="Times New Roman"/>
                <w:szCs w:val="22"/>
              </w:rPr>
            </w:pPr>
            <w:r w:rsidRPr="00891D79">
              <w:rPr>
                <w:rFonts w:cs="Times New Roman"/>
                <w:color w:val="1F1F1F"/>
                <w:szCs w:val="22"/>
              </w:rPr>
              <w:t>Neutralization positives</w:t>
            </w:r>
          </w:p>
        </w:tc>
        <w:tc>
          <w:tcPr>
            <w:tcW w:w="0" w:type="auto"/>
            <w:vAlign w:val="center"/>
          </w:tcPr>
          <w:p w14:paraId="07813409" w14:textId="2A10A7AE" w:rsidR="006A33D4" w:rsidRPr="00891D79" w:rsidRDefault="006A33D4" w:rsidP="006A33D4">
            <w:pPr>
              <w:spacing w:before="0" w:after="0"/>
              <w:jc w:val="left"/>
              <w:rPr>
                <w:rFonts w:cs="Times New Roman"/>
                <w:szCs w:val="22"/>
              </w:rPr>
            </w:pPr>
            <w:r w:rsidRPr="00891D79">
              <w:rPr>
                <w:rFonts w:cs="Times New Roman"/>
                <w:color w:val="1F1F1F"/>
                <w:szCs w:val="22"/>
              </w:rPr>
              <w:t>Participants tested by neutralization</w:t>
            </w:r>
          </w:p>
        </w:tc>
      </w:tr>
      <w:tr w:rsidR="006A33D4" w:rsidRPr="00891D79" w14:paraId="2E701A6C" w14:textId="77777777" w:rsidTr="006A33D4">
        <w:tc>
          <w:tcPr>
            <w:tcW w:w="0" w:type="auto"/>
            <w:vAlign w:val="center"/>
          </w:tcPr>
          <w:p w14:paraId="18E48C6F" w14:textId="5BFD91C1" w:rsidR="006A33D4" w:rsidRPr="00891D79" w:rsidRDefault="006A33D4" w:rsidP="006A33D4">
            <w:pPr>
              <w:spacing w:before="0" w:after="0"/>
              <w:jc w:val="left"/>
              <w:rPr>
                <w:rFonts w:cs="Times New Roman"/>
                <w:szCs w:val="22"/>
              </w:rPr>
            </w:pPr>
            <w:r w:rsidRPr="00891D79">
              <w:rPr>
                <w:rFonts w:cs="Times New Roman"/>
                <w:color w:val="1F1F1F"/>
                <w:szCs w:val="22"/>
              </w:rPr>
              <w:t>Neutralization Tier B - complete staged confirmation</w:t>
            </w:r>
          </w:p>
        </w:tc>
        <w:tc>
          <w:tcPr>
            <w:tcW w:w="0" w:type="auto"/>
            <w:vAlign w:val="center"/>
          </w:tcPr>
          <w:p w14:paraId="12EC3BE2" w14:textId="29CD8742" w:rsidR="006A33D4" w:rsidRPr="00891D79" w:rsidRDefault="006A33D4" w:rsidP="006A33D4">
            <w:pPr>
              <w:spacing w:before="0" w:after="0"/>
              <w:jc w:val="left"/>
              <w:rPr>
                <w:rFonts w:cs="Times New Roman"/>
                <w:szCs w:val="22"/>
              </w:rPr>
            </w:pPr>
            <w:r w:rsidRPr="00891D79">
              <w:rPr>
                <w:rFonts w:cs="Times New Roman"/>
                <w:color w:val="1F1F1F"/>
                <w:szCs w:val="22"/>
              </w:rPr>
              <w:t>Participants satisfying the full primary-screen-plus-neutralization rule</w:t>
            </w:r>
          </w:p>
        </w:tc>
        <w:tc>
          <w:tcPr>
            <w:tcW w:w="0" w:type="auto"/>
            <w:vAlign w:val="center"/>
          </w:tcPr>
          <w:p w14:paraId="0BC20CC2" w14:textId="4CCAC944" w:rsidR="006A33D4" w:rsidRPr="00891D79" w:rsidRDefault="006A33D4" w:rsidP="006A33D4">
            <w:pPr>
              <w:spacing w:before="0" w:after="0"/>
              <w:jc w:val="left"/>
              <w:rPr>
                <w:rFonts w:cs="Times New Roman"/>
                <w:szCs w:val="22"/>
              </w:rPr>
            </w:pPr>
            <w:r w:rsidRPr="00891D79">
              <w:rPr>
                <w:rFonts w:cs="Times New Roman"/>
                <w:color w:val="1F1F1F"/>
                <w:szCs w:val="22"/>
              </w:rPr>
              <w:t>All participants entering the complete screening algorithm, only when all participants requiring neutralization complete it and the algorithm-confirmed endpoint is reported</w:t>
            </w:r>
          </w:p>
        </w:tc>
      </w:tr>
      <w:tr w:rsidR="006A33D4" w:rsidRPr="00891D79" w14:paraId="25E4A648" w14:textId="77777777" w:rsidTr="006A33D4">
        <w:tc>
          <w:tcPr>
            <w:tcW w:w="0" w:type="auto"/>
            <w:vAlign w:val="center"/>
          </w:tcPr>
          <w:p w14:paraId="1DB27C50" w14:textId="1A980AD3" w:rsidR="006A33D4" w:rsidRPr="00891D79" w:rsidRDefault="006A33D4" w:rsidP="006A33D4">
            <w:pPr>
              <w:spacing w:before="0" w:after="0"/>
              <w:jc w:val="left"/>
              <w:rPr>
                <w:rFonts w:cs="Times New Roman"/>
                <w:szCs w:val="22"/>
              </w:rPr>
            </w:pPr>
            <w:r w:rsidRPr="00891D79">
              <w:rPr>
                <w:rFonts w:cs="Times New Roman"/>
                <w:color w:val="1F1F1F"/>
                <w:szCs w:val="22"/>
              </w:rPr>
              <w:t>Neutralization Tier C/D - subset or selected verification</w:t>
            </w:r>
          </w:p>
        </w:tc>
        <w:tc>
          <w:tcPr>
            <w:tcW w:w="0" w:type="auto"/>
            <w:vAlign w:val="center"/>
          </w:tcPr>
          <w:p w14:paraId="6357C770" w14:textId="55E40150" w:rsidR="006A33D4" w:rsidRPr="00891D79" w:rsidRDefault="006A33D4" w:rsidP="006A33D4">
            <w:pPr>
              <w:spacing w:before="0" w:after="0"/>
              <w:jc w:val="left"/>
              <w:rPr>
                <w:rFonts w:cs="Times New Roman"/>
                <w:szCs w:val="22"/>
              </w:rPr>
            </w:pPr>
            <w:r w:rsidRPr="00891D79">
              <w:rPr>
                <w:rFonts w:cs="Times New Roman"/>
                <w:color w:val="1F1F1F"/>
                <w:szCs w:val="22"/>
              </w:rPr>
              <w:t>Neutralization positives in tested subset</w:t>
            </w:r>
          </w:p>
        </w:tc>
        <w:tc>
          <w:tcPr>
            <w:tcW w:w="0" w:type="auto"/>
            <w:vAlign w:val="center"/>
          </w:tcPr>
          <w:p w14:paraId="398B08FD" w14:textId="271350E7" w:rsidR="006A33D4" w:rsidRPr="00891D79" w:rsidRDefault="006A33D4" w:rsidP="006A33D4">
            <w:pPr>
              <w:spacing w:before="0" w:after="0"/>
              <w:jc w:val="left"/>
              <w:rPr>
                <w:rFonts w:cs="Times New Roman"/>
                <w:szCs w:val="22"/>
              </w:rPr>
            </w:pPr>
            <w:r w:rsidRPr="00891D79">
              <w:rPr>
                <w:rFonts w:cs="Times New Roman"/>
                <w:color w:val="1F1F1F"/>
                <w:szCs w:val="22"/>
              </w:rPr>
              <w:t>Neutralization-tested subset for the observed raw proportion; do not use unrestricted source-population N without a valid design-based estimator</w:t>
            </w:r>
          </w:p>
        </w:tc>
      </w:tr>
      <w:tr w:rsidR="006A33D4" w:rsidRPr="00891D79" w14:paraId="05415C84" w14:textId="77777777" w:rsidTr="006A33D4">
        <w:tc>
          <w:tcPr>
            <w:tcW w:w="0" w:type="auto"/>
            <w:vAlign w:val="center"/>
          </w:tcPr>
          <w:p w14:paraId="4FCBDFDD" w14:textId="2B13648B" w:rsidR="006A33D4" w:rsidRPr="00891D79" w:rsidRDefault="006A33D4" w:rsidP="006A33D4">
            <w:pPr>
              <w:spacing w:before="0" w:after="0"/>
              <w:jc w:val="left"/>
              <w:rPr>
                <w:rFonts w:cs="Times New Roman"/>
                <w:szCs w:val="22"/>
              </w:rPr>
            </w:pPr>
            <w:r w:rsidRPr="00891D79">
              <w:rPr>
                <w:rFonts w:cs="Times New Roman"/>
                <w:color w:val="1F1F1F"/>
                <w:szCs w:val="22"/>
              </w:rPr>
              <w:t>Tier E / unresolved confirmation</w:t>
            </w:r>
          </w:p>
        </w:tc>
        <w:tc>
          <w:tcPr>
            <w:tcW w:w="0" w:type="auto"/>
            <w:vAlign w:val="center"/>
          </w:tcPr>
          <w:p w14:paraId="5B57F49B" w14:textId="2204EBEF" w:rsidR="006A33D4" w:rsidRPr="00891D79" w:rsidRDefault="006A33D4" w:rsidP="006A33D4">
            <w:pPr>
              <w:spacing w:before="0" w:after="0"/>
              <w:jc w:val="left"/>
              <w:rPr>
                <w:rFonts w:cs="Times New Roman"/>
                <w:szCs w:val="22"/>
              </w:rPr>
            </w:pPr>
            <w:r w:rsidRPr="00891D79">
              <w:rPr>
                <w:rFonts w:cs="Times New Roman"/>
                <w:color w:val="1F1F1F"/>
                <w:szCs w:val="22"/>
              </w:rPr>
              <w:t>-</w:t>
            </w:r>
          </w:p>
        </w:tc>
        <w:tc>
          <w:tcPr>
            <w:tcW w:w="0" w:type="auto"/>
            <w:vAlign w:val="center"/>
          </w:tcPr>
          <w:p w14:paraId="584FB78C" w14:textId="31DBF595" w:rsidR="006A33D4" w:rsidRPr="00891D79" w:rsidRDefault="006A33D4" w:rsidP="006A33D4">
            <w:pPr>
              <w:spacing w:before="0" w:after="0"/>
              <w:jc w:val="left"/>
              <w:rPr>
                <w:rFonts w:cs="Times New Roman"/>
                <w:szCs w:val="22"/>
              </w:rPr>
            </w:pPr>
            <w:r w:rsidRPr="00891D79">
              <w:rPr>
                <w:rFonts w:cs="Times New Roman"/>
                <w:color w:val="1F1F1F"/>
                <w:szCs w:val="22"/>
              </w:rPr>
              <w:t>No valid confirmation-based prevalence denominator can be established</w:t>
            </w:r>
          </w:p>
        </w:tc>
      </w:tr>
    </w:tbl>
    <w:p w14:paraId="1529D887" w14:textId="1D005561" w:rsidR="00F84640" w:rsidRPr="00891D79" w:rsidRDefault="00891D79" w:rsidP="00670529">
      <w:pPr>
        <w:spacing w:line="278" w:lineRule="auto"/>
        <w:rPr>
          <w:i/>
          <w:iCs/>
        </w:rPr>
      </w:pPr>
      <w:r w:rsidRPr="00891D79">
        <w:rPr>
          <w:b/>
          <w:bCs/>
          <w:i/>
          <w:iCs/>
        </w:rPr>
        <w:t>Weighted estimates</w:t>
      </w:r>
      <w:r w:rsidRPr="00891D79">
        <w:rPr>
          <w:i/>
          <w:iCs/>
        </w:rPr>
        <w:t>: When a representative sampling design produces a weighted/standardized prevalence, retain the observed raw event count and tested n for count-based extraction and store the weighted estimate and its uncertainty separately. Do not manufacture an integer numerator from the weighted prevalence</w:t>
      </w:r>
      <w:r>
        <w:rPr>
          <w:i/>
          <w:iCs/>
        </w:rPr>
        <w:t>.</w:t>
      </w:r>
    </w:p>
    <w:p w14:paraId="02D09B24" w14:textId="15AA742D" w:rsidR="00670529" w:rsidRDefault="006875B0" w:rsidP="00E5641E">
      <w:pPr>
        <w:pStyle w:val="Heading2"/>
      </w:pPr>
      <w:r w:rsidRPr="00670529">
        <w:t>Q9</w:t>
      </w:r>
      <w:r>
        <w:t xml:space="preserve">: </w:t>
      </w:r>
      <w:r w:rsidR="00E5641E" w:rsidRPr="00E5641E">
        <w:t xml:space="preserve">Age/sex standardization or adjustment </w:t>
      </w:r>
      <w:r>
        <w:t>[</w:t>
      </w:r>
      <w:r w:rsidR="00670529" w:rsidRPr="00670529">
        <w:t>0</w:t>
      </w:r>
      <w:r w:rsidR="00E5641E">
        <w:t>-</w:t>
      </w:r>
      <w:r w:rsidR="00670529" w:rsidRPr="00670529">
        <w:t>1</w:t>
      </w:r>
      <w:r>
        <w:t>]</w:t>
      </w:r>
    </w:p>
    <w:p w14:paraId="3EB20BE9" w14:textId="48C9CB87" w:rsidR="0059299A" w:rsidRPr="0059299A" w:rsidRDefault="00564990" w:rsidP="0059299A">
      <w:r w:rsidRPr="00564990">
        <w:t>Q9 measures formal adjustment of the endpoint estimate, not population representativeness. Q1 addresses whether the achieved sample represents the defined target. Examples supporting Q9=1 include direct age/sex standardization, survey weighting incorporating age/sex, model-based standardized prevalence or an adjusted model that produces the endpoint estimate being synthesized. If age/sex appear only as covariates in a risk-factor regression while the synthesized prevalence remains crude, use Q9=0</w:t>
      </w:r>
      <w:r w:rsidR="0059299A" w:rsidRPr="006875B0">
        <w:t>.</w:t>
      </w:r>
    </w:p>
    <w:tbl>
      <w:tblPr>
        <w:tblStyle w:val="TableGrid"/>
        <w:tblW w:w="0" w:type="auto"/>
        <w:tblLook w:val="04A0" w:firstRow="1" w:lastRow="0" w:firstColumn="1" w:lastColumn="0" w:noHBand="0" w:noVBand="1"/>
      </w:tblPr>
      <w:tblGrid>
        <w:gridCol w:w="738"/>
        <w:gridCol w:w="8278"/>
      </w:tblGrid>
      <w:tr w:rsidR="00670529" w:rsidRPr="00670529" w14:paraId="08173361" w14:textId="77777777" w:rsidTr="00C66EF9">
        <w:tc>
          <w:tcPr>
            <w:tcW w:w="0" w:type="auto"/>
            <w:hideMark/>
          </w:tcPr>
          <w:p w14:paraId="17DC75F1" w14:textId="77777777" w:rsidR="00670529" w:rsidRPr="00670529" w:rsidRDefault="00670529" w:rsidP="00564990">
            <w:pPr>
              <w:spacing w:before="0" w:after="0"/>
              <w:jc w:val="left"/>
              <w:rPr>
                <w:b/>
                <w:bCs/>
              </w:rPr>
            </w:pPr>
            <w:r w:rsidRPr="00670529">
              <w:rPr>
                <w:b/>
                <w:bCs/>
              </w:rPr>
              <w:t>Score</w:t>
            </w:r>
          </w:p>
        </w:tc>
        <w:tc>
          <w:tcPr>
            <w:tcW w:w="0" w:type="auto"/>
            <w:hideMark/>
          </w:tcPr>
          <w:p w14:paraId="7FA56B6D" w14:textId="77777777" w:rsidR="00670529" w:rsidRPr="00670529" w:rsidRDefault="00670529" w:rsidP="00564990">
            <w:pPr>
              <w:spacing w:before="0" w:after="0"/>
              <w:jc w:val="left"/>
              <w:rPr>
                <w:b/>
                <w:bCs/>
              </w:rPr>
            </w:pPr>
            <w:r w:rsidRPr="00670529">
              <w:rPr>
                <w:b/>
                <w:bCs/>
              </w:rPr>
              <w:t>Application rule</w:t>
            </w:r>
          </w:p>
        </w:tc>
      </w:tr>
      <w:tr w:rsidR="00670529" w:rsidRPr="00670529" w14:paraId="022E77E8" w14:textId="77777777" w:rsidTr="00384100">
        <w:tc>
          <w:tcPr>
            <w:tcW w:w="0" w:type="auto"/>
            <w:vAlign w:val="center"/>
            <w:hideMark/>
          </w:tcPr>
          <w:p w14:paraId="7D1AD099" w14:textId="77777777" w:rsidR="00670529" w:rsidRPr="00670529" w:rsidRDefault="00670529" w:rsidP="00384100">
            <w:pPr>
              <w:spacing w:before="0" w:after="0"/>
              <w:jc w:val="left"/>
            </w:pPr>
            <w:r w:rsidRPr="00670529">
              <w:rPr>
                <w:b/>
                <w:bCs/>
              </w:rPr>
              <w:t>0</w:t>
            </w:r>
          </w:p>
        </w:tc>
        <w:tc>
          <w:tcPr>
            <w:tcW w:w="0" w:type="auto"/>
            <w:vAlign w:val="center"/>
            <w:hideMark/>
          </w:tcPr>
          <w:p w14:paraId="08C17EE9" w14:textId="6F1A7F45" w:rsidR="00670529" w:rsidRPr="00670529" w:rsidRDefault="00644F44" w:rsidP="00384100">
            <w:pPr>
              <w:spacing w:before="0" w:after="0"/>
              <w:jc w:val="left"/>
            </w:pPr>
            <w:r w:rsidRPr="00644F44">
              <w:t>No formal adjustment of the prevalence estimate. Descriptive age/sex tables, subgroup prevalence, chi-square tests or reporting an age/sex association do not count</w:t>
            </w:r>
            <w:r w:rsidR="00670529" w:rsidRPr="00670529">
              <w:t>.</w:t>
            </w:r>
          </w:p>
        </w:tc>
      </w:tr>
      <w:tr w:rsidR="00670529" w:rsidRPr="00670529" w14:paraId="7F8D34BC" w14:textId="77777777" w:rsidTr="00384100">
        <w:tc>
          <w:tcPr>
            <w:tcW w:w="0" w:type="auto"/>
            <w:vAlign w:val="center"/>
            <w:hideMark/>
          </w:tcPr>
          <w:p w14:paraId="4BBAA8CB" w14:textId="77777777" w:rsidR="00670529" w:rsidRPr="00670529" w:rsidRDefault="00670529" w:rsidP="00384100">
            <w:pPr>
              <w:spacing w:before="0" w:after="0"/>
              <w:jc w:val="left"/>
            </w:pPr>
            <w:r w:rsidRPr="00670529">
              <w:rPr>
                <w:b/>
                <w:bCs/>
              </w:rPr>
              <w:t>1</w:t>
            </w:r>
          </w:p>
        </w:tc>
        <w:tc>
          <w:tcPr>
            <w:tcW w:w="0" w:type="auto"/>
            <w:vAlign w:val="center"/>
            <w:hideMark/>
          </w:tcPr>
          <w:p w14:paraId="52EA3F5A" w14:textId="26313B4D" w:rsidR="00670529" w:rsidRPr="00670529" w:rsidRDefault="00C50450" w:rsidP="00384100">
            <w:pPr>
              <w:spacing w:before="0" w:after="0"/>
              <w:jc w:val="left"/>
            </w:pPr>
            <w:r w:rsidRPr="00C50450">
              <w:t>The endpoint estimate used for inference is formally standardized, weighted or adjusted for age and/or sex</w:t>
            </w:r>
            <w:r w:rsidR="00670529" w:rsidRPr="00670529">
              <w:t>.</w:t>
            </w:r>
          </w:p>
        </w:tc>
      </w:tr>
    </w:tbl>
    <w:p w14:paraId="16BD62B7" w14:textId="6A2A1BAA" w:rsidR="00670529" w:rsidRDefault="006875B0" w:rsidP="00E01F75">
      <w:pPr>
        <w:pStyle w:val="Heading1"/>
      </w:pPr>
      <w:r>
        <w:t xml:space="preserve">Q10: </w:t>
      </w:r>
      <w:r w:rsidR="00670529" w:rsidRPr="00670529">
        <w:t>Correction for assay sensitivity and specificity</w:t>
      </w:r>
      <w:r>
        <w:t xml:space="preserve"> [</w:t>
      </w:r>
      <w:r w:rsidR="00670529" w:rsidRPr="00670529">
        <w:t>0</w:t>
      </w:r>
      <w:r w:rsidR="00C50450">
        <w:t>-</w:t>
      </w:r>
      <w:r w:rsidR="00670529" w:rsidRPr="00670529">
        <w:t>1</w:t>
      </w:r>
      <w:r>
        <w:t>]</w:t>
      </w:r>
    </w:p>
    <w:p w14:paraId="28B46A97" w14:textId="45583819" w:rsidR="009C19E6" w:rsidRDefault="009C19E6" w:rsidP="009C19E6">
      <w:r>
        <w:t>Q10 applies only to prior-exposure / primary-assay antibody seroprevalence based on IgG, total antibody, or an equivalent cumulative-exposure assay. Q10=0 when the article reports observed/apparent prevalence without correction for diagnostic sensitivity and specificity. Q10=1 when the article itself estimates true/corrected prevalence using assay sensitivity and specificity through an explicit algebraic, Bayesian, latent-class, measurement-error, or equivalent correction.</w:t>
      </w:r>
    </w:p>
    <w:p w14:paraId="1E620A1C" w14:textId="2C69F667" w:rsidR="0059299A" w:rsidRPr="00670529" w:rsidRDefault="009C19E6" w:rsidP="009C19E6">
      <w:r>
        <w:t>Review-level post-processing performed later by the DARE-Arbo synthesis does not retrospectively give the original study Q10=1. Neutralization is analysed as its own endpoint/pathway and is not incorporated into the primary-assay true-prevalence correction score</w:t>
      </w:r>
    </w:p>
    <w:p w14:paraId="7A80BB3A" w14:textId="77777777" w:rsidR="00670529" w:rsidRPr="00670529" w:rsidRDefault="00670529" w:rsidP="0059299A">
      <w:r w:rsidRPr="00670529">
        <w:t>This should be endpoint-specific.</w:t>
      </w:r>
    </w:p>
    <w:tbl>
      <w:tblPr>
        <w:tblStyle w:val="TableGrid"/>
        <w:tblW w:w="9172" w:type="dxa"/>
        <w:tblLook w:val="04A0" w:firstRow="1" w:lastRow="0" w:firstColumn="1" w:lastColumn="0" w:noHBand="0" w:noVBand="1"/>
      </w:tblPr>
      <w:tblGrid>
        <w:gridCol w:w="6781"/>
        <w:gridCol w:w="2391"/>
      </w:tblGrid>
      <w:tr w:rsidR="00670529" w:rsidRPr="00670529" w14:paraId="44FB78B4" w14:textId="77777777" w:rsidTr="00B95109">
        <w:trPr>
          <w:trHeight w:val="408"/>
        </w:trPr>
        <w:tc>
          <w:tcPr>
            <w:tcW w:w="0" w:type="auto"/>
            <w:hideMark/>
          </w:tcPr>
          <w:p w14:paraId="379B9B7A" w14:textId="77777777" w:rsidR="00670529" w:rsidRPr="00526251" w:rsidRDefault="00670529" w:rsidP="00B95109">
            <w:pPr>
              <w:spacing w:before="0" w:after="0"/>
              <w:jc w:val="left"/>
              <w:rPr>
                <w:rFonts w:cs="Times New Roman"/>
                <w:b/>
                <w:bCs/>
                <w:szCs w:val="22"/>
              </w:rPr>
            </w:pPr>
            <w:r w:rsidRPr="00526251">
              <w:rPr>
                <w:rFonts w:cs="Times New Roman"/>
                <w:b/>
                <w:bCs/>
                <w:szCs w:val="22"/>
              </w:rPr>
              <w:t>Endpoint</w:t>
            </w:r>
          </w:p>
        </w:tc>
        <w:tc>
          <w:tcPr>
            <w:tcW w:w="0" w:type="auto"/>
            <w:hideMark/>
          </w:tcPr>
          <w:p w14:paraId="67A87774" w14:textId="77777777" w:rsidR="00670529" w:rsidRPr="00526251" w:rsidRDefault="00670529" w:rsidP="00B95109">
            <w:pPr>
              <w:spacing w:before="0" w:after="0"/>
              <w:jc w:val="left"/>
              <w:rPr>
                <w:rFonts w:cs="Times New Roman"/>
                <w:b/>
                <w:bCs/>
                <w:szCs w:val="22"/>
              </w:rPr>
            </w:pPr>
            <w:r w:rsidRPr="00526251">
              <w:rPr>
                <w:rFonts w:cs="Times New Roman"/>
                <w:b/>
                <w:bCs/>
                <w:szCs w:val="22"/>
              </w:rPr>
              <w:t>Q10 application</w:t>
            </w:r>
          </w:p>
        </w:tc>
      </w:tr>
      <w:tr w:rsidR="00326D43" w:rsidRPr="00670529" w14:paraId="44C6DB2B" w14:textId="77777777" w:rsidTr="00B95109">
        <w:trPr>
          <w:trHeight w:val="193"/>
        </w:trPr>
        <w:tc>
          <w:tcPr>
            <w:tcW w:w="0" w:type="auto"/>
          </w:tcPr>
          <w:p w14:paraId="7E5269E1" w14:textId="0677790E" w:rsidR="00326D43" w:rsidRPr="00526251" w:rsidRDefault="00326D43" w:rsidP="00B95109">
            <w:pPr>
              <w:spacing w:before="0" w:after="0"/>
              <w:rPr>
                <w:rFonts w:cs="Times New Roman"/>
                <w:szCs w:val="22"/>
              </w:rPr>
            </w:pPr>
            <w:r w:rsidRPr="00526251">
              <w:rPr>
                <w:rFonts w:cs="Times New Roman"/>
                <w:color w:val="1F1F1F"/>
                <w:szCs w:val="22"/>
              </w:rPr>
              <w:t>Prior-exposure / primary-assay antibody seroprevalence</w:t>
            </w:r>
          </w:p>
        </w:tc>
        <w:tc>
          <w:tcPr>
            <w:tcW w:w="0" w:type="auto"/>
          </w:tcPr>
          <w:p w14:paraId="3AB4CA6F" w14:textId="306BB619" w:rsidR="00326D43" w:rsidRPr="00526251" w:rsidRDefault="00326D43" w:rsidP="00B95109">
            <w:pPr>
              <w:spacing w:before="0" w:after="0"/>
              <w:rPr>
                <w:rFonts w:cs="Times New Roman"/>
                <w:szCs w:val="22"/>
              </w:rPr>
            </w:pPr>
            <w:r w:rsidRPr="00526251">
              <w:rPr>
                <w:rFonts w:cs="Times New Roman"/>
                <w:color w:val="1F1F1F"/>
                <w:szCs w:val="22"/>
              </w:rPr>
              <w:t>Applicable: 0 or 1</w:t>
            </w:r>
          </w:p>
        </w:tc>
      </w:tr>
      <w:tr w:rsidR="00326D43" w:rsidRPr="00670529" w14:paraId="1C51DA50" w14:textId="77777777" w:rsidTr="00B95109">
        <w:trPr>
          <w:trHeight w:val="111"/>
        </w:trPr>
        <w:tc>
          <w:tcPr>
            <w:tcW w:w="0" w:type="auto"/>
            <w:hideMark/>
          </w:tcPr>
          <w:p w14:paraId="1BD2C81B" w14:textId="77777777" w:rsidR="00326D43" w:rsidRPr="00526251" w:rsidRDefault="00326D43" w:rsidP="00B95109">
            <w:pPr>
              <w:spacing w:before="0" w:after="0"/>
              <w:rPr>
                <w:rFonts w:cs="Times New Roman"/>
                <w:szCs w:val="22"/>
              </w:rPr>
            </w:pPr>
            <w:r w:rsidRPr="00526251">
              <w:rPr>
                <w:rFonts w:cs="Times New Roman"/>
                <w:szCs w:val="22"/>
              </w:rPr>
              <w:t>IgM presumptive recent infection</w:t>
            </w:r>
          </w:p>
        </w:tc>
        <w:tc>
          <w:tcPr>
            <w:tcW w:w="0" w:type="auto"/>
            <w:hideMark/>
          </w:tcPr>
          <w:p w14:paraId="0053723A" w14:textId="79C669FE" w:rsidR="00326D43" w:rsidRPr="00526251" w:rsidRDefault="00326D43" w:rsidP="00B95109">
            <w:pPr>
              <w:spacing w:before="0" w:after="0"/>
              <w:rPr>
                <w:rFonts w:cs="Times New Roman"/>
                <w:szCs w:val="22"/>
              </w:rPr>
            </w:pPr>
            <w:r w:rsidRPr="00526251">
              <w:rPr>
                <w:rFonts w:cs="Times New Roman"/>
                <w:szCs w:val="22"/>
              </w:rPr>
              <w:t>Applicable: 0 or 1</w:t>
            </w:r>
          </w:p>
        </w:tc>
      </w:tr>
      <w:tr w:rsidR="00326D43" w:rsidRPr="00670529" w14:paraId="227CBB57" w14:textId="77777777" w:rsidTr="00B95109">
        <w:trPr>
          <w:trHeight w:val="129"/>
        </w:trPr>
        <w:tc>
          <w:tcPr>
            <w:tcW w:w="0" w:type="auto"/>
            <w:hideMark/>
          </w:tcPr>
          <w:p w14:paraId="0B30EE3B" w14:textId="77777777" w:rsidR="00326D43" w:rsidRPr="00526251" w:rsidRDefault="00326D43" w:rsidP="00B95109">
            <w:pPr>
              <w:spacing w:before="0" w:after="0"/>
              <w:rPr>
                <w:rFonts w:cs="Times New Roman"/>
                <w:szCs w:val="22"/>
              </w:rPr>
            </w:pPr>
            <w:r w:rsidRPr="00526251">
              <w:rPr>
                <w:rFonts w:cs="Times New Roman"/>
                <w:szCs w:val="22"/>
              </w:rPr>
              <w:t>NS1 presumptive recent infection</w:t>
            </w:r>
          </w:p>
        </w:tc>
        <w:tc>
          <w:tcPr>
            <w:tcW w:w="0" w:type="auto"/>
            <w:hideMark/>
          </w:tcPr>
          <w:p w14:paraId="6F301403" w14:textId="40527BD4" w:rsidR="00326D43" w:rsidRPr="00526251" w:rsidRDefault="008A2E82" w:rsidP="00B95109">
            <w:pPr>
              <w:spacing w:before="0" w:after="0"/>
              <w:rPr>
                <w:rFonts w:cs="Times New Roman"/>
                <w:szCs w:val="22"/>
              </w:rPr>
            </w:pPr>
            <w:r w:rsidRPr="00526251">
              <w:rPr>
                <w:rFonts w:cs="Times New Roman"/>
                <w:szCs w:val="22"/>
              </w:rPr>
              <w:t>Applicable: 0 or 1</w:t>
            </w:r>
          </w:p>
        </w:tc>
      </w:tr>
      <w:tr w:rsidR="00326D43" w:rsidRPr="00670529" w14:paraId="28FFBCE8" w14:textId="77777777" w:rsidTr="00B95109">
        <w:trPr>
          <w:trHeight w:val="148"/>
        </w:trPr>
        <w:tc>
          <w:tcPr>
            <w:tcW w:w="0" w:type="auto"/>
            <w:hideMark/>
          </w:tcPr>
          <w:p w14:paraId="262BC303" w14:textId="77777777" w:rsidR="00326D43" w:rsidRPr="00526251" w:rsidRDefault="00326D43" w:rsidP="00B95109">
            <w:pPr>
              <w:spacing w:before="0" w:after="0"/>
              <w:rPr>
                <w:rFonts w:cs="Times New Roman"/>
                <w:szCs w:val="22"/>
              </w:rPr>
            </w:pPr>
            <w:r w:rsidRPr="00526251">
              <w:rPr>
                <w:rFonts w:cs="Times New Roman"/>
                <w:szCs w:val="22"/>
              </w:rPr>
              <w:t>Neutralizing-antibody prevalence</w:t>
            </w:r>
          </w:p>
        </w:tc>
        <w:tc>
          <w:tcPr>
            <w:tcW w:w="0" w:type="auto"/>
            <w:hideMark/>
          </w:tcPr>
          <w:p w14:paraId="77E50BB9" w14:textId="6CB49374" w:rsidR="00326D43" w:rsidRPr="00526251" w:rsidRDefault="00326D43" w:rsidP="00B95109">
            <w:pPr>
              <w:spacing w:before="0" w:after="0"/>
              <w:rPr>
                <w:rFonts w:cs="Times New Roman"/>
                <w:szCs w:val="22"/>
              </w:rPr>
            </w:pPr>
            <w:r w:rsidRPr="00526251">
              <w:rPr>
                <w:rFonts w:cs="Times New Roman"/>
                <w:szCs w:val="22"/>
              </w:rPr>
              <w:t xml:space="preserve">N/A </w:t>
            </w:r>
          </w:p>
        </w:tc>
      </w:tr>
      <w:tr w:rsidR="00326D43" w:rsidRPr="00670529" w14:paraId="09F213DC" w14:textId="77777777" w:rsidTr="00B95109">
        <w:trPr>
          <w:trHeight w:val="37"/>
        </w:trPr>
        <w:tc>
          <w:tcPr>
            <w:tcW w:w="0" w:type="auto"/>
            <w:hideMark/>
          </w:tcPr>
          <w:p w14:paraId="75FEDE21" w14:textId="77777777" w:rsidR="00326D43" w:rsidRPr="00526251" w:rsidRDefault="00326D43" w:rsidP="00B95109">
            <w:pPr>
              <w:spacing w:before="0" w:after="0"/>
              <w:rPr>
                <w:rFonts w:cs="Times New Roman"/>
                <w:szCs w:val="22"/>
              </w:rPr>
            </w:pPr>
            <w:r w:rsidRPr="00526251">
              <w:rPr>
                <w:rFonts w:cs="Times New Roman"/>
                <w:szCs w:val="22"/>
              </w:rPr>
              <w:t>Confirmed active infection by NAAT/virus isolation</w:t>
            </w:r>
          </w:p>
        </w:tc>
        <w:tc>
          <w:tcPr>
            <w:tcW w:w="0" w:type="auto"/>
            <w:hideMark/>
          </w:tcPr>
          <w:p w14:paraId="4D9C8DA0" w14:textId="77777777" w:rsidR="00326D43" w:rsidRPr="00526251" w:rsidRDefault="00326D43" w:rsidP="00B95109">
            <w:pPr>
              <w:spacing w:before="0" w:after="0"/>
              <w:rPr>
                <w:rFonts w:cs="Times New Roman"/>
                <w:szCs w:val="22"/>
              </w:rPr>
            </w:pPr>
            <w:r w:rsidRPr="00526251">
              <w:rPr>
                <w:rFonts w:cs="Times New Roman"/>
                <w:szCs w:val="22"/>
              </w:rPr>
              <w:t>N/A</w:t>
            </w:r>
          </w:p>
        </w:tc>
      </w:tr>
    </w:tbl>
    <w:p w14:paraId="1AC70A94" w14:textId="3927E83A" w:rsidR="00670529" w:rsidRDefault="00670529" w:rsidP="0059299A">
      <w:pPr>
        <w:pStyle w:val="Heading1"/>
      </w:pPr>
      <w:r w:rsidRPr="00670529">
        <w:lastRenderedPageBreak/>
        <w:t>Endpoint-specific applicable total</w:t>
      </w:r>
    </w:p>
    <w:p w14:paraId="60ED9B97" w14:textId="35297C4D" w:rsidR="00670529" w:rsidRPr="00670529" w:rsidRDefault="00464936" w:rsidP="007114DE">
      <w:r w:rsidRPr="00464936">
        <w:t>The DARE-Arbo workbook should carry endpoint-specific quality scores whenever one article contributes more than one synthesis pathway. Never let the most sophisticated assay reported anywhere in the paper determine the quality score for every outcome. Score the assay pathway that produced the numerator actually entering that synthesis</w:t>
      </w:r>
      <w:r w:rsidR="007114DE" w:rsidRPr="00670529">
        <w:t>:</w:t>
      </w:r>
    </w:p>
    <w:tbl>
      <w:tblPr>
        <w:tblStyle w:val="TableGrid"/>
        <w:tblW w:w="9254" w:type="dxa"/>
        <w:tblLook w:val="04A0" w:firstRow="1" w:lastRow="0" w:firstColumn="1" w:lastColumn="0" w:noHBand="0" w:noVBand="1"/>
      </w:tblPr>
      <w:tblGrid>
        <w:gridCol w:w="5573"/>
        <w:gridCol w:w="741"/>
        <w:gridCol w:w="2940"/>
      </w:tblGrid>
      <w:tr w:rsidR="00670529" w:rsidRPr="00670529" w14:paraId="12FBD151" w14:textId="77777777" w:rsidTr="004C5E39">
        <w:trPr>
          <w:trHeight w:val="111"/>
        </w:trPr>
        <w:tc>
          <w:tcPr>
            <w:tcW w:w="0" w:type="auto"/>
            <w:hideMark/>
          </w:tcPr>
          <w:p w14:paraId="1676E92B" w14:textId="77777777" w:rsidR="00670529" w:rsidRPr="00670529" w:rsidRDefault="00670529" w:rsidP="00156723">
            <w:pPr>
              <w:spacing w:before="0" w:after="0"/>
              <w:jc w:val="left"/>
              <w:rPr>
                <w:b/>
                <w:bCs/>
              </w:rPr>
            </w:pPr>
            <w:r w:rsidRPr="00670529">
              <w:rPr>
                <w:b/>
                <w:bCs/>
              </w:rPr>
              <w:t>Synthesis endpoint</w:t>
            </w:r>
          </w:p>
        </w:tc>
        <w:tc>
          <w:tcPr>
            <w:tcW w:w="0" w:type="auto"/>
            <w:hideMark/>
          </w:tcPr>
          <w:p w14:paraId="6ADBCD04" w14:textId="77777777" w:rsidR="00670529" w:rsidRPr="00670529" w:rsidRDefault="00670529" w:rsidP="00156723">
            <w:pPr>
              <w:spacing w:before="0" w:after="0"/>
              <w:jc w:val="left"/>
              <w:rPr>
                <w:b/>
                <w:bCs/>
              </w:rPr>
            </w:pPr>
            <w:r w:rsidRPr="00670529">
              <w:rPr>
                <w:b/>
                <w:bCs/>
              </w:rPr>
              <w:t>Q10</w:t>
            </w:r>
          </w:p>
        </w:tc>
        <w:tc>
          <w:tcPr>
            <w:tcW w:w="0" w:type="auto"/>
            <w:hideMark/>
          </w:tcPr>
          <w:p w14:paraId="0D550DB7" w14:textId="77777777" w:rsidR="00670529" w:rsidRPr="00670529" w:rsidRDefault="00670529" w:rsidP="00156723">
            <w:pPr>
              <w:spacing w:before="0" w:after="0"/>
              <w:jc w:val="left"/>
              <w:rPr>
                <w:b/>
                <w:bCs/>
              </w:rPr>
            </w:pPr>
            <w:r w:rsidRPr="00670529">
              <w:rPr>
                <w:b/>
                <w:bCs/>
              </w:rPr>
              <w:t>Maximum DARE score</w:t>
            </w:r>
          </w:p>
        </w:tc>
      </w:tr>
      <w:tr w:rsidR="00670529" w:rsidRPr="00670529" w14:paraId="61453214" w14:textId="77777777" w:rsidTr="004C5E39">
        <w:trPr>
          <w:trHeight w:val="129"/>
        </w:trPr>
        <w:tc>
          <w:tcPr>
            <w:tcW w:w="0" w:type="auto"/>
            <w:hideMark/>
          </w:tcPr>
          <w:p w14:paraId="6199CDDE" w14:textId="77777777" w:rsidR="00670529" w:rsidRPr="00670529" w:rsidRDefault="00670529" w:rsidP="00156723">
            <w:pPr>
              <w:spacing w:before="0" w:after="0"/>
            </w:pPr>
            <w:r w:rsidRPr="00670529">
              <w:t>Prior exposure / primary antibody seroprevalence</w:t>
            </w:r>
          </w:p>
        </w:tc>
        <w:tc>
          <w:tcPr>
            <w:tcW w:w="0" w:type="auto"/>
            <w:hideMark/>
          </w:tcPr>
          <w:p w14:paraId="647B9563" w14:textId="77777777" w:rsidR="00670529" w:rsidRPr="00670529" w:rsidRDefault="00670529" w:rsidP="00156723">
            <w:pPr>
              <w:spacing w:before="0" w:after="0"/>
              <w:jc w:val="left"/>
            </w:pPr>
            <w:r w:rsidRPr="00670529">
              <w:t>0–1</w:t>
            </w:r>
          </w:p>
        </w:tc>
        <w:tc>
          <w:tcPr>
            <w:tcW w:w="0" w:type="auto"/>
            <w:hideMark/>
          </w:tcPr>
          <w:p w14:paraId="741EEBB3" w14:textId="77777777" w:rsidR="00670529" w:rsidRPr="00670529" w:rsidRDefault="00670529" w:rsidP="00156723">
            <w:pPr>
              <w:spacing w:before="0" w:after="0"/>
              <w:jc w:val="left"/>
            </w:pPr>
            <w:r w:rsidRPr="00670529">
              <w:rPr>
                <w:b/>
                <w:bCs/>
              </w:rPr>
              <w:t>19</w:t>
            </w:r>
          </w:p>
        </w:tc>
      </w:tr>
      <w:tr w:rsidR="00156723" w:rsidRPr="00670529" w14:paraId="43F2AF55" w14:textId="77777777" w:rsidTr="004C5E39">
        <w:trPr>
          <w:trHeight w:val="161"/>
        </w:trPr>
        <w:tc>
          <w:tcPr>
            <w:tcW w:w="0" w:type="auto"/>
            <w:hideMark/>
          </w:tcPr>
          <w:p w14:paraId="369F1371" w14:textId="77777777" w:rsidR="00156723" w:rsidRPr="00670529" w:rsidRDefault="00156723" w:rsidP="00156723">
            <w:pPr>
              <w:spacing w:before="0" w:after="0"/>
            </w:pPr>
            <w:r w:rsidRPr="00670529">
              <w:t>Presumptive recent infection – IgM</w:t>
            </w:r>
          </w:p>
        </w:tc>
        <w:tc>
          <w:tcPr>
            <w:tcW w:w="0" w:type="auto"/>
            <w:hideMark/>
          </w:tcPr>
          <w:p w14:paraId="0FB9984A" w14:textId="2E0B86F5" w:rsidR="00156723" w:rsidRPr="00670529" w:rsidRDefault="00156723" w:rsidP="00156723">
            <w:pPr>
              <w:spacing w:before="0" w:after="0"/>
              <w:jc w:val="left"/>
            </w:pPr>
            <w:r w:rsidRPr="003247B3">
              <w:t>0–1</w:t>
            </w:r>
          </w:p>
        </w:tc>
        <w:tc>
          <w:tcPr>
            <w:tcW w:w="0" w:type="auto"/>
            <w:hideMark/>
          </w:tcPr>
          <w:p w14:paraId="5E14183C" w14:textId="379F47CF" w:rsidR="00156723" w:rsidRPr="00670529" w:rsidRDefault="00156723" w:rsidP="00156723">
            <w:pPr>
              <w:spacing w:before="0" w:after="0"/>
              <w:jc w:val="left"/>
            </w:pPr>
            <w:r w:rsidRPr="00670529">
              <w:rPr>
                <w:b/>
                <w:bCs/>
              </w:rPr>
              <w:t>1</w:t>
            </w:r>
            <w:r w:rsidR="00384100">
              <w:rPr>
                <w:b/>
                <w:bCs/>
              </w:rPr>
              <w:t>9</w:t>
            </w:r>
          </w:p>
        </w:tc>
      </w:tr>
      <w:tr w:rsidR="00156723" w:rsidRPr="00670529" w14:paraId="32CA04DC" w14:textId="77777777" w:rsidTr="004C5E39">
        <w:trPr>
          <w:trHeight w:val="137"/>
        </w:trPr>
        <w:tc>
          <w:tcPr>
            <w:tcW w:w="0" w:type="auto"/>
            <w:hideMark/>
          </w:tcPr>
          <w:p w14:paraId="503D1B2E" w14:textId="4DC1E32F" w:rsidR="00156723" w:rsidRPr="00670529" w:rsidRDefault="005C6E73" w:rsidP="00156723">
            <w:pPr>
              <w:spacing w:before="0" w:after="0"/>
            </w:pPr>
            <w:r w:rsidRPr="005C6E73">
              <w:t>Presumptive active infection - NS1</w:t>
            </w:r>
          </w:p>
        </w:tc>
        <w:tc>
          <w:tcPr>
            <w:tcW w:w="0" w:type="auto"/>
            <w:hideMark/>
          </w:tcPr>
          <w:p w14:paraId="5348A29B" w14:textId="7A2F9A25" w:rsidR="00156723" w:rsidRPr="00670529" w:rsidRDefault="00156723" w:rsidP="00156723">
            <w:pPr>
              <w:spacing w:before="0" w:after="0"/>
              <w:jc w:val="left"/>
            </w:pPr>
            <w:r w:rsidRPr="003247B3">
              <w:t>0–1</w:t>
            </w:r>
          </w:p>
        </w:tc>
        <w:tc>
          <w:tcPr>
            <w:tcW w:w="0" w:type="auto"/>
            <w:hideMark/>
          </w:tcPr>
          <w:p w14:paraId="2492E78E" w14:textId="38D2EBF1" w:rsidR="00156723" w:rsidRPr="00670529" w:rsidRDefault="00156723" w:rsidP="00156723">
            <w:pPr>
              <w:spacing w:before="0" w:after="0"/>
              <w:jc w:val="left"/>
            </w:pPr>
            <w:r w:rsidRPr="00670529">
              <w:rPr>
                <w:b/>
                <w:bCs/>
              </w:rPr>
              <w:t>1</w:t>
            </w:r>
            <w:r w:rsidR="00384100">
              <w:rPr>
                <w:b/>
                <w:bCs/>
              </w:rPr>
              <w:t>9</w:t>
            </w:r>
          </w:p>
        </w:tc>
      </w:tr>
      <w:tr w:rsidR="00670529" w:rsidRPr="00670529" w14:paraId="40F3566B" w14:textId="77777777" w:rsidTr="004C5E39">
        <w:trPr>
          <w:trHeight w:val="34"/>
        </w:trPr>
        <w:tc>
          <w:tcPr>
            <w:tcW w:w="0" w:type="auto"/>
            <w:hideMark/>
          </w:tcPr>
          <w:p w14:paraId="0B293056" w14:textId="554CAB91" w:rsidR="00670529" w:rsidRPr="00670529" w:rsidRDefault="001A7B9B" w:rsidP="00156723">
            <w:pPr>
              <w:spacing w:before="0" w:after="0"/>
            </w:pPr>
            <w:r w:rsidRPr="001A7B9B">
              <w:t>Neutralizing-antibody prevalence</w:t>
            </w:r>
          </w:p>
        </w:tc>
        <w:tc>
          <w:tcPr>
            <w:tcW w:w="0" w:type="auto"/>
            <w:hideMark/>
          </w:tcPr>
          <w:p w14:paraId="46300080" w14:textId="77777777" w:rsidR="00670529" w:rsidRPr="00670529" w:rsidRDefault="00670529" w:rsidP="00156723">
            <w:pPr>
              <w:spacing w:before="0" w:after="0"/>
              <w:jc w:val="left"/>
            </w:pPr>
            <w:r w:rsidRPr="00670529">
              <w:t>N/A</w:t>
            </w:r>
          </w:p>
        </w:tc>
        <w:tc>
          <w:tcPr>
            <w:tcW w:w="0" w:type="auto"/>
            <w:hideMark/>
          </w:tcPr>
          <w:p w14:paraId="3A8FFD40" w14:textId="77777777" w:rsidR="00670529" w:rsidRPr="00670529" w:rsidRDefault="00670529" w:rsidP="00156723">
            <w:pPr>
              <w:spacing w:before="0" w:after="0"/>
              <w:jc w:val="left"/>
            </w:pPr>
            <w:r w:rsidRPr="00670529">
              <w:rPr>
                <w:b/>
                <w:bCs/>
              </w:rPr>
              <w:t>18</w:t>
            </w:r>
          </w:p>
        </w:tc>
      </w:tr>
      <w:tr w:rsidR="00670529" w:rsidRPr="00670529" w14:paraId="41D6E365" w14:textId="77777777" w:rsidTr="004C5E39">
        <w:trPr>
          <w:trHeight w:val="34"/>
        </w:trPr>
        <w:tc>
          <w:tcPr>
            <w:tcW w:w="0" w:type="auto"/>
            <w:hideMark/>
          </w:tcPr>
          <w:p w14:paraId="52471C5D" w14:textId="0BE2AD62" w:rsidR="00670529" w:rsidRPr="00670529" w:rsidRDefault="004C5E39" w:rsidP="00156723">
            <w:pPr>
              <w:spacing w:before="0" w:after="0"/>
            </w:pPr>
            <w:r w:rsidRPr="004C5E39">
              <w:t>Confirmed active infection</w:t>
            </w:r>
          </w:p>
        </w:tc>
        <w:tc>
          <w:tcPr>
            <w:tcW w:w="0" w:type="auto"/>
            <w:hideMark/>
          </w:tcPr>
          <w:p w14:paraId="0D17FF4B" w14:textId="77777777" w:rsidR="00670529" w:rsidRPr="00670529" w:rsidRDefault="00670529" w:rsidP="00156723">
            <w:pPr>
              <w:spacing w:before="0" w:after="0"/>
              <w:jc w:val="left"/>
            </w:pPr>
            <w:r w:rsidRPr="00670529">
              <w:t>N/A</w:t>
            </w:r>
          </w:p>
        </w:tc>
        <w:tc>
          <w:tcPr>
            <w:tcW w:w="0" w:type="auto"/>
            <w:hideMark/>
          </w:tcPr>
          <w:p w14:paraId="6CA99C1D" w14:textId="77777777" w:rsidR="00670529" w:rsidRPr="00670529" w:rsidRDefault="00670529" w:rsidP="00156723">
            <w:pPr>
              <w:spacing w:before="0" w:after="0"/>
              <w:jc w:val="left"/>
            </w:pPr>
            <w:r w:rsidRPr="00670529">
              <w:rPr>
                <w:b/>
                <w:bCs/>
              </w:rPr>
              <w:t>18</w:t>
            </w:r>
          </w:p>
        </w:tc>
      </w:tr>
    </w:tbl>
    <w:p w14:paraId="4564D894" w14:textId="77777777" w:rsidR="00EF12E6" w:rsidRDefault="00EF12E6" w:rsidP="00EF12E6">
      <w:pPr>
        <w:pStyle w:val="Heading1"/>
      </w:pPr>
      <w:r>
        <w:t>Implementation checklist for assessor and app</w:t>
      </w:r>
    </w:p>
    <w:p w14:paraId="1DB59326" w14:textId="77777777" w:rsidR="00384100" w:rsidRDefault="00384100" w:rsidP="00384100">
      <w:pPr>
        <w:pStyle w:val="ListBullet"/>
        <w:numPr>
          <w:ilvl w:val="0"/>
          <w:numId w:val="10"/>
        </w:numPr>
        <w:spacing w:after="60"/>
        <w:rPr>
          <w:rFonts w:hint="eastAsia"/>
        </w:rPr>
      </w:pPr>
      <w:r>
        <w:rPr>
          <w:color w:val="1F1F1F"/>
        </w:rPr>
        <w:t>Create one appraisal record for each virus × synthesis endpoint × materially different tested population/pathway.</w:t>
      </w:r>
    </w:p>
    <w:p w14:paraId="59DADB6A" w14:textId="77777777" w:rsidR="00384100" w:rsidRDefault="00384100" w:rsidP="00384100">
      <w:pPr>
        <w:pStyle w:val="ListBullet"/>
        <w:numPr>
          <w:ilvl w:val="0"/>
          <w:numId w:val="10"/>
        </w:numPr>
        <w:spacing w:after="60"/>
        <w:rPr>
          <w:rFonts w:hint="eastAsia"/>
        </w:rPr>
      </w:pPr>
      <w:r>
        <w:t>Record the observed integer numerator and its biological meaning before assigning the primary endpoint-defining assay.</w:t>
      </w:r>
    </w:p>
    <w:p w14:paraId="3C205DB4" w14:textId="77777777" w:rsidR="00384100" w:rsidRDefault="00384100" w:rsidP="00384100">
      <w:pPr>
        <w:pStyle w:val="ListBullet"/>
        <w:numPr>
          <w:ilvl w:val="0"/>
          <w:numId w:val="10"/>
        </w:numPr>
        <w:spacing w:after="60"/>
        <w:rPr>
          <w:rFonts w:hint="eastAsia"/>
        </w:rPr>
      </w:pPr>
      <w:r>
        <w:t>Trace the numerator to the exact assay or explicit diagnostic algorithm that generated it; the article's “Primary Assay” label is descriptive evidence, not an automatic endpoint assignment.</w:t>
      </w:r>
    </w:p>
    <w:p w14:paraId="40B7A752" w14:textId="77777777" w:rsidR="00384100" w:rsidRDefault="00384100" w:rsidP="00384100">
      <w:pPr>
        <w:pStyle w:val="ListBullet"/>
        <w:numPr>
          <w:ilvl w:val="0"/>
          <w:numId w:val="10"/>
        </w:numPr>
        <w:spacing w:after="60"/>
        <w:rPr>
          <w:rFonts w:hint="eastAsia"/>
        </w:rPr>
      </w:pPr>
      <w:r>
        <w:t>Record the assay/pathway role using controlled values: single-assay endpoint; primary screen in a staged algorithm; supporting confirmation; endpoint-defining confirmatory stage; separate endpoint; or unresolved.</w:t>
      </w:r>
    </w:p>
    <w:p w14:paraId="609AC1F7" w14:textId="77777777" w:rsidR="00384100" w:rsidRDefault="00384100" w:rsidP="00384100">
      <w:pPr>
        <w:pStyle w:val="ListBullet"/>
        <w:numPr>
          <w:ilvl w:val="0"/>
          <w:numId w:val="10"/>
        </w:numPr>
        <w:spacing w:after="60"/>
        <w:rPr>
          <w:rFonts w:hint="eastAsia"/>
        </w:rPr>
      </w:pPr>
      <w:r>
        <w:rPr>
          <w:color w:val="1F1F1F"/>
        </w:rPr>
        <w:t>Record the exact eligible/tested denominator and classify population, representative subsample, selected subsample or unresolved.</w:t>
      </w:r>
    </w:p>
    <w:p w14:paraId="2C0FFE05" w14:textId="77777777" w:rsidR="00384100" w:rsidRDefault="00384100" w:rsidP="00384100">
      <w:pPr>
        <w:pStyle w:val="ListBullet"/>
        <w:numPr>
          <w:ilvl w:val="0"/>
          <w:numId w:val="10"/>
        </w:numPr>
        <w:spacing w:after="60"/>
        <w:rPr>
          <w:rFonts w:hint="eastAsia"/>
        </w:rPr>
      </w:pPr>
      <w:r>
        <w:t>If confirmation exists, verify same virus, same endpoint, participant linkage, selection rule and completion; record confirmation coverage (complete, representative subset, selected/mixed, unresolved) and assign Tier A-E only when direct detection or neutralization defines the corresponding endpoint.</w:t>
      </w:r>
    </w:p>
    <w:p w14:paraId="7C90BEC2" w14:textId="77777777" w:rsidR="00384100" w:rsidRDefault="00384100" w:rsidP="00384100">
      <w:pPr>
        <w:pStyle w:val="ListBullet"/>
        <w:numPr>
          <w:ilvl w:val="0"/>
          <w:numId w:val="10"/>
        </w:numPr>
        <w:spacing w:after="60"/>
        <w:rPr>
          <w:rFonts w:hint="eastAsia"/>
        </w:rPr>
      </w:pPr>
      <w:r>
        <w:rPr>
          <w:color w:val="1F1F1F"/>
        </w:rPr>
        <w:t>For a primary endpoint, do not change its numerator/denominator because of subset confirmation. Use confirmation only for Q6c unless a distinct confirmed endpoint is explicitly extracted.</w:t>
      </w:r>
    </w:p>
    <w:p w14:paraId="57F31A7A" w14:textId="77777777" w:rsidR="00384100" w:rsidRDefault="00384100" w:rsidP="00384100">
      <w:pPr>
        <w:pStyle w:val="ListBullet"/>
        <w:numPr>
          <w:ilvl w:val="0"/>
          <w:numId w:val="10"/>
        </w:numPr>
        <w:spacing w:after="60"/>
        <w:rPr>
          <w:rFonts w:hint="eastAsia"/>
        </w:rPr>
      </w:pPr>
      <w:r>
        <w:rPr>
          <w:color w:val="1F1F1F"/>
        </w:rPr>
        <w:t>For a staged endpoint, require numerator and denominator to represent completion of the whole declared algorithm; required but missing confirmation is not a negative result.</w:t>
      </w:r>
    </w:p>
    <w:p w14:paraId="244B99DB" w14:textId="77777777" w:rsidR="00384100" w:rsidRDefault="00384100" w:rsidP="00384100">
      <w:pPr>
        <w:pStyle w:val="ListBullet"/>
        <w:numPr>
          <w:ilvl w:val="0"/>
          <w:numId w:val="10"/>
        </w:numPr>
        <w:spacing w:after="60"/>
        <w:rPr>
          <w:rFonts w:hint="eastAsia"/>
        </w:rPr>
      </w:pPr>
      <w:r>
        <w:rPr>
          <w:color w:val="1F1F1F"/>
        </w:rPr>
        <w:t>Score Q6a/Q6b against the endpoint-defining assay or algorithm; score Q6c against independent confirmation only.</w:t>
      </w:r>
    </w:p>
    <w:p w14:paraId="625C115A" w14:textId="77777777" w:rsidR="00384100" w:rsidRDefault="00384100" w:rsidP="00384100">
      <w:pPr>
        <w:pStyle w:val="ListBullet"/>
        <w:numPr>
          <w:ilvl w:val="0"/>
          <w:numId w:val="10"/>
        </w:numPr>
        <w:tabs>
          <w:tab w:val="num" w:pos="360"/>
        </w:tabs>
        <w:spacing w:after="60"/>
      </w:pPr>
      <w:r>
        <w:t>Before Q1/Q3/Q4 scoring, assign controlled target-population and source-frame classes and the endpoint-specific recruitment pathway. Reassess Q5-Q10 for each endpoint; inherit Q1-Q4 only when the underlying target, frame and selection pathway are genuinely identical.</w:t>
      </w:r>
    </w:p>
    <w:p w14:paraId="339C5D3D" w14:textId="34314CCD" w:rsidR="00D374D2" w:rsidRPr="00384100" w:rsidRDefault="00384100" w:rsidP="00384100">
      <w:pPr>
        <w:pStyle w:val="ListBullet"/>
        <w:numPr>
          <w:ilvl w:val="0"/>
          <w:numId w:val="10"/>
        </w:numPr>
        <w:tabs>
          <w:tab w:val="num" w:pos="360"/>
        </w:tabs>
        <w:spacing w:after="60"/>
      </w:pPr>
      <w:r w:rsidRPr="00384100">
        <w:rPr>
          <w:color w:val="1F1F1F"/>
        </w:rPr>
        <w:t>Apply Q10 only to prior-exposure primary-antibody seroprevalence; all other listed endpoints have a maximum DARE score of 18</w:t>
      </w:r>
    </w:p>
    <w:p w14:paraId="63B21EFB" w14:textId="77777777" w:rsidR="00384100" w:rsidRDefault="00384100" w:rsidP="00384100">
      <w:pPr>
        <w:pStyle w:val="ListBullet"/>
        <w:numPr>
          <w:ilvl w:val="0"/>
          <w:numId w:val="0"/>
        </w:numPr>
        <w:tabs>
          <w:tab w:val="num" w:pos="360"/>
        </w:tabs>
        <w:spacing w:after="60"/>
        <w:rPr>
          <w:color w:val="1F1F1F"/>
        </w:rPr>
      </w:pPr>
    </w:p>
    <w:p w14:paraId="252048EE" w14:textId="5DBAB23A" w:rsidR="00384100" w:rsidRPr="002E1B0C" w:rsidRDefault="00384100" w:rsidP="00384100">
      <w:pPr>
        <w:pStyle w:val="ListBullet"/>
        <w:numPr>
          <w:ilvl w:val="0"/>
          <w:numId w:val="0"/>
        </w:numPr>
        <w:tabs>
          <w:tab w:val="num" w:pos="360"/>
        </w:tabs>
        <w:spacing w:after="60"/>
      </w:pPr>
      <w:r>
        <w:rPr>
          <w:noProof/>
          <w14:ligatures w14:val="standardContextual"/>
        </w:rPr>
        <mc:AlternateContent>
          <mc:Choice Requires="wps">
            <w:drawing>
              <wp:anchor distT="0" distB="0" distL="114300" distR="114300" simplePos="0" relativeHeight="251660288" behindDoc="0" locked="0" layoutInCell="1" allowOverlap="1" wp14:anchorId="5E544DDC" wp14:editId="70120731">
                <wp:simplePos x="0" y="0"/>
                <wp:positionH relativeFrom="column">
                  <wp:posOffset>59267</wp:posOffset>
                </wp:positionH>
                <wp:positionV relativeFrom="paragraph">
                  <wp:posOffset>50800</wp:posOffset>
                </wp:positionV>
                <wp:extent cx="5837766" cy="740833"/>
                <wp:effectExtent l="0" t="0" r="10795" b="21590"/>
                <wp:wrapNone/>
                <wp:docPr id="1893685806" name="Rectangle 2"/>
                <wp:cNvGraphicFramePr/>
                <a:graphic xmlns:a="http://schemas.openxmlformats.org/drawingml/2006/main">
                  <a:graphicData uri="http://schemas.microsoft.com/office/word/2010/wordprocessingShape">
                    <wps:wsp>
                      <wps:cNvSpPr/>
                      <wps:spPr>
                        <a:xfrm>
                          <a:off x="0" y="0"/>
                          <a:ext cx="5837766" cy="7408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E1E3F82" w14:textId="7F5262F6" w:rsidR="00384100" w:rsidRPr="00384100" w:rsidRDefault="00384100" w:rsidP="00384100">
                            <w:pPr>
                              <w:spacing w:before="0" w:after="0"/>
                              <w:rPr>
                                <w:color w:val="0F4761" w:themeColor="accent1" w:themeShade="BF"/>
                              </w:rPr>
                            </w:pPr>
                            <w:r w:rsidRPr="00384100">
                              <w:rPr>
                                <w:b/>
                                <w:bCs/>
                                <w:color w:val="0F4761" w:themeColor="accent1" w:themeShade="BF"/>
                              </w:rPr>
                              <w:t>Final rule for adjudication</w:t>
                            </w:r>
                            <w:r w:rsidRPr="00384100">
                              <w:rPr>
                                <w:color w:val="0F4761" w:themeColor="accent1" w:themeShade="BF"/>
                              </w:rPr>
                              <w:t>: When two assessors disagree, resolve the disagreement by tracing the synthesis numerator to the participant-level assay pathway that created it. If the confirmatory pathway cannot be explicitly linked to that same endpoint and denominator, it must not be used to upgrade the endpoint score or population inference.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544DDC" id="Rectangle 2" o:spid="_x0000_s1026" style="position:absolute;margin-left:4.65pt;margin-top:4pt;width:459.65pt;height:58.3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XC9awIAACkFAAAOAAAAZHJzL2Uyb0RvYy54bWysVFFP2zAQfp+0/2D5fSQthbKKFFUgpkkI&#10;qsHEs+vYJJLj885uk+7X7+ykKQK0h2kvydl3993583e+vOoaw3YKfQ224JOTnDNlJZS1fSn4z6fb&#10;Lxec+SBsKQxYVfC98vxq+fnTZesWagoVmFIhIxDrF60reBWCW2SZl5VqhD8Bpyw5NWAjAi3xJStR&#10;tITemGya5+dZC1g6BKm8p92b3smXCV9rJcOD1l4FZgpOvYX0xfTdxG+2vBSLFxSuquXQhviHLhpR&#10;Wyo6Qt2IINgW63dQTS0RPOhwIqHJQOtaqnQGOs0kf3Oax0o4lc5C5Hg30uT/H6y83z26NRINrfML&#10;T2Y8RaexiX/qj3WJrP1IluoCk7R5dnE6n5+fcybJN5/lF6enkc3smO3Qh28KGhaNgiNdRuJI7O58&#10;6EMPIbGYhdvamLh/bCVZYW9UDDD2h9KsLqn4NAEllahrg2wn6H6FlMqGSe+qRKn67clZnqeLptbG&#10;jNRoAozImgqP2ANAVOB77L7tIT6mqiSyMTn/W2N98piRKoMNY3JTW8CPAAydaqjcxx9I6qmJLIVu&#10;01FINDdQ7tfIEHq1eydva7qBO+HDWiDJmwaBRjY80EcbaAsOg8VZBfj7o/0YT6ojL2ctjUvB/a+t&#10;QMWZ+W5Jj18ns1mcr7SYnc2ntMDXns1rj90210A3NqHHwclkxvhgDqZGaJ5pslexKrmElVS74DLg&#10;YXEd+jGmt0Gq1SqF0Uw5Ee7so5MRPBIcFfbUPQt0gwwDCfgeDqMlFm/U2MfGTAurbQBdJ6keeR2o&#10;p3lMGhrejjjwr9cp6vjCLf8AAAD//wMAUEsDBBQABgAIAAAAIQBJGN7p3AAAAAcBAAAPAAAAZHJz&#10;L2Rvd25yZXYueG1sTI/BTsMwEETvSPyDtUjcqENAJQlxKkCCQxEHSiWuTrK1o8brYLtt+HuWExxX&#10;8zTztl7NbhRHDHHwpOB6kYFA6nw/kFGw/Xi+KkDEpKnXoydU8I0RVs35Wa2r3p/oHY+bZASXUKy0&#10;ApvSVEkZO4tOx4WfkDjb+eB04jMY2Qd94nI3yjzLltLpgXjB6gmfLHb7zcEpaM3jXNLarJ19ScZv&#10;P1/fvlxQ6vJifrgHkXBOfzD86rM6NOzU+gP1UYwKyhsGFRT8EKdlXixBtIzlt3cgm1r+929+AAAA&#10;//8DAFBLAQItABQABgAIAAAAIQC2gziS/gAAAOEBAAATAAAAAAAAAAAAAAAAAAAAAABbQ29udGVu&#10;dF9UeXBlc10ueG1sUEsBAi0AFAAGAAgAAAAhADj9If/WAAAAlAEAAAsAAAAAAAAAAAAAAAAALwEA&#10;AF9yZWxzLy5yZWxzUEsBAi0AFAAGAAgAAAAhAK6RcL1rAgAAKQUAAA4AAAAAAAAAAAAAAAAALgIA&#10;AGRycy9lMm9Eb2MueG1sUEsBAi0AFAAGAAgAAAAhAEkY3uncAAAABwEAAA8AAAAAAAAAAAAAAAAA&#10;xQQAAGRycy9kb3ducmV2LnhtbFBLBQYAAAAABAAEAPMAAADOBQAAAAA=&#10;" filled="f" strokecolor="#030e13 [484]" strokeweight="1pt">
                <v:textbox>
                  <w:txbxContent>
                    <w:p w14:paraId="5E1E3F82" w14:textId="7F5262F6" w:rsidR="00384100" w:rsidRPr="00384100" w:rsidRDefault="00384100" w:rsidP="00384100">
                      <w:pPr>
                        <w:spacing w:before="0" w:after="0"/>
                        <w:rPr>
                          <w:color w:val="0F4761" w:themeColor="accent1" w:themeShade="BF"/>
                        </w:rPr>
                      </w:pPr>
                      <w:r w:rsidRPr="00384100">
                        <w:rPr>
                          <w:b/>
                          <w:bCs/>
                          <w:color w:val="0F4761" w:themeColor="accent1" w:themeShade="BF"/>
                        </w:rPr>
                        <w:t>Final rule for adjudication</w:t>
                      </w:r>
                      <w:r w:rsidRPr="00384100">
                        <w:rPr>
                          <w:color w:val="0F4761" w:themeColor="accent1" w:themeShade="BF"/>
                        </w:rPr>
                        <w:t>: When two assessors disagree, resolve the disagreement by tracing the synthesis numerator to the participant-level assay pathway that created it. If the confirmatory pathway cannot be explicitly linked to that same endpoint and denominator, it must not be used to upgrade the endpoint score or population inference.</w:t>
                      </w:r>
                    </w:p>
                  </w:txbxContent>
                </v:textbox>
              </v:rect>
            </w:pict>
          </mc:Fallback>
        </mc:AlternateContent>
      </w:r>
    </w:p>
    <w:sectPr w:rsidR="00384100" w:rsidRPr="002E1B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1477D4"/>
    <w:multiLevelType w:val="hybridMultilevel"/>
    <w:tmpl w:val="4558CC48"/>
    <w:lvl w:ilvl="0" w:tplc="2000000F">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5182925"/>
    <w:multiLevelType w:val="multilevel"/>
    <w:tmpl w:val="96E680D8"/>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282007DB"/>
    <w:multiLevelType w:val="multilevel"/>
    <w:tmpl w:val="11F40BF6"/>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2C852D47"/>
    <w:multiLevelType w:val="multilevel"/>
    <w:tmpl w:val="66CE7AB2"/>
    <w:lvl w:ilvl="0">
      <w:start w:val="1"/>
      <w:numFmt w:val="bullet"/>
      <w:lvlText w:val=""/>
      <w:lvlJc w:val="left"/>
      <w:pPr>
        <w:ind w:left="360" w:hanging="360"/>
      </w:pPr>
      <w:rPr>
        <w:rFonts w:ascii="Symbol" w:hAnsi="Symbol"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2E135371"/>
    <w:multiLevelType w:val="hybridMultilevel"/>
    <w:tmpl w:val="41BE6E5E"/>
    <w:lvl w:ilvl="0" w:tplc="9B96526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B7F2DDA"/>
    <w:multiLevelType w:val="hybridMultilevel"/>
    <w:tmpl w:val="6616D552"/>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 w15:restartNumberingAfterBreak="0">
    <w:nsid w:val="63BF5360"/>
    <w:multiLevelType w:val="multilevel"/>
    <w:tmpl w:val="AA72899A"/>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696D3CCD"/>
    <w:multiLevelType w:val="multilevel"/>
    <w:tmpl w:val="96E680D8"/>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6D3A060D"/>
    <w:multiLevelType w:val="hybridMultilevel"/>
    <w:tmpl w:val="7B3E571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1593320368">
    <w:abstractNumId w:val="5"/>
  </w:num>
  <w:num w:numId="2" w16cid:durableId="540166346">
    <w:abstractNumId w:val="6"/>
  </w:num>
  <w:num w:numId="3" w16cid:durableId="1004893208">
    <w:abstractNumId w:val="7"/>
  </w:num>
  <w:num w:numId="4" w16cid:durableId="1887721771">
    <w:abstractNumId w:val="1"/>
  </w:num>
  <w:num w:numId="5" w16cid:durableId="899175580">
    <w:abstractNumId w:val="8"/>
  </w:num>
  <w:num w:numId="6" w16cid:durableId="1090390210">
    <w:abstractNumId w:val="4"/>
  </w:num>
  <w:num w:numId="7" w16cid:durableId="993223486">
    <w:abstractNumId w:val="2"/>
  </w:num>
  <w:num w:numId="8" w16cid:durableId="1650089518">
    <w:abstractNumId w:val="0"/>
  </w:num>
  <w:num w:numId="9" w16cid:durableId="262959316">
    <w:abstractNumId w:val="3"/>
  </w:num>
  <w:num w:numId="10" w16cid:durableId="1029720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908"/>
    <w:rsid w:val="00014EB7"/>
    <w:rsid w:val="00030572"/>
    <w:rsid w:val="00031478"/>
    <w:rsid w:val="00035914"/>
    <w:rsid w:val="00047D74"/>
    <w:rsid w:val="0005732D"/>
    <w:rsid w:val="0008379E"/>
    <w:rsid w:val="00086896"/>
    <w:rsid w:val="0009447F"/>
    <w:rsid w:val="00094BA2"/>
    <w:rsid w:val="000964EC"/>
    <w:rsid w:val="000B0EF0"/>
    <w:rsid w:val="000B572A"/>
    <w:rsid w:val="000C6A14"/>
    <w:rsid w:val="000C7018"/>
    <w:rsid w:val="000D40A4"/>
    <w:rsid w:val="000D6C95"/>
    <w:rsid w:val="000E02DD"/>
    <w:rsid w:val="00126C53"/>
    <w:rsid w:val="00130B6E"/>
    <w:rsid w:val="00156723"/>
    <w:rsid w:val="00175DB6"/>
    <w:rsid w:val="00181CE3"/>
    <w:rsid w:val="00191821"/>
    <w:rsid w:val="001955D2"/>
    <w:rsid w:val="001A7B9B"/>
    <w:rsid w:val="001A7EEE"/>
    <w:rsid w:val="001B2BD6"/>
    <w:rsid w:val="001B3BA5"/>
    <w:rsid w:val="001E10B2"/>
    <w:rsid w:val="00202077"/>
    <w:rsid w:val="00210558"/>
    <w:rsid w:val="00210DD7"/>
    <w:rsid w:val="00214022"/>
    <w:rsid w:val="00223E7C"/>
    <w:rsid w:val="00231434"/>
    <w:rsid w:val="00234F73"/>
    <w:rsid w:val="00245451"/>
    <w:rsid w:val="002502C0"/>
    <w:rsid w:val="00252B9C"/>
    <w:rsid w:val="00271BA4"/>
    <w:rsid w:val="00271E0C"/>
    <w:rsid w:val="002A40D2"/>
    <w:rsid w:val="002C4C65"/>
    <w:rsid w:val="002C7F37"/>
    <w:rsid w:val="002D274B"/>
    <w:rsid w:val="002E1134"/>
    <w:rsid w:val="002E1B0C"/>
    <w:rsid w:val="002E4EA9"/>
    <w:rsid w:val="002F587B"/>
    <w:rsid w:val="002F59E4"/>
    <w:rsid w:val="00300FB5"/>
    <w:rsid w:val="003138B0"/>
    <w:rsid w:val="00326D43"/>
    <w:rsid w:val="00330E1C"/>
    <w:rsid w:val="00347C5C"/>
    <w:rsid w:val="00352FE2"/>
    <w:rsid w:val="00357DF1"/>
    <w:rsid w:val="00361745"/>
    <w:rsid w:val="0036401C"/>
    <w:rsid w:val="003710F5"/>
    <w:rsid w:val="0037116A"/>
    <w:rsid w:val="00374A96"/>
    <w:rsid w:val="00382D5E"/>
    <w:rsid w:val="00384100"/>
    <w:rsid w:val="00387038"/>
    <w:rsid w:val="00393B8C"/>
    <w:rsid w:val="00394D4F"/>
    <w:rsid w:val="003B3C55"/>
    <w:rsid w:val="003E1264"/>
    <w:rsid w:val="003E715D"/>
    <w:rsid w:val="003E7F92"/>
    <w:rsid w:val="004101FE"/>
    <w:rsid w:val="004112B0"/>
    <w:rsid w:val="00433B13"/>
    <w:rsid w:val="004366E9"/>
    <w:rsid w:val="00437A69"/>
    <w:rsid w:val="004405E5"/>
    <w:rsid w:val="00451390"/>
    <w:rsid w:val="00457FBD"/>
    <w:rsid w:val="00464936"/>
    <w:rsid w:val="00466E66"/>
    <w:rsid w:val="004743AA"/>
    <w:rsid w:val="00491E5A"/>
    <w:rsid w:val="004B39E5"/>
    <w:rsid w:val="004B4266"/>
    <w:rsid w:val="004B4571"/>
    <w:rsid w:val="004C12D1"/>
    <w:rsid w:val="004C5E39"/>
    <w:rsid w:val="004E0D1D"/>
    <w:rsid w:val="004E7015"/>
    <w:rsid w:val="004F1922"/>
    <w:rsid w:val="00510AF0"/>
    <w:rsid w:val="0051239F"/>
    <w:rsid w:val="005139B2"/>
    <w:rsid w:val="0052022F"/>
    <w:rsid w:val="00526251"/>
    <w:rsid w:val="00530224"/>
    <w:rsid w:val="00531AA0"/>
    <w:rsid w:val="005329E2"/>
    <w:rsid w:val="00535613"/>
    <w:rsid w:val="0055762D"/>
    <w:rsid w:val="00564990"/>
    <w:rsid w:val="005806A0"/>
    <w:rsid w:val="0059299A"/>
    <w:rsid w:val="00596407"/>
    <w:rsid w:val="005A1CA7"/>
    <w:rsid w:val="005A69EF"/>
    <w:rsid w:val="005C55D9"/>
    <w:rsid w:val="005C6E73"/>
    <w:rsid w:val="005D7D9E"/>
    <w:rsid w:val="005E146F"/>
    <w:rsid w:val="005E22AD"/>
    <w:rsid w:val="005E5006"/>
    <w:rsid w:val="005E7712"/>
    <w:rsid w:val="005F0E40"/>
    <w:rsid w:val="006102D5"/>
    <w:rsid w:val="00611CA9"/>
    <w:rsid w:val="00612BED"/>
    <w:rsid w:val="00613061"/>
    <w:rsid w:val="0063038A"/>
    <w:rsid w:val="00630DDC"/>
    <w:rsid w:val="00644F44"/>
    <w:rsid w:val="00667E01"/>
    <w:rsid w:val="00670529"/>
    <w:rsid w:val="00672B23"/>
    <w:rsid w:val="006875B0"/>
    <w:rsid w:val="006906EC"/>
    <w:rsid w:val="0069080C"/>
    <w:rsid w:val="00692412"/>
    <w:rsid w:val="006A33D4"/>
    <w:rsid w:val="006A5F01"/>
    <w:rsid w:val="006D4288"/>
    <w:rsid w:val="00707FA4"/>
    <w:rsid w:val="007114DE"/>
    <w:rsid w:val="00723261"/>
    <w:rsid w:val="00724D5F"/>
    <w:rsid w:val="007338C2"/>
    <w:rsid w:val="00736A1A"/>
    <w:rsid w:val="0074131A"/>
    <w:rsid w:val="0076386A"/>
    <w:rsid w:val="00767555"/>
    <w:rsid w:val="00777398"/>
    <w:rsid w:val="00780735"/>
    <w:rsid w:val="00796779"/>
    <w:rsid w:val="007A16C6"/>
    <w:rsid w:val="007A3AC4"/>
    <w:rsid w:val="007B52E3"/>
    <w:rsid w:val="0083228F"/>
    <w:rsid w:val="0084660F"/>
    <w:rsid w:val="00865C23"/>
    <w:rsid w:val="00866908"/>
    <w:rsid w:val="00872162"/>
    <w:rsid w:val="008801DE"/>
    <w:rsid w:val="00891D79"/>
    <w:rsid w:val="008A0829"/>
    <w:rsid w:val="008A2E82"/>
    <w:rsid w:val="008A6EE1"/>
    <w:rsid w:val="008B2E1C"/>
    <w:rsid w:val="008B5D1E"/>
    <w:rsid w:val="008C6168"/>
    <w:rsid w:val="008D7A4D"/>
    <w:rsid w:val="008E0158"/>
    <w:rsid w:val="008F53DA"/>
    <w:rsid w:val="009074E7"/>
    <w:rsid w:val="00911B7E"/>
    <w:rsid w:val="009A6DE3"/>
    <w:rsid w:val="009C19E6"/>
    <w:rsid w:val="009E46E7"/>
    <w:rsid w:val="009F6844"/>
    <w:rsid w:val="00A0289A"/>
    <w:rsid w:val="00A208CC"/>
    <w:rsid w:val="00A306C0"/>
    <w:rsid w:val="00A35224"/>
    <w:rsid w:val="00A54C3E"/>
    <w:rsid w:val="00A64D8F"/>
    <w:rsid w:val="00A67213"/>
    <w:rsid w:val="00A807C6"/>
    <w:rsid w:val="00A865D6"/>
    <w:rsid w:val="00A87966"/>
    <w:rsid w:val="00A90D96"/>
    <w:rsid w:val="00AA2275"/>
    <w:rsid w:val="00AD0176"/>
    <w:rsid w:val="00AD1AC8"/>
    <w:rsid w:val="00AD2C68"/>
    <w:rsid w:val="00AD2D47"/>
    <w:rsid w:val="00AE29CB"/>
    <w:rsid w:val="00AF679E"/>
    <w:rsid w:val="00B0145D"/>
    <w:rsid w:val="00B21008"/>
    <w:rsid w:val="00B36D8F"/>
    <w:rsid w:val="00B37114"/>
    <w:rsid w:val="00B563D0"/>
    <w:rsid w:val="00B70A6C"/>
    <w:rsid w:val="00B756C0"/>
    <w:rsid w:val="00B76BE0"/>
    <w:rsid w:val="00B7767D"/>
    <w:rsid w:val="00B92D51"/>
    <w:rsid w:val="00B937D0"/>
    <w:rsid w:val="00B95109"/>
    <w:rsid w:val="00BC0617"/>
    <w:rsid w:val="00BC2AE2"/>
    <w:rsid w:val="00BC495E"/>
    <w:rsid w:val="00BD145F"/>
    <w:rsid w:val="00BD212A"/>
    <w:rsid w:val="00C348ED"/>
    <w:rsid w:val="00C35505"/>
    <w:rsid w:val="00C3550D"/>
    <w:rsid w:val="00C50450"/>
    <w:rsid w:val="00C66EF9"/>
    <w:rsid w:val="00C8031C"/>
    <w:rsid w:val="00C80321"/>
    <w:rsid w:val="00C93739"/>
    <w:rsid w:val="00CC1DFB"/>
    <w:rsid w:val="00CC31B3"/>
    <w:rsid w:val="00CD6C16"/>
    <w:rsid w:val="00CD7EB4"/>
    <w:rsid w:val="00D01EDC"/>
    <w:rsid w:val="00D13E37"/>
    <w:rsid w:val="00D168F4"/>
    <w:rsid w:val="00D27AAA"/>
    <w:rsid w:val="00D374D2"/>
    <w:rsid w:val="00D8761F"/>
    <w:rsid w:val="00DA4411"/>
    <w:rsid w:val="00DB7C51"/>
    <w:rsid w:val="00DC420F"/>
    <w:rsid w:val="00DC5F7A"/>
    <w:rsid w:val="00E01F75"/>
    <w:rsid w:val="00E06857"/>
    <w:rsid w:val="00E212E6"/>
    <w:rsid w:val="00E34830"/>
    <w:rsid w:val="00E54FEA"/>
    <w:rsid w:val="00E5641E"/>
    <w:rsid w:val="00E87C43"/>
    <w:rsid w:val="00EA30C2"/>
    <w:rsid w:val="00EA6403"/>
    <w:rsid w:val="00ED56D9"/>
    <w:rsid w:val="00EE3C23"/>
    <w:rsid w:val="00EE76C7"/>
    <w:rsid w:val="00EF12E6"/>
    <w:rsid w:val="00F04944"/>
    <w:rsid w:val="00F06942"/>
    <w:rsid w:val="00F3061E"/>
    <w:rsid w:val="00F3150E"/>
    <w:rsid w:val="00F3582D"/>
    <w:rsid w:val="00F40C72"/>
    <w:rsid w:val="00F541AF"/>
    <w:rsid w:val="00F545B6"/>
    <w:rsid w:val="00F57AD4"/>
    <w:rsid w:val="00F64DB8"/>
    <w:rsid w:val="00F651C3"/>
    <w:rsid w:val="00F71667"/>
    <w:rsid w:val="00F80DC3"/>
    <w:rsid w:val="00F82539"/>
    <w:rsid w:val="00F84640"/>
    <w:rsid w:val="00FA27D0"/>
    <w:rsid w:val="00FA648A"/>
    <w:rsid w:val="00FA7B0E"/>
    <w:rsid w:val="00FC0D46"/>
    <w:rsid w:val="00FE184C"/>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3347A"/>
  <w15:chartTrackingRefBased/>
  <w15:docId w15:val="{B5C3D552-566F-40FD-9C49-97F017A85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BED"/>
    <w:pPr>
      <w:spacing w:before="240" w:after="240" w:line="240" w:lineRule="auto"/>
      <w:jc w:val="both"/>
    </w:pPr>
    <w:rPr>
      <w:rFonts w:ascii="Times New Roman" w:hAnsi="Times New Roman"/>
      <w:sz w:val="22"/>
    </w:rPr>
  </w:style>
  <w:style w:type="paragraph" w:styleId="Heading1">
    <w:name w:val="heading 1"/>
    <w:basedOn w:val="Normal"/>
    <w:next w:val="Normal"/>
    <w:link w:val="Heading1Char"/>
    <w:autoRedefine/>
    <w:uiPriority w:val="9"/>
    <w:qFormat/>
    <w:rsid w:val="00AD2C68"/>
    <w:pPr>
      <w:keepNext/>
      <w:keepLines/>
      <w:spacing w:before="120" w:after="120"/>
      <w:outlineLvl w:val="0"/>
    </w:pPr>
    <w:rPr>
      <w:rFonts w:eastAsiaTheme="majorEastAsia" w:cstheme="majorBidi"/>
      <w:b/>
      <w:color w:val="153D63" w:themeColor="text2" w:themeTint="E6"/>
      <w:szCs w:val="40"/>
    </w:rPr>
  </w:style>
  <w:style w:type="paragraph" w:styleId="Heading2">
    <w:name w:val="heading 2"/>
    <w:basedOn w:val="Normal"/>
    <w:next w:val="Normal"/>
    <w:link w:val="Heading2Char"/>
    <w:autoRedefine/>
    <w:uiPriority w:val="9"/>
    <w:unhideWhenUsed/>
    <w:qFormat/>
    <w:rsid w:val="005C55D9"/>
    <w:pPr>
      <w:keepNext/>
      <w:keepLines/>
      <w:spacing w:before="160" w:after="80"/>
      <w:outlineLvl w:val="1"/>
    </w:pPr>
    <w:rPr>
      <w:rFonts w:eastAsiaTheme="majorEastAsia" w:cstheme="majorBidi"/>
      <w:b/>
      <w:color w:val="215E99" w:themeColor="text2" w:themeTint="BF"/>
      <w:szCs w:val="32"/>
    </w:rPr>
  </w:style>
  <w:style w:type="paragraph" w:styleId="Heading3">
    <w:name w:val="heading 3"/>
    <w:basedOn w:val="Normal"/>
    <w:next w:val="Normal"/>
    <w:link w:val="Heading3Char"/>
    <w:autoRedefine/>
    <w:uiPriority w:val="9"/>
    <w:unhideWhenUsed/>
    <w:qFormat/>
    <w:rsid w:val="00BD212A"/>
    <w:pPr>
      <w:keepNext/>
      <w:keepLines/>
      <w:spacing w:before="120" w:after="12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866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C68"/>
    <w:rPr>
      <w:rFonts w:ascii="Times New Roman" w:eastAsiaTheme="majorEastAsia" w:hAnsi="Times New Roman" w:cstheme="majorBidi"/>
      <w:b/>
      <w:color w:val="153D63" w:themeColor="text2" w:themeTint="E6"/>
      <w:sz w:val="22"/>
      <w:szCs w:val="40"/>
    </w:rPr>
  </w:style>
  <w:style w:type="character" w:customStyle="1" w:styleId="Heading2Char">
    <w:name w:val="Heading 2 Char"/>
    <w:basedOn w:val="DefaultParagraphFont"/>
    <w:link w:val="Heading2"/>
    <w:uiPriority w:val="9"/>
    <w:rsid w:val="005C55D9"/>
    <w:rPr>
      <w:rFonts w:ascii="Times New Roman" w:eastAsiaTheme="majorEastAsia" w:hAnsi="Times New Roman" w:cstheme="majorBidi"/>
      <w:b/>
      <w:color w:val="215E99" w:themeColor="text2" w:themeTint="BF"/>
      <w:sz w:val="22"/>
      <w:szCs w:val="32"/>
    </w:rPr>
  </w:style>
  <w:style w:type="character" w:customStyle="1" w:styleId="Heading3Char">
    <w:name w:val="Heading 3 Char"/>
    <w:basedOn w:val="DefaultParagraphFont"/>
    <w:link w:val="Heading3"/>
    <w:uiPriority w:val="9"/>
    <w:rsid w:val="00BD212A"/>
    <w:rPr>
      <w:rFonts w:ascii="Times New Roman" w:eastAsiaTheme="majorEastAsia" w:hAnsi="Times New Roman" w:cstheme="majorBidi"/>
      <w:b/>
      <w:color w:val="000000" w:themeColor="text1"/>
      <w:sz w:val="22"/>
      <w:szCs w:val="28"/>
    </w:rPr>
  </w:style>
  <w:style w:type="character" w:customStyle="1" w:styleId="Heading4Char">
    <w:name w:val="Heading 4 Char"/>
    <w:basedOn w:val="DefaultParagraphFont"/>
    <w:link w:val="Heading4"/>
    <w:uiPriority w:val="9"/>
    <w:rsid w:val="00866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908"/>
    <w:rPr>
      <w:rFonts w:eastAsiaTheme="majorEastAsia" w:cstheme="majorBidi"/>
      <w:color w:val="272727" w:themeColor="text1" w:themeTint="D8"/>
    </w:rPr>
  </w:style>
  <w:style w:type="paragraph" w:styleId="Title">
    <w:name w:val="Title"/>
    <w:basedOn w:val="Normal"/>
    <w:next w:val="Normal"/>
    <w:link w:val="TitleChar"/>
    <w:uiPriority w:val="10"/>
    <w:qFormat/>
    <w:rsid w:val="008669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908"/>
    <w:pPr>
      <w:spacing w:before="160"/>
      <w:jc w:val="center"/>
    </w:pPr>
    <w:rPr>
      <w:i/>
      <w:iCs/>
      <w:color w:val="404040" w:themeColor="text1" w:themeTint="BF"/>
    </w:rPr>
  </w:style>
  <w:style w:type="character" w:customStyle="1" w:styleId="QuoteChar">
    <w:name w:val="Quote Char"/>
    <w:basedOn w:val="DefaultParagraphFont"/>
    <w:link w:val="Quote"/>
    <w:uiPriority w:val="29"/>
    <w:rsid w:val="00866908"/>
    <w:rPr>
      <w:i/>
      <w:iCs/>
      <w:color w:val="404040" w:themeColor="text1" w:themeTint="BF"/>
    </w:rPr>
  </w:style>
  <w:style w:type="paragraph" w:styleId="ListParagraph">
    <w:name w:val="List Paragraph"/>
    <w:basedOn w:val="Normal"/>
    <w:uiPriority w:val="34"/>
    <w:qFormat/>
    <w:rsid w:val="00866908"/>
    <w:pPr>
      <w:ind w:left="720"/>
      <w:contextualSpacing/>
    </w:pPr>
  </w:style>
  <w:style w:type="character" w:styleId="IntenseEmphasis">
    <w:name w:val="Intense Emphasis"/>
    <w:basedOn w:val="DefaultParagraphFont"/>
    <w:uiPriority w:val="21"/>
    <w:qFormat/>
    <w:rsid w:val="00866908"/>
    <w:rPr>
      <w:i/>
      <w:iCs/>
      <w:color w:val="0F4761" w:themeColor="accent1" w:themeShade="BF"/>
    </w:rPr>
  </w:style>
  <w:style w:type="paragraph" w:styleId="IntenseQuote">
    <w:name w:val="Intense Quote"/>
    <w:basedOn w:val="Normal"/>
    <w:next w:val="Normal"/>
    <w:link w:val="IntenseQuoteChar"/>
    <w:uiPriority w:val="30"/>
    <w:qFormat/>
    <w:rsid w:val="00866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908"/>
    <w:rPr>
      <w:i/>
      <w:iCs/>
      <w:color w:val="0F4761" w:themeColor="accent1" w:themeShade="BF"/>
    </w:rPr>
  </w:style>
  <w:style w:type="character" w:styleId="IntenseReference">
    <w:name w:val="Intense Reference"/>
    <w:basedOn w:val="DefaultParagraphFont"/>
    <w:uiPriority w:val="32"/>
    <w:qFormat/>
    <w:rsid w:val="00866908"/>
    <w:rPr>
      <w:b/>
      <w:bCs/>
      <w:smallCaps/>
      <w:color w:val="0F4761" w:themeColor="accent1" w:themeShade="BF"/>
      <w:spacing w:val="5"/>
    </w:rPr>
  </w:style>
  <w:style w:type="character" w:styleId="Hyperlink">
    <w:name w:val="Hyperlink"/>
    <w:basedOn w:val="DefaultParagraphFont"/>
    <w:uiPriority w:val="99"/>
    <w:unhideWhenUsed/>
    <w:rsid w:val="00670529"/>
    <w:rPr>
      <w:color w:val="467886" w:themeColor="hyperlink"/>
      <w:u w:val="single"/>
    </w:rPr>
  </w:style>
  <w:style w:type="character" w:styleId="UnresolvedMention">
    <w:name w:val="Unresolved Mention"/>
    <w:basedOn w:val="DefaultParagraphFont"/>
    <w:uiPriority w:val="99"/>
    <w:semiHidden/>
    <w:unhideWhenUsed/>
    <w:rsid w:val="00670529"/>
    <w:rPr>
      <w:color w:val="605E5C"/>
      <w:shd w:val="clear" w:color="auto" w:fill="E1DFDD"/>
    </w:rPr>
  </w:style>
  <w:style w:type="table" w:styleId="TableGrid">
    <w:name w:val="Table Grid"/>
    <w:basedOn w:val="TableNormal"/>
    <w:uiPriority w:val="59"/>
    <w:rsid w:val="00CD7E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EF12E6"/>
    <w:pPr>
      <w:numPr>
        <w:numId w:val="8"/>
      </w:numPr>
      <w:tabs>
        <w:tab w:val="clear" w:pos="360"/>
      </w:tabs>
      <w:spacing w:before="0" w:after="200" w:line="276" w:lineRule="auto"/>
      <w:ind w:left="0" w:firstLine="0"/>
      <w:contextualSpacing/>
      <w:jc w:val="left"/>
    </w:pPr>
    <w:rPr>
      <w:rFonts w:ascii="Liberation Serif" w:eastAsiaTheme="minorEastAsia" w:hAnsi="Liberation Serif"/>
      <w:kern w:val="0"/>
      <w:sz w:val="20"/>
      <w:szCs w:val="22"/>
      <w:lang w:val="en-US"/>
      <w14:ligatures w14:val="none"/>
    </w:rPr>
  </w:style>
  <w:style w:type="table" w:styleId="TableGridLight">
    <w:name w:val="Grid Table Light"/>
    <w:basedOn w:val="TableNormal"/>
    <w:uiPriority w:val="40"/>
    <w:rsid w:val="002F58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F1B57-9F44-4881-95A9-BD43950B8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2670</TotalTime>
  <Pages>16</Pages>
  <Words>7538</Words>
  <Characters>42967</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Asamoah Adu</dc:creator>
  <cp:keywords/>
  <dc:description/>
  <cp:lastModifiedBy>Evans Asamoah Adu</cp:lastModifiedBy>
  <cp:revision>230</cp:revision>
  <dcterms:created xsi:type="dcterms:W3CDTF">2026-08-20T19:58:00Z</dcterms:created>
  <dcterms:modified xsi:type="dcterms:W3CDTF">2026-09-10T13:59:00Z</dcterms:modified>
</cp:coreProperties>
</file>