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17C54513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- Experiment Run </w:t>
      </w:r>
      <w:r w:rsidR="00E14EB3">
        <w:rPr>
          <w:lang w:val="en-KE"/>
        </w:rPr>
        <w:t>2</w:t>
      </w:r>
    </w:p>
    <w:p w14:paraId="7A630249" w14:textId="1653770F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 w:rsidR="00E14EB3">
        <w:rPr>
          <w:lang w:val="en-KE"/>
        </w:rPr>
        <w:t>21</w:t>
      </w:r>
      <w:r>
        <w:rPr>
          <w:lang w:val="en-KE"/>
        </w:rPr>
        <w:t>/02/2025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15"/>
      </w:tblGrid>
      <w:tr w:rsidR="0063620D" w:rsidRPr="0063620D" w14:paraId="4A616FE3" w14:textId="77777777" w:rsidTr="00E14EB3">
        <w:trPr>
          <w:tblHeader/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ACE376A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5000 samples</w:t>
            </w:r>
          </w:p>
        </w:tc>
      </w:tr>
      <w:tr w:rsidR="0063620D" w:rsidRPr="0063620D" w14:paraId="363D7D0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A88C65" w14:textId="6E1EBE14" w:rsidR="0063620D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64</w:t>
            </w:r>
          </w:p>
        </w:tc>
      </w:tr>
      <w:tr w:rsidR="0063620D" w:rsidRPr="0063620D" w14:paraId="1091984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EDBC7ED" w14:textId="3C99EB3F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</w:t>
            </w:r>
            <w:r w:rsidR="00E14EB3">
              <w:rPr>
                <w:lang w:val="en-KE"/>
              </w:rPr>
              <w:t>05</w:t>
            </w:r>
          </w:p>
        </w:tc>
      </w:tr>
      <w:tr w:rsidR="0063620D" w:rsidRPr="0063620D" w14:paraId="16A37B47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26BD55B5" w14:textId="77E2A42E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Adam</w:t>
            </w:r>
            <w:r w:rsidR="00E14EB3">
              <w:rPr>
                <w:lang w:val="en-KE"/>
              </w:rPr>
              <w:t>W</w:t>
            </w:r>
            <w:proofErr w:type="spellEnd"/>
          </w:p>
        </w:tc>
      </w:tr>
      <w:tr w:rsidR="00E14EB3" w:rsidRPr="0063620D" w14:paraId="77B4571F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A72AD3A" w14:textId="62BBBAD9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Dropout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4C6C743E" w14:textId="6C7FA63B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0.3</w:t>
            </w:r>
          </w:p>
        </w:tc>
      </w:tr>
      <w:tr w:rsidR="00E14EB3" w:rsidRPr="0063620D" w14:paraId="7EAFCC9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5343D339" w14:textId="4F835A3A" w:rsidR="00E14EB3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Weight Decay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6C0B0AF2" w14:textId="2FBEF9CC" w:rsidR="00E14EB3" w:rsidRDefault="00E14EB3" w:rsidP="0063620D">
            <w:pPr>
              <w:jc w:val="both"/>
              <w:rPr>
                <w:lang w:val="en-KE"/>
              </w:rPr>
            </w:pPr>
            <w:r w:rsidRPr="00E14EB3">
              <w:rPr>
                <w:lang w:val="en-KE"/>
              </w:rPr>
              <w:t>1e-4</w:t>
            </w:r>
          </w:p>
        </w:tc>
      </w:tr>
      <w:tr w:rsidR="0063620D" w:rsidRPr="0063620D" w14:paraId="200D862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CrossEntropyLoss</w:t>
            </w:r>
            <w:proofErr w:type="spellEnd"/>
          </w:p>
        </w:tc>
      </w:tr>
      <w:tr w:rsidR="0063620D" w:rsidRPr="0063620D" w14:paraId="65430BD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0750B66" w14:textId="293E9CC6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 xml:space="preserve">Yes (Patience = </w:t>
            </w:r>
            <w:r w:rsidR="00E14EB3">
              <w:rPr>
                <w:lang w:val="en-KE"/>
              </w:rPr>
              <w:t>5</w:t>
            </w:r>
            <w:r w:rsidRPr="0063620D">
              <w:rPr>
                <w:lang w:val="en-KE"/>
              </w:rPr>
              <w:t>)</w:t>
            </w:r>
          </w:p>
        </w:tc>
      </w:tr>
      <w:tr w:rsidR="0063620D" w:rsidRPr="0063620D" w14:paraId="2512B176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Residual CNN with three convolutional layers and fully connected layers.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lastRenderedPageBreak/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08714" w14:textId="149916B4" w:rsidR="0063620D" w:rsidRPr="0063620D" w:rsidRDefault="00E14EB3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1.0817</w:t>
            </w:r>
          </w:p>
        </w:tc>
        <w:tc>
          <w:tcPr>
            <w:tcW w:w="1391" w:type="dxa"/>
            <w:vAlign w:val="center"/>
            <w:hideMark/>
          </w:tcPr>
          <w:p w14:paraId="2DDB018E" w14:textId="7028C15E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4664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5D75EA8" w14:textId="13E52169" w:rsidR="0063620D" w:rsidRPr="0063620D" w:rsidRDefault="00E14EB3" w:rsidP="00617153">
            <w:pPr>
              <w:jc w:val="center"/>
              <w:rPr>
                <w:lang w:val="en-KE"/>
              </w:rPr>
            </w:pPr>
            <w:r>
              <w:t>78</w:t>
            </w:r>
            <w:r w:rsidR="00617153" w:rsidRPr="00617153">
              <w:t>.</w:t>
            </w:r>
            <w:r>
              <w:t>00</w:t>
            </w:r>
            <w:r w:rsidR="00617153" w:rsidRPr="00617153">
              <w:t>%</w:t>
            </w:r>
          </w:p>
        </w:tc>
      </w:tr>
      <w:tr w:rsidR="0063620D" w:rsidRPr="0063620D" w14:paraId="4825FF9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9A05D4" w14:textId="310C5260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2430</w:t>
            </w:r>
          </w:p>
        </w:tc>
        <w:tc>
          <w:tcPr>
            <w:tcW w:w="1391" w:type="dxa"/>
            <w:vAlign w:val="center"/>
            <w:hideMark/>
          </w:tcPr>
          <w:p w14:paraId="1ADE8C1B" w14:textId="255350DE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1957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6B1A579" w14:textId="16932ADC" w:rsidR="0063620D" w:rsidRPr="0063620D" w:rsidRDefault="00E14EB3" w:rsidP="00617153">
            <w:pPr>
              <w:jc w:val="center"/>
              <w:rPr>
                <w:lang w:val="en-KE"/>
              </w:rPr>
            </w:pPr>
            <w:r>
              <w:t>91</w:t>
            </w:r>
            <w:r w:rsidR="00617153" w:rsidRPr="00617153">
              <w:t>.</w:t>
            </w:r>
            <w:r>
              <w:t>87</w:t>
            </w:r>
            <w:r w:rsidR="00617153" w:rsidRPr="00617153">
              <w:t>%</w:t>
            </w:r>
          </w:p>
        </w:tc>
      </w:tr>
      <w:tr w:rsidR="0063620D" w:rsidRPr="0063620D" w14:paraId="3D499762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BE79A" w14:textId="439748B3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2106</w:t>
            </w:r>
          </w:p>
        </w:tc>
        <w:tc>
          <w:tcPr>
            <w:tcW w:w="1391" w:type="dxa"/>
            <w:vAlign w:val="center"/>
            <w:hideMark/>
          </w:tcPr>
          <w:p w14:paraId="57E0DE7A" w14:textId="3BA021E2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3036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8C3DEDC" w14:textId="58EF8F19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8</w:t>
            </w:r>
            <w:r w:rsidR="00E14EB3">
              <w:t>8</w:t>
            </w:r>
            <w:r w:rsidRPr="00617153">
              <w:t>.</w:t>
            </w:r>
            <w:r w:rsidR="00E14EB3">
              <w:t>27</w:t>
            </w:r>
            <w:r w:rsidRPr="00617153">
              <w:t>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102D664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2058</w:t>
            </w:r>
          </w:p>
        </w:tc>
        <w:tc>
          <w:tcPr>
            <w:tcW w:w="1391" w:type="dxa"/>
            <w:vAlign w:val="center"/>
          </w:tcPr>
          <w:p w14:paraId="38623C3D" w14:textId="64C4842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1886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177BF8D0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92</w:t>
            </w:r>
            <w:r w:rsidR="00617153" w:rsidRPr="00617153">
              <w:t>.</w:t>
            </w:r>
            <w:r>
              <w:t>6</w:t>
            </w:r>
            <w:r w:rsidR="00617153" w:rsidRPr="00617153">
              <w:t>7%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7C9739D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1858</w:t>
            </w:r>
          </w:p>
        </w:tc>
        <w:tc>
          <w:tcPr>
            <w:tcW w:w="1391" w:type="dxa"/>
            <w:vAlign w:val="center"/>
          </w:tcPr>
          <w:p w14:paraId="58668092" w14:textId="55113FCF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1617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1459A08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E14EB3">
              <w:t>3</w:t>
            </w:r>
            <w:r w:rsidRPr="00617153">
              <w:t>.6</w:t>
            </w:r>
            <w:r w:rsidR="00E14EB3">
              <w:t>0</w:t>
            </w:r>
            <w:r w:rsidRPr="00617153">
              <w:t>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13E5304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1815</w:t>
            </w:r>
          </w:p>
        </w:tc>
        <w:tc>
          <w:tcPr>
            <w:tcW w:w="1391" w:type="dxa"/>
            <w:vAlign w:val="center"/>
          </w:tcPr>
          <w:p w14:paraId="4F0DD427" w14:textId="747841F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</w:t>
            </w:r>
            <w:r w:rsidR="00E14EB3">
              <w:t>017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0F7D406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E14EB3">
              <w:t>2</w:t>
            </w:r>
            <w:r w:rsidRPr="00617153">
              <w:t>.</w:t>
            </w:r>
            <w:r w:rsidR="00E14EB3">
              <w:t>5</w:t>
            </w:r>
            <w:r w:rsidRPr="00617153">
              <w:t>3%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56BB3396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1355</w:t>
            </w:r>
          </w:p>
        </w:tc>
        <w:tc>
          <w:tcPr>
            <w:tcW w:w="1391" w:type="dxa"/>
            <w:vAlign w:val="center"/>
          </w:tcPr>
          <w:p w14:paraId="7EC5B0B3" w14:textId="66B89BA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0.3</w:t>
            </w:r>
            <w:r w:rsidR="00E14EB3">
              <w:t>013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61C294A9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87</w:t>
            </w:r>
            <w:r w:rsidR="00617153" w:rsidRPr="00617153">
              <w:t>.</w:t>
            </w:r>
            <w:r>
              <w:t>33</w:t>
            </w:r>
            <w:r w:rsidR="00617153" w:rsidRPr="00617153">
              <w:t>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4F086954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1102</w:t>
            </w:r>
          </w:p>
        </w:tc>
        <w:tc>
          <w:tcPr>
            <w:tcW w:w="1391" w:type="dxa"/>
            <w:vAlign w:val="center"/>
          </w:tcPr>
          <w:p w14:paraId="72DDD1B9" w14:textId="0C2C30C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0.2</w:t>
            </w:r>
            <w:r w:rsidR="00E14EB3">
              <w:t>299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49052245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E14EB3">
              <w:t>0</w:t>
            </w:r>
            <w:r w:rsidRPr="00617153">
              <w:t>.</w:t>
            </w:r>
            <w:r w:rsidR="00E14EB3">
              <w:t>9</w:t>
            </w:r>
            <w:r w:rsidRPr="00617153">
              <w:t>3%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306082E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1056</w:t>
            </w:r>
          </w:p>
        </w:tc>
        <w:tc>
          <w:tcPr>
            <w:tcW w:w="1391" w:type="dxa"/>
            <w:vAlign w:val="center"/>
          </w:tcPr>
          <w:p w14:paraId="1536F6D7" w14:textId="6D9A57AA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2553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09B010F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90.</w:t>
            </w:r>
            <w:r w:rsidR="00E14EB3">
              <w:t>13</w:t>
            </w:r>
            <w:r w:rsidRPr="00617153">
              <w:t>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4A64F52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</w:t>
            </w:r>
            <w:r w:rsidR="00E14EB3">
              <w:t>844</w:t>
            </w:r>
          </w:p>
        </w:tc>
        <w:tc>
          <w:tcPr>
            <w:tcW w:w="1391" w:type="dxa"/>
            <w:vAlign w:val="center"/>
          </w:tcPr>
          <w:p w14:paraId="7D1AA262" w14:textId="65FCB89F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2127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598136A9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91</w:t>
            </w:r>
            <w:r w:rsidR="00617153" w:rsidRPr="00617153">
              <w:t>.</w:t>
            </w:r>
            <w:r>
              <w:t>2</w:t>
            </w:r>
            <w:r w:rsidR="00617153" w:rsidRPr="00617153">
              <w:t>0%</w:t>
            </w:r>
          </w:p>
        </w:tc>
      </w:tr>
    </w:tbl>
    <w:p w14:paraId="2622A3A8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6BEBF1DF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8D380D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C35AF3B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070477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F137BC0" w14:textId="68429B6A" w:rsidR="00617153" w:rsidRPr="001530ED" w:rsidRDefault="0063620D" w:rsidP="001530E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3.2 Loss Curve &amp; Accuracy Plot</w:t>
      </w:r>
    </w:p>
    <w:p w14:paraId="5BDFB684" w14:textId="29E3A2B3" w:rsidR="001530ED" w:rsidRDefault="001530ED" w:rsidP="001530ED">
      <w:pPr>
        <w:jc w:val="center"/>
        <w:rPr>
          <w:lang w:val="en-KE"/>
        </w:rPr>
      </w:pPr>
      <w:r w:rsidRPr="001530ED">
        <w:rPr>
          <w:lang w:val="en-KE"/>
        </w:rPr>
        <w:drawing>
          <wp:inline distT="0" distB="0" distL="0" distR="0" wp14:anchorId="102A0ED8" wp14:editId="29FF1802">
            <wp:extent cx="3657600" cy="3464704"/>
            <wp:effectExtent l="0" t="0" r="0" b="2540"/>
            <wp:docPr id="209328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730" cy="3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9E59" w14:textId="22574A68" w:rsidR="001530ED" w:rsidRDefault="001530ED" w:rsidP="00617153">
      <w:pPr>
        <w:jc w:val="center"/>
        <w:rPr>
          <w:lang w:val="en-KE"/>
        </w:rPr>
      </w:pPr>
      <w:r w:rsidRPr="001530ED">
        <w:rPr>
          <w:lang w:val="en-KE"/>
        </w:rPr>
        <w:drawing>
          <wp:inline distT="0" distB="0" distL="0" distR="0" wp14:anchorId="09CE3633" wp14:editId="29E61FE9">
            <wp:extent cx="4114800" cy="3665350"/>
            <wp:effectExtent l="0" t="0" r="0" b="0"/>
            <wp:docPr id="174349674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6741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26" cy="36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lastRenderedPageBreak/>
        <w:pict w14:anchorId="732E06D2">
          <v:rect id="_x0000_i1029" style="width:0;height:1.5pt" o:hralign="center" o:hrstd="t" o:hr="t" fillcolor="#a0a0a0" stroked="f"/>
        </w:pict>
      </w:r>
    </w:p>
    <w:p w14:paraId="417B84BF" w14:textId="3327AE40" w:rsidR="001530E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 Test Set Evaluation</w:t>
      </w:r>
    </w:p>
    <w:p w14:paraId="44B57EA5" w14:textId="086527B2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617153" w:rsidRPr="00617153">
        <w:t>9</w:t>
      </w:r>
      <w:r w:rsidR="001530ED">
        <w:t>0</w:t>
      </w:r>
      <w:r w:rsidR="00617153" w:rsidRPr="00617153">
        <w:t>.</w:t>
      </w:r>
      <w:r w:rsidR="001530ED">
        <w:t>5</w:t>
      </w:r>
      <w:r w:rsidR="00617153" w:rsidRPr="00617153">
        <w:t>3%</w:t>
      </w:r>
    </w:p>
    <w:p w14:paraId="01C8543D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5E4D656E" w14:textId="1426C310" w:rsidR="00617153" w:rsidRDefault="001530ED" w:rsidP="00617153">
      <w:pPr>
        <w:jc w:val="center"/>
        <w:rPr>
          <w:b/>
          <w:bCs/>
          <w:lang w:val="en-KE"/>
        </w:rPr>
      </w:pPr>
      <w:r w:rsidRPr="001530ED">
        <w:rPr>
          <w:b/>
          <w:bCs/>
          <w:lang w:val="en-KE"/>
        </w:rPr>
        <w:drawing>
          <wp:inline distT="0" distB="0" distL="0" distR="0" wp14:anchorId="2E15FED3" wp14:editId="55BCC764">
            <wp:extent cx="3594100" cy="3207786"/>
            <wp:effectExtent l="0" t="0" r="6350" b="0"/>
            <wp:docPr id="1515565915" name="Picture 1" descr="A graph of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5915" name="Picture 1" descr="A graph of confusion matrix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83" cy="32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003ED4F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1530ED">
              <w:t>92</w:t>
            </w:r>
          </w:p>
        </w:tc>
        <w:tc>
          <w:tcPr>
            <w:tcW w:w="0" w:type="auto"/>
            <w:vAlign w:val="center"/>
          </w:tcPr>
          <w:p w14:paraId="16E8B7DD" w14:textId="3FF5A10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1530ED"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491257F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0.91</w:t>
            </w:r>
          </w:p>
        </w:tc>
        <w:tc>
          <w:tcPr>
            <w:tcW w:w="0" w:type="auto"/>
            <w:vAlign w:val="center"/>
          </w:tcPr>
          <w:p w14:paraId="21001477" w14:textId="5B431EB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122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1ECFDD71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</w:t>
            </w:r>
            <w:r w:rsidR="001530ED">
              <w:t>5</w:t>
            </w:r>
          </w:p>
        </w:tc>
        <w:tc>
          <w:tcPr>
            <w:tcW w:w="0" w:type="auto"/>
            <w:vAlign w:val="center"/>
          </w:tcPr>
          <w:p w14:paraId="1CA9AE88" w14:textId="76484116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1530ED">
              <w:t>90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105C1C5C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</w:t>
            </w:r>
            <w:r w:rsidR="001530ED">
              <w:t>8</w:t>
            </w:r>
          </w:p>
        </w:tc>
        <w:tc>
          <w:tcPr>
            <w:tcW w:w="0" w:type="auto"/>
            <w:vAlign w:val="center"/>
          </w:tcPr>
          <w:p w14:paraId="77C9528C" w14:textId="11CFDD4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277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21EED1C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1530ED">
              <w:t>5</w:t>
            </w:r>
          </w:p>
        </w:tc>
        <w:tc>
          <w:tcPr>
            <w:tcW w:w="0" w:type="auto"/>
            <w:vAlign w:val="center"/>
          </w:tcPr>
          <w:p w14:paraId="25C12426" w14:textId="54BE595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1530ED"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67BEBC33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1530ED">
              <w:t>3</w:t>
            </w:r>
          </w:p>
        </w:tc>
        <w:tc>
          <w:tcPr>
            <w:tcW w:w="0" w:type="auto"/>
            <w:vAlign w:val="center"/>
          </w:tcPr>
          <w:p w14:paraId="47F7230C" w14:textId="472CCB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351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5EE79099" w14:textId="55DDE8A6" w:rsidR="007E70AB" w:rsidRDefault="00BA4970" w:rsidP="007E70AB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The model achieved 91.20% validation accuracy, with a 90.53% test accuracy, showing a stable improvement over Run 1.</w:t>
      </w:r>
    </w:p>
    <w:p w14:paraId="26E2C251" w14:textId="42A4AA06" w:rsidR="00BA4970" w:rsidRDefault="00BA4970" w:rsidP="007E70AB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The dropout rate of 0.3 helped reduce overfitting compared to previous runs.</w:t>
      </w:r>
    </w:p>
    <w:p w14:paraId="6F5A2E55" w14:textId="7D1ADD89" w:rsidR="00BA4970" w:rsidRDefault="00BA4970" w:rsidP="007E70AB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 xml:space="preserve">The </w:t>
      </w:r>
      <w:proofErr w:type="spellStart"/>
      <w:r w:rsidRPr="00BA4970">
        <w:rPr>
          <w:lang w:val="en-KE"/>
        </w:rPr>
        <w:t>AdamW</w:t>
      </w:r>
      <w:proofErr w:type="spellEnd"/>
      <w:r w:rsidRPr="00BA4970">
        <w:rPr>
          <w:lang w:val="en-KE"/>
        </w:rPr>
        <w:t xml:space="preserve"> optimizer contributed to smoother weight updates and stabilization.</w:t>
      </w:r>
    </w:p>
    <w:p w14:paraId="76D11791" w14:textId="7A6A1209" w:rsid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Error Analysis:</w:t>
      </w:r>
      <w:r w:rsidRPr="0063620D">
        <w:rPr>
          <w:lang w:val="en-KE"/>
        </w:rPr>
        <w:t xml:space="preserve"> </w:t>
      </w:r>
    </w:p>
    <w:p w14:paraId="0B275987" w14:textId="5E4D6AB0" w:rsidR="004E4336" w:rsidRPr="0063620D" w:rsidRDefault="00BA4970" w:rsidP="004E4336">
      <w:pPr>
        <w:ind w:left="720"/>
        <w:jc w:val="center"/>
        <w:rPr>
          <w:lang w:val="en-KE"/>
        </w:rPr>
      </w:pPr>
      <w:r w:rsidRPr="00BA4970">
        <w:rPr>
          <w:lang w:val="en-KE"/>
        </w:rPr>
        <w:lastRenderedPageBreak/>
        <w:drawing>
          <wp:inline distT="0" distB="0" distL="0" distR="0" wp14:anchorId="5B02D5B3" wp14:editId="4417C41F">
            <wp:extent cx="5943600" cy="2861945"/>
            <wp:effectExtent l="0" t="0" r="0" b="0"/>
            <wp:docPr id="1071430588" name="Picture 1" descr="A group of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30588" name="Picture 1" descr="A group of white circ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6BC" w14:textId="2529B664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The Medium category remains the most misclassified class, though recall improved compared to previous runs.</w:t>
      </w:r>
    </w:p>
    <w:p w14:paraId="5526B46D" w14:textId="51573EF4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Some confusion still exists between Medium and Many categories.</w:t>
      </w:r>
    </w:p>
    <w:p w14:paraId="5A7BEBB3" w14:textId="78913281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Training loss decreases smoothly, but validation loss fluctuates slightly, indicating minor overfitting.</w:t>
      </w:r>
    </w:p>
    <w:p w14:paraId="70BBFCD4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Next Steps:</w:t>
      </w:r>
      <w:r w:rsidRPr="0063620D">
        <w:rPr>
          <w:lang w:val="en-KE"/>
        </w:rPr>
        <w:t xml:space="preserve"> </w:t>
      </w:r>
    </w:p>
    <w:p w14:paraId="345DBDF7" w14:textId="7751DD7D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Reduce learning rate to further stabilize training.</w:t>
      </w:r>
    </w:p>
    <w:p w14:paraId="2B5BC98C" w14:textId="1A862ECE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Increase batch size for better generalization.</w:t>
      </w:r>
    </w:p>
    <w:p w14:paraId="7752CB2A" w14:textId="74FCFA66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Increase dropout to regularize the model further.</w:t>
      </w:r>
    </w:p>
    <w:p w14:paraId="480FF6A5" w14:textId="64DBE9A3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Slightly increase weight decay to 5e-4 to encourage smaller weights.</w:t>
      </w:r>
    </w:p>
    <w:p w14:paraId="6E8F566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38ECBA67" w14:textId="39BD144F" w:rsidR="00BA4970" w:rsidRDefault="00BA4970" w:rsidP="0063620D">
      <w:pPr>
        <w:jc w:val="both"/>
        <w:rPr>
          <w:lang w:val="en-KE"/>
        </w:rPr>
      </w:pPr>
      <w:r w:rsidRPr="00BA4970">
        <w:rPr>
          <w:lang w:val="en-KE"/>
        </w:rPr>
        <w:t xml:space="preserve">This run demonstrated the effectiveness of using </w:t>
      </w:r>
      <w:proofErr w:type="spellStart"/>
      <w:r w:rsidRPr="00BA4970">
        <w:rPr>
          <w:lang w:val="en-KE"/>
        </w:rPr>
        <w:t>AdamW</w:t>
      </w:r>
      <w:proofErr w:type="spellEnd"/>
      <w:r w:rsidRPr="00BA4970">
        <w:rPr>
          <w:lang w:val="en-KE"/>
        </w:rPr>
        <w:t>, weight decay, and dropout in improving classification performance. However, some overfitting and class confusion still persist. The next run will focus on optimizing regularization strategies further to enhance generalization.</w:t>
      </w:r>
    </w:p>
    <w:p w14:paraId="2297B59B" w14:textId="5918CC3A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D53AFB4">
          <v:rect id="_x0000_i1032" style="width:0;height:1.5pt" o:hralign="center" o:hrstd="t" o:hr="t" fillcolor="#a0a0a0" stroked="f"/>
        </w:pict>
      </w:r>
    </w:p>
    <w:p w14:paraId="311EBD9F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7. Additional Notes</w:t>
      </w:r>
    </w:p>
    <w:p w14:paraId="2A1D0A71" w14:textId="0E7566E0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Reproducibility was ensured by setting a fixed random seed and using pre-saved datasets.</w:t>
      </w:r>
    </w:p>
    <w:p w14:paraId="77D77AA7" w14:textId="593E5B1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Th</w:t>
      </w:r>
      <w:r w:rsidR="00BA4970">
        <w:rPr>
          <w:lang w:val="en-KE"/>
        </w:rPr>
        <w:t xml:space="preserve">is </w:t>
      </w:r>
      <w:r w:rsidRPr="00A7297D">
        <w:rPr>
          <w:lang w:val="en-KE"/>
        </w:rPr>
        <w:t>run</w:t>
      </w:r>
      <w:r w:rsidR="00BA4970">
        <w:rPr>
          <w:lang w:val="en-KE"/>
        </w:rPr>
        <w:t xml:space="preserve"> also</w:t>
      </w:r>
      <w:r w:rsidRPr="00A7297D">
        <w:rPr>
          <w:lang w:val="en-KE"/>
        </w:rPr>
        <w:t xml:space="preserve"> followed the structured experiment template, making future runs easy to compare.</w:t>
      </w:r>
    </w:p>
    <w:p w14:paraId="0A6FE4CA" w14:textId="40583D4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Some variability in validation loss was observed, which may indicate the need for better regularization techniques.</w:t>
      </w:r>
    </w:p>
    <w:p w14:paraId="37F7EAB6" w14:textId="687588FD" w:rsidR="00A7297D" w:rsidRP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lastRenderedPageBreak/>
        <w:t>Early stopping was applied, preventing overfitting, but further adjustments may be needed.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33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530ED"/>
    <w:rsid w:val="001A2E08"/>
    <w:rsid w:val="00402337"/>
    <w:rsid w:val="004E4336"/>
    <w:rsid w:val="005D01DD"/>
    <w:rsid w:val="00617153"/>
    <w:rsid w:val="0063620D"/>
    <w:rsid w:val="007E70AB"/>
    <w:rsid w:val="00A06D26"/>
    <w:rsid w:val="00A7297D"/>
    <w:rsid w:val="00BA4970"/>
    <w:rsid w:val="00D17EA1"/>
    <w:rsid w:val="00D74F3A"/>
    <w:rsid w:val="00E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4</cp:revision>
  <cp:lastPrinted>2025-02-17T00:43:00Z</cp:lastPrinted>
  <dcterms:created xsi:type="dcterms:W3CDTF">2025-02-16T23:54:00Z</dcterms:created>
  <dcterms:modified xsi:type="dcterms:W3CDTF">2025-03-09T22:16:00Z</dcterms:modified>
</cp:coreProperties>
</file>