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D7E2" w14:textId="77777777" w:rsidR="00176225" w:rsidRPr="001F6246" w:rsidRDefault="00176225" w:rsidP="00176225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Farmers Review Framework and Results Coding</w:t>
      </w:r>
    </w:p>
    <w:p w14:paraId="4A0DED14" w14:textId="185549EF" w:rsidR="00FA34C3" w:rsidRPr="001F6246" w:rsidRDefault="00FA34C3" w:rsidP="00FA34C3">
      <w:pPr>
        <w:rPr>
          <w:rFonts w:ascii="Trebuchet MS" w:hAnsi="Trebuchet MS"/>
        </w:rPr>
      </w:pPr>
      <w:bookmarkStart w:id="0" w:name="_GoBack"/>
      <w:bookmarkEnd w:id="0"/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Crop yield</w:t>
      </w:r>
      <w:r w:rsidRPr="001F6246">
        <w:rPr>
          <w:rFonts w:ascii="Trebuchet MS" w:hAnsi="Trebuchet MS"/>
        </w:rPr>
        <w:t>:</w:t>
      </w:r>
    </w:p>
    <w:p w14:paraId="5BBB1504" w14:textId="1B021391" w:rsidR="00ED6F4F" w:rsidRPr="00005154" w:rsidRDefault="00176225">
      <w:pPr>
        <w:rPr>
          <w:rFonts w:ascii="Trebuchet MS" w:hAnsi="Trebuchet MS"/>
          <w:sz w:val="20"/>
          <w:szCs w:val="20"/>
        </w:rPr>
      </w:pPr>
    </w:p>
    <w:p w14:paraId="780413D9" w14:textId="00A5E870" w:rsidR="00FA34C3" w:rsidRPr="00005154" w:rsidRDefault="00005154" w:rsidP="00FA34C3">
      <w:pPr>
        <w:ind w:left="720" w:hanging="720"/>
        <w:rPr>
          <w:rFonts w:ascii="Trebuchet MS" w:hAnsi="Trebuchet MS"/>
          <w:sz w:val="20"/>
          <w:szCs w:val="20"/>
        </w:rPr>
      </w:pP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Boulain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Cappelaere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Séguis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 xml:space="preserve">, L., </w:t>
      </w:r>
      <w:proofErr w:type="spellStart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Gignoux</w:t>
      </w:r>
      <w:proofErr w:type="spellEnd"/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 J., &amp; Peugeot, C. (2006). Hydrologic and land use impacts on vegetation growth and NPP at the watershed scale in a semi-arid environment. </w:t>
      </w:r>
      <w:r w:rsidRPr="00005154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Regional Environmental Change</w:t>
      </w:r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, </w:t>
      </w:r>
      <w:r w:rsidRPr="00005154">
        <w:rPr>
          <w:rFonts w:ascii="Trebuchet MS" w:hAnsi="Trebuchet MS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Pr="00005154">
        <w:rPr>
          <w:rFonts w:ascii="Trebuchet MS" w:hAnsi="Trebuchet MS" w:cs="Arial"/>
          <w:color w:val="222222"/>
          <w:sz w:val="20"/>
          <w:szCs w:val="20"/>
          <w:shd w:val="clear" w:color="auto" w:fill="FFFFFF"/>
        </w:rPr>
        <w:t>(3), 147-156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https://link.springer.com/article/10.1007/s10113-006-0014-0</w:t>
        </w:r>
      </w:hyperlink>
    </w:p>
    <w:p w14:paraId="26F6E25D" w14:textId="6CBEE0FD" w:rsidR="00FA34C3" w:rsidRPr="00005154" w:rsidRDefault="00005154" w:rsidP="00005154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Diem, Jeremy E., et al. (2017). Comparison of measured multi-decadal rainfall variability with farmers’ perceptions of and responses to seasonal changes in western Uganda. </w:t>
      </w:r>
      <w:r w:rsidRPr="00005154">
        <w:rPr>
          <w:rFonts w:ascii="Trebuchet MS" w:eastAsia="Times New Roman" w:hAnsi="Trebuchet MS" w:cs="Calibri"/>
          <w:i/>
          <w:color w:val="000000"/>
          <w:sz w:val="20"/>
          <w:szCs w:val="20"/>
        </w:rPr>
        <w:t>Regional Environmental Change</w:t>
      </w: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 17.4, 1127-1140. </w:t>
      </w:r>
      <w:proofErr w:type="spellStart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: 10.1007/s10113-016-0943-1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https://link.springer.com/article/10.1007/s10113-016-0943-1</w:t>
        </w:r>
      </w:hyperlink>
    </w:p>
    <w:p w14:paraId="646510F7" w14:textId="40E0F0B2" w:rsidR="00FA34C3" w:rsidRPr="00005154" w:rsidRDefault="00005154" w:rsidP="00005154">
      <w:pPr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  <w:proofErr w:type="spellStart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Manandhar</w:t>
      </w:r>
      <w:proofErr w:type="spellEnd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 et al. (2011). Adapting Cropping Systems to Climate Change in Nepal: A Cross-Regional Study of Farmers’ Perception and Practices. </w:t>
      </w:r>
      <w:r w:rsidRPr="00005154">
        <w:rPr>
          <w:rFonts w:ascii="Trebuchet MS" w:hAnsi="Trebuchet MS"/>
          <w:i/>
          <w:color w:val="000000"/>
          <w:sz w:val="20"/>
          <w:szCs w:val="20"/>
        </w:rPr>
        <w:t>Regional Environmental Change</w:t>
      </w: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11(2), 335-348. </w:t>
      </w:r>
      <w:proofErr w:type="spellStart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</w:t>
      </w:r>
      <w:r w:rsidRPr="0000515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10.1007/s10113-010-0137-1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https://link.springer.com/article/10.1007/s10113-010-0137-1</w:t>
        </w:r>
      </w:hyperlink>
    </w:p>
    <w:p w14:paraId="39B56EED" w14:textId="3BFCF621" w:rsidR="00FA34C3" w:rsidRPr="00005154" w:rsidRDefault="00005154" w:rsidP="00005154">
      <w:pPr>
        <w:ind w:left="720" w:hanging="720"/>
        <w:rPr>
          <w:rFonts w:ascii="Trebuchet MS" w:eastAsia="Times New Roman" w:hAnsi="Trebuchet MS" w:cs="Calibri"/>
          <w:color w:val="0000FF"/>
          <w:sz w:val="20"/>
          <w:szCs w:val="20"/>
          <w:u w:val="single"/>
        </w:rPr>
      </w:pP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 xml:space="preserve">Martin et al. (2010). Soil Organic Carbon Storage Changes with Climate Change, Landform and Land Use Conditions in Garhwal Hills of the Indian Himalayan Mountains. </w:t>
      </w:r>
      <w:r w:rsidRPr="00005154">
        <w:rPr>
          <w:rFonts w:ascii="Trebuchet MS" w:hAnsi="Trebuchet MS"/>
          <w:i/>
          <w:color w:val="000000"/>
          <w:sz w:val="20"/>
          <w:szCs w:val="20"/>
        </w:rPr>
        <w:t>Agriculture, Ecosystems &amp; Environment</w:t>
      </w:r>
      <w:r w:rsidRPr="00005154">
        <w:rPr>
          <w:rFonts w:ascii="Trebuchet MS" w:eastAsia="Times New Roman" w:hAnsi="Trebuchet MS" w:cs="Calibri"/>
          <w:color w:val="000000"/>
          <w:sz w:val="20"/>
          <w:szCs w:val="20"/>
        </w:rPr>
        <w:t>, 138(1-2), 64-73</w:t>
      </w:r>
      <w:r w:rsidRPr="00005154">
        <w:rPr>
          <w:rFonts w:ascii="Trebuchet MS" w:eastAsia="Times New Roman" w:hAnsi="Trebuchet MS" w:cs="Calibri"/>
          <w:sz w:val="20"/>
          <w:szCs w:val="20"/>
        </w:rPr>
        <w:t xml:space="preserve">. </w:t>
      </w:r>
      <w:proofErr w:type="spellStart"/>
      <w:r w:rsidRPr="0000515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005154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10.1016/j.agee.2010.04.001</w:t>
      </w:r>
      <w:r w:rsidR="00FA34C3" w:rsidRPr="00005154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FA34C3" w:rsidRPr="00005154">
          <w:rPr>
            <w:rStyle w:val="Hyperlink"/>
            <w:rFonts w:ascii="Trebuchet MS" w:hAnsi="Trebuchet MS"/>
            <w:sz w:val="20"/>
            <w:szCs w:val="20"/>
          </w:rPr>
          <w:t>https://www.sciencedirect.com/science/article/pii/S0167880910001003</w:t>
        </w:r>
      </w:hyperlink>
    </w:p>
    <w:sectPr w:rsidR="00FA34C3" w:rsidRPr="0000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51"/>
    <w:rsid w:val="00005154"/>
    <w:rsid w:val="00176225"/>
    <w:rsid w:val="00213E51"/>
    <w:rsid w:val="00944845"/>
    <w:rsid w:val="00CD0219"/>
    <w:rsid w:val="00FA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E9F1"/>
  <w15:chartTrackingRefBased/>
  <w15:docId w15:val="{B66EF710-771E-4811-AC69-EB27F0F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3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1678809100010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0113-010-0137-1" TargetMode="External"/><Relationship Id="rId5" Type="http://schemas.openxmlformats.org/officeDocument/2006/relationships/hyperlink" Target="https://link.springer.com/article/10.1007/s10113-016-0943-1" TargetMode="External"/><Relationship Id="rId4" Type="http://schemas.openxmlformats.org/officeDocument/2006/relationships/hyperlink" Target="https://link.springer.com/article/10.1007/s10113-006-0014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4</cp:revision>
  <dcterms:created xsi:type="dcterms:W3CDTF">2019-04-22T18:36:00Z</dcterms:created>
  <dcterms:modified xsi:type="dcterms:W3CDTF">2019-07-01T20:23:00Z</dcterms:modified>
</cp:coreProperties>
</file>