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95A10" w14:textId="7FEABD47" w:rsidR="000F74BD" w:rsidRDefault="000F74BD">
      <w:r>
        <w:t xml:space="preserve">Updating </w:t>
      </w:r>
      <w:proofErr w:type="spellStart"/>
      <w:r>
        <w:t>AgQuery</w:t>
      </w:r>
      <w:proofErr w:type="spellEnd"/>
      <w:r>
        <w:t>+</w:t>
      </w:r>
    </w:p>
    <w:p w14:paraId="7146AE1C" w14:textId="329BFC89" w:rsidR="00DF6164" w:rsidRDefault="00DF6164">
      <w:pPr>
        <w:rPr>
          <w:b/>
          <w:bCs/>
        </w:rPr>
      </w:pPr>
      <w:r>
        <w:rPr>
          <w:b/>
          <w:bCs/>
        </w:rPr>
        <w:t>Definitions and Specifications</w:t>
      </w:r>
    </w:p>
    <w:p w14:paraId="14C19B85" w14:textId="77777777" w:rsidR="00DF6164" w:rsidRDefault="00DF6164">
      <w:pPr>
        <w:rPr>
          <w:b/>
          <w:bCs/>
        </w:rPr>
      </w:pPr>
    </w:p>
    <w:p w14:paraId="15231FB0" w14:textId="71C6C37E" w:rsidR="000F74BD" w:rsidRPr="003A642B" w:rsidRDefault="000F74BD">
      <w:pPr>
        <w:rPr>
          <w:b/>
          <w:bCs/>
        </w:rPr>
      </w:pPr>
      <w:r w:rsidRPr="003A642B">
        <w:rPr>
          <w:b/>
          <w:bCs/>
        </w:rPr>
        <w:t>Folder and File Structure</w:t>
      </w:r>
    </w:p>
    <w:p w14:paraId="53634B0C" w14:textId="77777777" w:rsidR="000F74BD" w:rsidRDefault="000F74BD" w:rsidP="000F74BD">
      <w:r>
        <w:tab/>
        <w:t xml:space="preserve">The main app directory contains the folders </w:t>
      </w:r>
      <w:r>
        <w:rPr>
          <w:b/>
          <w:bCs/>
        </w:rPr>
        <w:t>Data</w:t>
      </w:r>
      <w:r>
        <w:t xml:space="preserve">, </w:t>
      </w:r>
      <w:r>
        <w:rPr>
          <w:b/>
          <w:bCs/>
        </w:rPr>
        <w:t>Spatial, Update, and www</w:t>
      </w:r>
      <w:r>
        <w:t xml:space="preserve">. </w:t>
      </w:r>
      <w:r w:rsidRPr="00E313ED">
        <w:rPr>
          <w:b/>
          <w:bCs/>
        </w:rPr>
        <w:t>Data</w:t>
      </w:r>
      <w:r>
        <w:t xml:space="preserve"> contains the raw data files, currently stored in csv format. </w:t>
      </w:r>
      <w:r w:rsidRPr="00E313ED">
        <w:rPr>
          <w:b/>
          <w:bCs/>
        </w:rPr>
        <w:t>Spatial</w:t>
      </w:r>
      <w:r>
        <w:t xml:space="preserve"> contains the country shapefile needed to render maps. </w:t>
      </w:r>
      <w:r w:rsidRPr="00E313ED">
        <w:rPr>
          <w:b/>
          <w:bCs/>
        </w:rPr>
        <w:t>Update</w:t>
      </w:r>
      <w:r>
        <w:t xml:space="preserve"> contains the Excel spreadsheets used to define the app content, and </w:t>
      </w:r>
      <w:r w:rsidRPr="00E313ED">
        <w:rPr>
          <w:b/>
          <w:bCs/>
        </w:rPr>
        <w:t>www</w:t>
      </w:r>
      <w:r>
        <w:t xml:space="preserve"> contains additional html and images, like the logic model and the help page. The main folders of interest are </w:t>
      </w:r>
      <w:r>
        <w:rPr>
          <w:b/>
          <w:bCs/>
        </w:rPr>
        <w:t xml:space="preserve">Data </w:t>
      </w:r>
      <w:r>
        <w:t xml:space="preserve">and </w:t>
      </w:r>
      <w:r>
        <w:rPr>
          <w:b/>
          <w:bCs/>
        </w:rPr>
        <w:t>Update</w:t>
      </w:r>
      <w:r>
        <w:t xml:space="preserve">. </w:t>
      </w:r>
    </w:p>
    <w:p w14:paraId="46BE79E3" w14:textId="7AEA7E95" w:rsidR="00E313ED" w:rsidRDefault="00E313ED" w:rsidP="000F74BD">
      <w:pPr>
        <w:rPr>
          <w:b/>
          <w:bCs/>
        </w:rPr>
      </w:pPr>
      <w:r>
        <w:rPr>
          <w:b/>
          <w:bCs/>
        </w:rPr>
        <w:t>Setting Up</w:t>
      </w:r>
    </w:p>
    <w:p w14:paraId="5E25DFB4" w14:textId="77777777" w:rsidR="00E313ED" w:rsidRDefault="00E313ED" w:rsidP="00E313E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Add Data files (in CSV format) to the Data folder. </w:t>
      </w:r>
    </w:p>
    <w:p w14:paraId="3AA20FEE" w14:textId="3FDCA232" w:rsidR="00E313ED" w:rsidRDefault="00E313ED" w:rsidP="00E313ED">
      <w:pPr>
        <w:pStyle w:val="ListParagraph"/>
        <w:numPr>
          <w:ilvl w:val="1"/>
          <w:numId w:val="6"/>
        </w:numPr>
        <w:rPr>
          <w:b/>
          <w:bCs/>
        </w:rPr>
      </w:pPr>
      <w:r>
        <w:t>At minimum, the file should have the columns “</w:t>
      </w:r>
      <w:proofErr w:type="spellStart"/>
      <w:r>
        <w:t>hhid</w:t>
      </w:r>
      <w:proofErr w:type="spellEnd"/>
      <w:r>
        <w:t xml:space="preserve">” and “province” along with the variables of </w:t>
      </w:r>
      <w:proofErr w:type="gramStart"/>
      <w:r>
        <w:t>interest</w:t>
      </w:r>
      <w:proofErr w:type="gramEnd"/>
    </w:p>
    <w:p w14:paraId="4DF14BEE" w14:textId="042CF0DB" w:rsidR="00E313ED" w:rsidRPr="00E313ED" w:rsidRDefault="00E313ED" w:rsidP="00E313ED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By </w:t>
      </w:r>
      <w:r w:rsidR="000F74BD">
        <w:t>current convention,</w:t>
      </w:r>
      <w:r>
        <w:t xml:space="preserve"> </w:t>
      </w:r>
      <w:r w:rsidR="000F74BD">
        <w:t>the csv should be named</w:t>
      </w:r>
      <w:r>
        <w:t xml:space="preserve"> {survey}</w:t>
      </w:r>
      <w:r w:rsidR="000F74BD">
        <w:t>_</w:t>
      </w:r>
      <w:r>
        <w:t>{year}</w:t>
      </w:r>
      <w:r w:rsidR="000F74BD">
        <w:t>_</w:t>
      </w:r>
      <w:r>
        <w:t>{</w:t>
      </w:r>
      <w:r w:rsidR="000F74BD">
        <w:t>suffix</w:t>
      </w:r>
      <w:r>
        <w:t>}</w:t>
      </w:r>
      <w:r w:rsidR="000F74BD">
        <w:t>.csv.</w:t>
      </w:r>
      <w:r>
        <w:t xml:space="preserve"> The suffix can be user-defined; the survey and year should adhere to the entries in </w:t>
      </w:r>
      <w:proofErr w:type="gramStart"/>
      <w:r>
        <w:t>Update/instrument_list.xlsx</w:t>
      </w:r>
      <w:proofErr w:type="gramEnd"/>
    </w:p>
    <w:p w14:paraId="43200382" w14:textId="2C0AE773" w:rsidR="004756A0" w:rsidRPr="004756A0" w:rsidRDefault="00E313ED" w:rsidP="004756A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(For new surveys): Add a </w:t>
      </w:r>
      <w:proofErr w:type="gramStart"/>
      <w:r>
        <w:rPr>
          <w:b/>
          <w:bCs/>
        </w:rPr>
        <w:t>weights</w:t>
      </w:r>
      <w:proofErr w:type="gramEnd"/>
      <w:r>
        <w:rPr>
          <w:b/>
          <w:bCs/>
        </w:rPr>
        <w:t xml:space="preserve">_{year}.csv file. </w:t>
      </w:r>
      <w:r>
        <w:t>This file should consist of the columns “</w:t>
      </w:r>
      <w:proofErr w:type="spellStart"/>
      <w:r>
        <w:t>hhid</w:t>
      </w:r>
      <w:proofErr w:type="spellEnd"/>
      <w:r>
        <w:t>” and “weight.”</w:t>
      </w:r>
    </w:p>
    <w:p w14:paraId="5239AEFF" w14:textId="5EF757DA" w:rsidR="00E313ED" w:rsidRPr="00E313ED" w:rsidRDefault="00E313ED" w:rsidP="00E313E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(For new surveys): Add an entry to the instrument_list.xlsx in Update. </w:t>
      </w:r>
      <w:r>
        <w:t xml:space="preserve">This file only requires updating when a new wave is added. Most of the fields here are implemented in the original </w:t>
      </w:r>
      <w:proofErr w:type="spellStart"/>
      <w:r>
        <w:t>AgQuery</w:t>
      </w:r>
      <w:proofErr w:type="spellEnd"/>
      <w:r>
        <w:t xml:space="preserve">+ but not in </w:t>
      </w:r>
      <w:proofErr w:type="spellStart"/>
      <w:r>
        <w:t>AgQuery</w:t>
      </w:r>
      <w:proofErr w:type="spellEnd"/>
      <w:r>
        <w:t>+ 50x30</w:t>
      </w:r>
      <w:r>
        <w:t>.</w:t>
      </w:r>
    </w:p>
    <w:p w14:paraId="1C03D88D" w14:textId="77777777" w:rsidR="00E313ED" w:rsidRDefault="00E313ED" w:rsidP="00E313ED">
      <w:r w:rsidRPr="00616380">
        <w:rPr>
          <w:noProof/>
        </w:rPr>
        <w:drawing>
          <wp:inline distT="0" distB="0" distL="0" distR="0" wp14:anchorId="4527437E" wp14:editId="0E55086D">
            <wp:extent cx="5943600" cy="311150"/>
            <wp:effectExtent l="0" t="0" r="0" b="0"/>
            <wp:docPr id="77655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54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6D12" w14:textId="77777777" w:rsidR="00E313ED" w:rsidRDefault="00E313ED" w:rsidP="00E313ED">
      <w:pPr>
        <w:pStyle w:val="ListParagraph"/>
        <w:numPr>
          <w:ilvl w:val="0"/>
          <w:numId w:val="4"/>
        </w:numPr>
      </w:pPr>
      <w:r>
        <w:t xml:space="preserve">Survey (String): The survey </w:t>
      </w:r>
      <w:proofErr w:type="spellStart"/>
      <w:r>
        <w:t>abbrevation</w:t>
      </w:r>
      <w:proofErr w:type="spellEnd"/>
      <w:r>
        <w:t xml:space="preserve"> (used to differentiate surveys across countries in </w:t>
      </w:r>
      <w:proofErr w:type="spellStart"/>
      <w:r>
        <w:t>AgQuery</w:t>
      </w:r>
      <w:proofErr w:type="spellEnd"/>
      <w:r>
        <w:t>+)</w:t>
      </w:r>
    </w:p>
    <w:p w14:paraId="7E401FD4" w14:textId="77777777" w:rsidR="00E313ED" w:rsidRDefault="00E313ED" w:rsidP="00E313ED">
      <w:pPr>
        <w:pStyle w:val="ListParagraph"/>
        <w:numPr>
          <w:ilvl w:val="0"/>
          <w:numId w:val="4"/>
        </w:numPr>
      </w:pPr>
      <w:proofErr w:type="spellStart"/>
      <w:r>
        <w:t>Abbr</w:t>
      </w:r>
      <w:proofErr w:type="spellEnd"/>
      <w:r>
        <w:t xml:space="preserve"> (String): The iso code (used to find data files)</w:t>
      </w:r>
    </w:p>
    <w:p w14:paraId="7D12157A" w14:textId="77777777" w:rsidR="00E313ED" w:rsidRDefault="00E313ED" w:rsidP="00E313ED">
      <w:pPr>
        <w:pStyle w:val="ListParagraph"/>
        <w:numPr>
          <w:ilvl w:val="0"/>
          <w:numId w:val="4"/>
        </w:numPr>
      </w:pPr>
      <w:proofErr w:type="spellStart"/>
      <w:r>
        <w:t>Symb</w:t>
      </w:r>
      <w:proofErr w:type="spellEnd"/>
      <w:r>
        <w:t xml:space="preserve"> (Unicode): The </w:t>
      </w:r>
      <w:proofErr w:type="spellStart"/>
      <w:r>
        <w:t>unicode</w:t>
      </w:r>
      <w:proofErr w:type="spellEnd"/>
      <w:r>
        <w:t xml:space="preserve"> characters for the ISO-2 abbreviation. If used in interface elements, this field will render as an icon of the country’s flag. It is not currently implemented.</w:t>
      </w:r>
    </w:p>
    <w:p w14:paraId="39CEE720" w14:textId="77777777" w:rsidR="00E313ED" w:rsidRDefault="00E313ED" w:rsidP="00E313ED">
      <w:pPr>
        <w:pStyle w:val="ListParagraph"/>
        <w:numPr>
          <w:ilvl w:val="0"/>
          <w:numId w:val="4"/>
        </w:numPr>
      </w:pPr>
      <w:r>
        <w:t>Wave (String): the wave abbreviation (used to find data files)</w:t>
      </w:r>
    </w:p>
    <w:p w14:paraId="51858F90" w14:textId="77777777" w:rsidR="00E313ED" w:rsidRDefault="00E313ED" w:rsidP="00E313ED">
      <w:pPr>
        <w:pStyle w:val="ListParagraph"/>
        <w:numPr>
          <w:ilvl w:val="0"/>
          <w:numId w:val="4"/>
        </w:numPr>
      </w:pPr>
      <w:r>
        <w:t xml:space="preserve">Country (String): The full name of the country. Used to help users navigate across countries in </w:t>
      </w:r>
      <w:proofErr w:type="spellStart"/>
      <w:r>
        <w:t>AgQuery</w:t>
      </w:r>
      <w:proofErr w:type="spellEnd"/>
      <w:r>
        <w:t>+</w:t>
      </w:r>
    </w:p>
    <w:p w14:paraId="0BE17875" w14:textId="77777777" w:rsidR="00E313ED" w:rsidRDefault="00E313ED" w:rsidP="00E313ED">
      <w:pPr>
        <w:pStyle w:val="ListParagraph"/>
        <w:numPr>
          <w:ilvl w:val="0"/>
          <w:numId w:val="4"/>
        </w:numPr>
      </w:pPr>
      <w:r>
        <w:t>Year (Integer): the survey year (for time series graphing)</w:t>
      </w:r>
    </w:p>
    <w:p w14:paraId="63D6DE9E" w14:textId="77777777" w:rsidR="00E313ED" w:rsidRDefault="00E313ED" w:rsidP="00E313ED">
      <w:pPr>
        <w:pStyle w:val="ListParagraph"/>
        <w:numPr>
          <w:ilvl w:val="0"/>
          <w:numId w:val="4"/>
        </w:numPr>
      </w:pPr>
      <w:proofErr w:type="spellStart"/>
      <w:r>
        <w:t>Yearlabel</w:t>
      </w:r>
      <w:proofErr w:type="spellEnd"/>
      <w:r>
        <w:t xml:space="preserve"> (String): The full survey period (for category labels)</w:t>
      </w:r>
    </w:p>
    <w:p w14:paraId="5684C2D5" w14:textId="6067D079" w:rsidR="00E313ED" w:rsidRPr="007815D2" w:rsidRDefault="00E313ED" w:rsidP="00E313ED">
      <w:pPr>
        <w:rPr>
          <w:i/>
          <w:iCs/>
        </w:rPr>
      </w:pPr>
      <w:r w:rsidRPr="007815D2">
        <w:rPr>
          <w:i/>
          <w:iCs/>
        </w:rPr>
        <w:t>The following variables are used for converting currency-based indicators. They are not currently i</w:t>
      </w:r>
      <w:r w:rsidR="005F7B1F" w:rsidRPr="007815D2">
        <w:rPr>
          <w:i/>
          <w:iCs/>
        </w:rPr>
        <w:t>ntegrated into the app</w:t>
      </w:r>
      <w:r w:rsidRPr="007815D2">
        <w:rPr>
          <w:i/>
          <w:iCs/>
        </w:rPr>
        <w:t>, and the values have not been updated from the model file. This is for illustrative purposes only.</w:t>
      </w:r>
    </w:p>
    <w:p w14:paraId="3E335852" w14:textId="77777777" w:rsidR="00E313ED" w:rsidRDefault="00E313ED" w:rsidP="00E313ED">
      <w:pPr>
        <w:pStyle w:val="ListParagraph"/>
        <w:numPr>
          <w:ilvl w:val="0"/>
          <w:numId w:val="4"/>
        </w:numPr>
      </w:pPr>
      <w:r>
        <w:t>Inflation (Double): The coefficient for converting between national currency in the survey year and the national currency in 2017, the current reference year for poverty headcount ratios.</w:t>
      </w:r>
    </w:p>
    <w:p w14:paraId="52D00DB1" w14:textId="77777777" w:rsidR="00E313ED" w:rsidRDefault="00E313ED" w:rsidP="00E313ED">
      <w:pPr>
        <w:pStyle w:val="ListParagraph"/>
        <w:numPr>
          <w:ilvl w:val="0"/>
          <w:numId w:val="4"/>
        </w:numPr>
      </w:pPr>
      <w:proofErr w:type="spellStart"/>
      <w:r>
        <w:t>Gdp_ppp</w:t>
      </w:r>
      <w:proofErr w:type="spellEnd"/>
      <w:r>
        <w:t xml:space="preserve"> (Double): The PPP conversion for the survey year based on </w:t>
      </w:r>
      <w:proofErr w:type="gramStart"/>
      <w:r>
        <w:t>GDP</w:t>
      </w:r>
      <w:proofErr w:type="gramEnd"/>
    </w:p>
    <w:p w14:paraId="12AA1938" w14:textId="77777777" w:rsidR="00E313ED" w:rsidRDefault="00E313ED" w:rsidP="00E313ED">
      <w:pPr>
        <w:pStyle w:val="ListParagraph"/>
        <w:numPr>
          <w:ilvl w:val="0"/>
          <w:numId w:val="4"/>
        </w:numPr>
      </w:pPr>
      <w:proofErr w:type="spellStart"/>
      <w:r>
        <w:lastRenderedPageBreak/>
        <w:t>Cons_ppp</w:t>
      </w:r>
      <w:proofErr w:type="spellEnd"/>
      <w:r>
        <w:t xml:space="preserve"> (Double): The PPP conversion for the survey year based on private consumption </w:t>
      </w:r>
      <w:proofErr w:type="gramStart"/>
      <w:r>
        <w:t>values</w:t>
      </w:r>
      <w:proofErr w:type="gramEnd"/>
    </w:p>
    <w:p w14:paraId="22962B9F" w14:textId="77777777" w:rsidR="00E313ED" w:rsidRDefault="00E313ED" w:rsidP="00E313ED">
      <w:pPr>
        <w:pStyle w:val="ListParagraph"/>
        <w:numPr>
          <w:ilvl w:val="0"/>
          <w:numId w:val="4"/>
        </w:numPr>
      </w:pPr>
      <w:r>
        <w:t>Gdp_ppp_2017 (Double): The PPP-GDP conversion for 2017</w:t>
      </w:r>
    </w:p>
    <w:p w14:paraId="0BE11F91" w14:textId="796AAC76" w:rsidR="00E313ED" w:rsidRDefault="00E313ED" w:rsidP="00E313ED">
      <w:pPr>
        <w:pStyle w:val="ListParagraph"/>
        <w:numPr>
          <w:ilvl w:val="0"/>
          <w:numId w:val="4"/>
        </w:numPr>
      </w:pPr>
      <w:r>
        <w:t xml:space="preserve">Cons_ppp_2017 (Double): The PPP-private consumption conversion for 2017 </w:t>
      </w:r>
    </w:p>
    <w:p w14:paraId="01FB2D41" w14:textId="77777777" w:rsidR="00E313ED" w:rsidRPr="00E313ED" w:rsidRDefault="00E313ED" w:rsidP="00E313ED">
      <w:pPr>
        <w:pStyle w:val="ListParagraph"/>
        <w:rPr>
          <w:b/>
          <w:bCs/>
        </w:rPr>
      </w:pPr>
    </w:p>
    <w:p w14:paraId="2F7A8AE1" w14:textId="47FEF1D9" w:rsidR="00E313ED" w:rsidRDefault="00E313ED" w:rsidP="00E313E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(</w:t>
      </w:r>
      <w:r w:rsidR="005F7B1F">
        <w:rPr>
          <w:b/>
          <w:bCs/>
        </w:rPr>
        <w:t>When adding new or modifying existing surveys</w:t>
      </w:r>
      <w:r>
        <w:rPr>
          <w:b/>
          <w:bCs/>
        </w:rPr>
        <w:t xml:space="preserve">): Add the new variables to </w:t>
      </w:r>
      <w:proofErr w:type="gramStart"/>
      <w:r>
        <w:rPr>
          <w:b/>
          <w:bCs/>
        </w:rPr>
        <w:t>Update/indicators.xlsx</w:t>
      </w:r>
      <w:proofErr w:type="gramEnd"/>
    </w:p>
    <w:p w14:paraId="42F08E48" w14:textId="77777777" w:rsidR="004756A0" w:rsidRDefault="004756A0" w:rsidP="004756A0">
      <w:r w:rsidRPr="000F74BD">
        <w:rPr>
          <w:noProof/>
        </w:rPr>
        <w:drawing>
          <wp:inline distT="0" distB="0" distL="0" distR="0" wp14:anchorId="0B31100D" wp14:editId="74418661">
            <wp:extent cx="5943600" cy="251460"/>
            <wp:effectExtent l="0" t="0" r="0" b="0"/>
            <wp:docPr id="48473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39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343A" w14:textId="77777777" w:rsidR="004756A0" w:rsidRDefault="004756A0" w:rsidP="004756A0">
      <w:pPr>
        <w:pStyle w:val="ListParagraph"/>
        <w:numPr>
          <w:ilvl w:val="0"/>
          <w:numId w:val="7"/>
        </w:numPr>
      </w:pPr>
      <w:proofErr w:type="spellStart"/>
      <w:r>
        <w:t>indicatorCategory</w:t>
      </w:r>
      <w:proofErr w:type="spellEnd"/>
      <w:r>
        <w:t xml:space="preserve"> (String): The policy pathway category to which the indicator is </w:t>
      </w:r>
      <w:proofErr w:type="gramStart"/>
      <w:r>
        <w:t>relevant</w:t>
      </w:r>
      <w:proofErr w:type="gramEnd"/>
    </w:p>
    <w:p w14:paraId="0DD36745" w14:textId="77777777" w:rsidR="004756A0" w:rsidRDefault="004756A0" w:rsidP="004756A0">
      <w:pPr>
        <w:pStyle w:val="ListParagraph"/>
        <w:numPr>
          <w:ilvl w:val="0"/>
          <w:numId w:val="7"/>
        </w:numPr>
      </w:pPr>
      <w:proofErr w:type="spellStart"/>
      <w:r>
        <w:t>shortName</w:t>
      </w:r>
      <w:proofErr w:type="spellEnd"/>
      <w:r>
        <w:t xml:space="preserve"> (String): Compact, abbreviated name with no spaces used internally to identify the indicator. Matches the variable name in the data file.</w:t>
      </w:r>
    </w:p>
    <w:p w14:paraId="022D7F83" w14:textId="77777777" w:rsidR="004756A0" w:rsidRDefault="004756A0" w:rsidP="004756A0">
      <w:pPr>
        <w:pStyle w:val="ListParagraph"/>
        <w:numPr>
          <w:ilvl w:val="0"/>
          <w:numId w:val="7"/>
        </w:numPr>
      </w:pPr>
      <w:proofErr w:type="spellStart"/>
      <w:r>
        <w:t>labelName</w:t>
      </w:r>
      <w:proofErr w:type="spellEnd"/>
      <w:r>
        <w:t xml:space="preserve"> (String): Short but grammatical and title case string used for display purposes, e.g. in the display </w:t>
      </w:r>
      <w:proofErr w:type="gramStart"/>
      <w:r>
        <w:t>boxes</w:t>
      </w:r>
      <w:proofErr w:type="gramEnd"/>
    </w:p>
    <w:p w14:paraId="268175F8" w14:textId="77777777" w:rsidR="004756A0" w:rsidRDefault="004756A0" w:rsidP="004756A0">
      <w:pPr>
        <w:pStyle w:val="ListParagraph"/>
        <w:numPr>
          <w:ilvl w:val="0"/>
          <w:numId w:val="7"/>
        </w:numPr>
      </w:pPr>
      <w:proofErr w:type="spellStart"/>
      <w:r>
        <w:t>longName</w:t>
      </w:r>
      <w:proofErr w:type="spellEnd"/>
      <w:r>
        <w:t xml:space="preserve"> (String): Longer, more descriptive name used for axis titles, may include </w:t>
      </w:r>
      <w:proofErr w:type="gramStart"/>
      <w:r>
        <w:t>units</w:t>
      </w:r>
      <w:proofErr w:type="gramEnd"/>
    </w:p>
    <w:p w14:paraId="4F977978" w14:textId="77777777" w:rsidR="004756A0" w:rsidRDefault="004756A0" w:rsidP="004756A0">
      <w:pPr>
        <w:pStyle w:val="ListParagraph"/>
        <w:numPr>
          <w:ilvl w:val="0"/>
          <w:numId w:val="7"/>
        </w:numPr>
      </w:pPr>
      <w:r>
        <w:t>file (String): The file suffix where the indicator can be found (in the example above, “poultry” is the file suffix because the target data file is khm_w1_poultry.csv)</w:t>
      </w:r>
    </w:p>
    <w:p w14:paraId="011BE14A" w14:textId="77777777" w:rsidR="004756A0" w:rsidRDefault="004756A0" w:rsidP="004756A0">
      <w:pPr>
        <w:pStyle w:val="ListParagraph"/>
        <w:numPr>
          <w:ilvl w:val="0"/>
          <w:numId w:val="7"/>
        </w:numPr>
      </w:pPr>
      <w:proofErr w:type="spellStart"/>
      <w:r>
        <w:t>wins_limit</w:t>
      </w:r>
      <w:proofErr w:type="spellEnd"/>
      <w:r>
        <w:t xml:space="preserve"> (Integer): A single integer representing the percentiles to use for the upper and lower bounds used for </w:t>
      </w:r>
      <w:proofErr w:type="spellStart"/>
      <w:r>
        <w:t>Winsorization</w:t>
      </w:r>
      <w:proofErr w:type="spellEnd"/>
      <w:r>
        <w:t xml:space="preserve"> (upper limit is defined as (100-wins_limit)/100). </w:t>
      </w:r>
      <w:proofErr w:type="spellStart"/>
      <w:r>
        <w:t>Winsorization</w:t>
      </w:r>
      <w:proofErr w:type="spellEnd"/>
      <w:r>
        <w:t xml:space="preserve"> can be disabled or </w:t>
      </w:r>
      <w:proofErr w:type="spellStart"/>
      <w:r>
        <w:t>overidden</w:t>
      </w:r>
      <w:proofErr w:type="spellEnd"/>
      <w:r>
        <w:t xml:space="preserve"> from within the app using an advanced option (currently disabled) or in the sheet by setting </w:t>
      </w:r>
      <w:proofErr w:type="spellStart"/>
      <w:r>
        <w:t>wins_limit</w:t>
      </w:r>
      <w:proofErr w:type="spellEnd"/>
      <w:r>
        <w:t xml:space="preserve"> to 0.</w:t>
      </w:r>
    </w:p>
    <w:p w14:paraId="259E8E8E" w14:textId="77777777" w:rsidR="004756A0" w:rsidRDefault="004756A0" w:rsidP="004756A0">
      <w:pPr>
        <w:pStyle w:val="ListParagraph"/>
        <w:numPr>
          <w:ilvl w:val="0"/>
          <w:numId w:val="7"/>
        </w:numPr>
      </w:pPr>
      <w:r>
        <w:t xml:space="preserve">Denominator (String): For indicators derived based on another indicator (e.g., yield in terms of hectares planted), a </w:t>
      </w:r>
      <w:proofErr w:type="spellStart"/>
      <w:r>
        <w:t>shortName</w:t>
      </w:r>
      <w:proofErr w:type="spellEnd"/>
      <w:r>
        <w:t xml:space="preserve"> representing the denominator of the indicator. Variables with a denominator listed will be weighted by that denominator. </w:t>
      </w:r>
      <w:proofErr w:type="gramStart"/>
      <w:r>
        <w:t>Leave</w:t>
      </w:r>
      <w:proofErr w:type="gramEnd"/>
      <w:r>
        <w:t xml:space="preserve"> blank if none.</w:t>
      </w:r>
    </w:p>
    <w:p w14:paraId="4ECF99AE" w14:textId="77777777" w:rsidR="004756A0" w:rsidRDefault="004756A0" w:rsidP="004756A0">
      <w:pPr>
        <w:pStyle w:val="ListParagraph"/>
        <w:numPr>
          <w:ilvl w:val="0"/>
          <w:numId w:val="7"/>
        </w:numPr>
      </w:pPr>
      <w:proofErr w:type="spellStart"/>
      <w:r>
        <w:t>Survey_question</w:t>
      </w:r>
      <w:proofErr w:type="spellEnd"/>
      <w:r>
        <w:t xml:space="preserve"> (String): The number of the relevant survey question, “Constructed” if the indicator is calculated from another. Used to display information on the data tab; can be left </w:t>
      </w:r>
      <w:proofErr w:type="gramStart"/>
      <w:r>
        <w:t>blank</w:t>
      </w:r>
      <w:proofErr w:type="gramEnd"/>
    </w:p>
    <w:p w14:paraId="5F405B04" w14:textId="1D3BE4A4" w:rsidR="004756A0" w:rsidRDefault="004756A0" w:rsidP="004756A0">
      <w:pPr>
        <w:pStyle w:val="ListParagraph"/>
        <w:numPr>
          <w:ilvl w:val="0"/>
          <w:numId w:val="7"/>
        </w:numPr>
      </w:pPr>
      <w:proofErr w:type="spellStart"/>
      <w:r>
        <w:t>Ques_text</w:t>
      </w:r>
      <w:proofErr w:type="spellEnd"/>
      <w:r>
        <w:t xml:space="preserve"> (String): The text of the survey question. Can be left blank.</w:t>
      </w:r>
    </w:p>
    <w:p w14:paraId="468E018F" w14:textId="248DD90C" w:rsidR="005F7B1F" w:rsidRPr="005F7B1F" w:rsidRDefault="005F7B1F" w:rsidP="005F7B1F">
      <w:pPr>
        <w:pStyle w:val="ListParagraph"/>
        <w:rPr>
          <w:i/>
          <w:iCs/>
        </w:rPr>
      </w:pPr>
      <w:r>
        <w:rPr>
          <w:i/>
          <w:iCs/>
        </w:rPr>
        <w:t>Note</w:t>
      </w:r>
      <w:r>
        <w:rPr>
          <w:b/>
          <w:bCs/>
          <w:i/>
          <w:iCs/>
        </w:rPr>
        <w:t xml:space="preserve">: </w:t>
      </w:r>
      <w:r>
        <w:rPr>
          <w:i/>
          <w:iCs/>
        </w:rPr>
        <w:t xml:space="preserve">removing entries from this Excel sheet will remove them from the interface. It is okay to leave them in the data files, but Policy_Link.csv must also be updated, or else users will get a notification that data are missing or unavailable. </w:t>
      </w:r>
    </w:p>
    <w:p w14:paraId="486F2EE5" w14:textId="77777777" w:rsidR="004756A0" w:rsidRPr="004756A0" w:rsidRDefault="004756A0" w:rsidP="004756A0">
      <w:pPr>
        <w:pStyle w:val="ListParagraph"/>
      </w:pPr>
    </w:p>
    <w:p w14:paraId="1FE511FA" w14:textId="375254E7" w:rsidR="00EE04FA" w:rsidRDefault="004756A0" w:rsidP="00EE04FA">
      <w:pPr>
        <w:pStyle w:val="ListParagraph"/>
        <w:numPr>
          <w:ilvl w:val="0"/>
          <w:numId w:val="6"/>
        </w:numPr>
      </w:pPr>
      <w:r w:rsidRPr="004756A0">
        <w:rPr>
          <w:b/>
          <w:bCs/>
        </w:rPr>
        <w:t>(</w:t>
      </w:r>
      <w:r w:rsidR="005F7B1F">
        <w:rPr>
          <w:b/>
          <w:bCs/>
        </w:rPr>
        <w:t>When adding</w:t>
      </w:r>
      <w:r w:rsidRPr="004756A0">
        <w:rPr>
          <w:b/>
          <w:bCs/>
        </w:rPr>
        <w:t xml:space="preserve"> new </w:t>
      </w:r>
      <w:r w:rsidR="005F7B1F">
        <w:rPr>
          <w:b/>
          <w:bCs/>
        </w:rPr>
        <w:t>or modifying</w:t>
      </w:r>
      <w:r w:rsidRPr="004756A0">
        <w:rPr>
          <w:b/>
          <w:bCs/>
        </w:rPr>
        <w:t xml:space="preserve"> existing surveys): add or update the grouping variables</w:t>
      </w:r>
      <w:r>
        <w:rPr>
          <w:b/>
          <w:bCs/>
        </w:rPr>
        <w:t xml:space="preserve"> in Data</w:t>
      </w:r>
      <w:r w:rsidRPr="004756A0">
        <w:rPr>
          <w:b/>
          <w:bCs/>
        </w:rPr>
        <w:t xml:space="preserve">. </w:t>
      </w:r>
      <w:r>
        <w:t xml:space="preserve">The grouping variables files contain </w:t>
      </w:r>
      <w:r w:rsidR="00EE04FA">
        <w:t xml:space="preserve">the </w:t>
      </w:r>
      <w:r w:rsidR="00726CE0">
        <w:t xml:space="preserve">variables used to split (or “disaggregate”) indicators for comparison of subgroup means. </w:t>
      </w:r>
      <w:r>
        <w:t xml:space="preserve">The files should have household id and household level value of each variable. NAs will be dropped </w:t>
      </w:r>
      <w:r w:rsidR="00CF16AD">
        <w:t>if a variable is used.</w:t>
      </w:r>
      <w:r>
        <w:t xml:space="preserve"> </w:t>
      </w:r>
      <w:r w:rsidR="005F7B1F">
        <w:t>Updating this file is only necessary if new “groups” variables were added to the datasets.</w:t>
      </w:r>
    </w:p>
    <w:p w14:paraId="643047DE" w14:textId="77777777" w:rsidR="00CF16AD" w:rsidRDefault="00CF16AD" w:rsidP="00CF16AD">
      <w:r w:rsidRPr="00EE04FA">
        <w:rPr>
          <w:noProof/>
        </w:rPr>
        <w:drawing>
          <wp:inline distT="0" distB="0" distL="0" distR="0" wp14:anchorId="156702FF" wp14:editId="2BEAB3D9">
            <wp:extent cx="5943600" cy="543560"/>
            <wp:effectExtent l="0" t="0" r="0" b="0"/>
            <wp:docPr id="204494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49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05F6" w14:textId="77777777" w:rsidR="00CF16AD" w:rsidRDefault="00CF16AD" w:rsidP="00CF16AD">
      <w:pPr>
        <w:pStyle w:val="ListParagraph"/>
        <w:numPr>
          <w:ilvl w:val="0"/>
          <w:numId w:val="8"/>
        </w:numPr>
      </w:pPr>
      <w:proofErr w:type="spellStart"/>
      <w:r>
        <w:t>shortName</w:t>
      </w:r>
      <w:proofErr w:type="spellEnd"/>
      <w:r>
        <w:t xml:space="preserve"> (String): As above, matches the name of the variable in the data </w:t>
      </w:r>
      <w:proofErr w:type="gramStart"/>
      <w:r>
        <w:t>file</w:t>
      </w:r>
      <w:proofErr w:type="gramEnd"/>
    </w:p>
    <w:p w14:paraId="1EEB80F1" w14:textId="77777777" w:rsidR="00CF16AD" w:rsidRDefault="00CF16AD" w:rsidP="00CF16AD">
      <w:pPr>
        <w:pStyle w:val="ListParagraph"/>
        <w:numPr>
          <w:ilvl w:val="0"/>
          <w:numId w:val="8"/>
        </w:numPr>
      </w:pPr>
      <w:proofErr w:type="spellStart"/>
      <w:r>
        <w:t>longName</w:t>
      </w:r>
      <w:proofErr w:type="spellEnd"/>
      <w:r>
        <w:t xml:space="preserve"> (String): Used for identifying the variable in interface </w:t>
      </w:r>
      <w:proofErr w:type="gramStart"/>
      <w:r>
        <w:t>elements</w:t>
      </w:r>
      <w:proofErr w:type="gramEnd"/>
    </w:p>
    <w:p w14:paraId="4BBE5778" w14:textId="77777777" w:rsidR="00CF16AD" w:rsidRDefault="00CF16AD" w:rsidP="00CF16AD">
      <w:pPr>
        <w:pStyle w:val="ListParagraph"/>
        <w:numPr>
          <w:ilvl w:val="0"/>
          <w:numId w:val="8"/>
        </w:numPr>
      </w:pPr>
      <w:proofErr w:type="spellStart"/>
      <w:r>
        <w:lastRenderedPageBreak/>
        <w:t>labelName</w:t>
      </w:r>
      <w:proofErr w:type="spellEnd"/>
      <w:r>
        <w:t xml:space="preserve"> (String): Used for identifying the variable in graphs/charts; compaction is generally a good </w:t>
      </w:r>
      <w:proofErr w:type="gramStart"/>
      <w:r>
        <w:t>idea</w:t>
      </w:r>
      <w:proofErr w:type="gramEnd"/>
      <w:r>
        <w:t xml:space="preserve"> so the legend doesn’t take up too much space</w:t>
      </w:r>
    </w:p>
    <w:p w14:paraId="602E8017" w14:textId="77777777" w:rsidR="00CF16AD" w:rsidRDefault="00CF16AD" w:rsidP="00CF16AD">
      <w:pPr>
        <w:pStyle w:val="ListParagraph"/>
        <w:numPr>
          <w:ilvl w:val="0"/>
          <w:numId w:val="8"/>
        </w:numPr>
      </w:pPr>
      <w:r>
        <w:t>Levels (String): Comma-separated list of the numerical or categorical levels of the variable</w:t>
      </w:r>
    </w:p>
    <w:p w14:paraId="72F4E8F7" w14:textId="77777777" w:rsidR="00CF16AD" w:rsidRDefault="00CF16AD" w:rsidP="00CF16AD">
      <w:pPr>
        <w:pStyle w:val="ListParagraph"/>
        <w:numPr>
          <w:ilvl w:val="0"/>
          <w:numId w:val="8"/>
        </w:numPr>
      </w:pPr>
      <w:r>
        <w:t xml:space="preserve">Labels (String): Comma-separated list of the labels belonging to each of the </w:t>
      </w:r>
      <w:proofErr w:type="gramStart"/>
      <w:r>
        <w:t>levels</w:t>
      </w:r>
      <w:proofErr w:type="gramEnd"/>
    </w:p>
    <w:p w14:paraId="389A3A2D" w14:textId="77777777" w:rsidR="00CF16AD" w:rsidRDefault="00CF16AD" w:rsidP="00CF16AD">
      <w:pPr>
        <w:pStyle w:val="ListParagraph"/>
        <w:numPr>
          <w:ilvl w:val="0"/>
          <w:numId w:val="8"/>
        </w:numPr>
      </w:pPr>
      <w:r>
        <w:t xml:space="preserve">Definition (String): </w:t>
      </w:r>
      <w:r>
        <w:rPr>
          <w:i/>
          <w:iCs/>
        </w:rPr>
        <w:t>Not currently used</w:t>
      </w:r>
      <w:r>
        <w:t xml:space="preserve">. In the original version of </w:t>
      </w:r>
      <w:proofErr w:type="spellStart"/>
      <w:r>
        <w:t>AgQuery</w:t>
      </w:r>
      <w:proofErr w:type="spellEnd"/>
      <w:r>
        <w:t xml:space="preserve">+, this information was displayed in a metadata table to help people interpret downloaded outputs where the variable labels would not carry over to the downloaded </w:t>
      </w:r>
      <w:proofErr w:type="gramStart"/>
      <w:r>
        <w:t>file</w:t>
      </w:r>
      <w:proofErr w:type="gramEnd"/>
    </w:p>
    <w:p w14:paraId="0FB6A04D" w14:textId="77777777" w:rsidR="00CF16AD" w:rsidRDefault="00CF16AD" w:rsidP="00CF16AD">
      <w:pPr>
        <w:pStyle w:val="ListParagraph"/>
        <w:numPr>
          <w:ilvl w:val="0"/>
          <w:numId w:val="8"/>
        </w:numPr>
      </w:pPr>
      <w:r>
        <w:t xml:space="preserve">Level (String): A category label that can be used to separate variables into separate groups on the interface – in the original version of </w:t>
      </w:r>
      <w:proofErr w:type="spellStart"/>
      <w:r>
        <w:t>AgQuery</w:t>
      </w:r>
      <w:proofErr w:type="spellEnd"/>
      <w:r>
        <w:t xml:space="preserve">+ this was “Household” and “Within-Household.” It is also used to identify a standalone file (in </w:t>
      </w:r>
      <w:r>
        <w:rPr>
          <w:b/>
          <w:bCs/>
        </w:rPr>
        <w:t>Data</w:t>
      </w:r>
      <w:r>
        <w:t xml:space="preserve">) with the variable information to avoid redundancy in the data files. </w:t>
      </w:r>
    </w:p>
    <w:p w14:paraId="306BA9A6" w14:textId="0E9AE02B" w:rsidR="00CF16AD" w:rsidRDefault="00CF16AD" w:rsidP="00CF16AD">
      <w:pPr>
        <w:pStyle w:val="ListParagraph"/>
        <w:numPr>
          <w:ilvl w:val="0"/>
          <w:numId w:val="9"/>
        </w:numPr>
      </w:pPr>
      <w:proofErr w:type="spellStart"/>
      <w:r>
        <w:t>Level_lab</w:t>
      </w:r>
      <w:proofErr w:type="spellEnd"/>
      <w:r>
        <w:t xml:space="preserve"> (String): The label applied to the group on the user </w:t>
      </w:r>
      <w:proofErr w:type="gramStart"/>
      <w:r>
        <w:t>interface</w:t>
      </w:r>
      <w:proofErr w:type="gramEnd"/>
    </w:p>
    <w:p w14:paraId="7A94EA65" w14:textId="77777777" w:rsidR="005F7B1F" w:rsidRDefault="005F7B1F" w:rsidP="005F7B1F">
      <w:pPr>
        <w:pStyle w:val="ListParagraph"/>
      </w:pPr>
    </w:p>
    <w:p w14:paraId="01541531" w14:textId="77777777" w:rsidR="00187689" w:rsidRPr="00187689" w:rsidRDefault="00187689" w:rsidP="005F7B1F">
      <w:pPr>
        <w:pStyle w:val="ListParagraph"/>
        <w:numPr>
          <w:ilvl w:val="0"/>
          <w:numId w:val="6"/>
        </w:numPr>
      </w:pPr>
      <w:r>
        <w:rPr>
          <w:b/>
          <w:bCs/>
        </w:rPr>
        <w:t>(When adding new or modifying existing policy priorities): Edit Update/Policy_Pathways.csv</w:t>
      </w:r>
    </w:p>
    <w:p w14:paraId="31CF50C4" w14:textId="3FDA55BE" w:rsidR="00187689" w:rsidRDefault="00187689" w:rsidP="00187689">
      <w:pPr>
        <w:pStyle w:val="ListParagraph"/>
        <w:rPr>
          <w:i/>
          <w:iCs/>
        </w:rPr>
      </w:pPr>
      <w:r w:rsidRPr="00187689">
        <w:t>The policy pathways files (</w:t>
      </w:r>
      <w:proofErr w:type="spellStart"/>
      <w:r w:rsidRPr="00187689">
        <w:t>Policy_Pathways</w:t>
      </w:r>
      <w:proofErr w:type="spellEnd"/>
      <w:r w:rsidRPr="00187689">
        <w:t xml:space="preserve"> and </w:t>
      </w:r>
      <w:proofErr w:type="spellStart"/>
      <w:r w:rsidRPr="00187689">
        <w:t>Policy_Link</w:t>
      </w:r>
      <w:proofErr w:type="spellEnd"/>
      <w:r w:rsidRPr="00187689">
        <w:t>, below) are a means to reduce the number of indicators on display at a given time to conserve system resources and avoid overwhelming the user.</w:t>
      </w:r>
      <w:r>
        <w:t xml:space="preserve"> </w:t>
      </w:r>
      <w:proofErr w:type="spellStart"/>
      <w:r>
        <w:t>Policy_Pathways</w:t>
      </w:r>
      <w:proofErr w:type="spellEnd"/>
      <w:r>
        <w:t xml:space="preserve"> also governs the data table on the “Pathways” tab</w:t>
      </w:r>
      <w:r>
        <w:rPr>
          <w:i/>
          <w:iCs/>
        </w:rPr>
        <w:t xml:space="preserve">. </w:t>
      </w:r>
      <w:r>
        <w:t>For our purposes here, a “pathway” is a potential lever or set of related levers that the government might use to address a headline goal, such as increasing consumption of domestically produced chicken.</w:t>
      </w:r>
      <w:r>
        <w:br/>
      </w:r>
      <w:r w:rsidRPr="00187689">
        <w:drawing>
          <wp:inline distT="0" distB="0" distL="0" distR="0" wp14:anchorId="59F59749" wp14:editId="7F394B13">
            <wp:extent cx="5943600" cy="1352550"/>
            <wp:effectExtent l="0" t="0" r="0" b="0"/>
            <wp:docPr id="472389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893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0372" w14:textId="3C2AEACE" w:rsidR="00187689" w:rsidRDefault="00187689" w:rsidP="00187689">
      <w:pPr>
        <w:pStyle w:val="ListParagraph"/>
        <w:numPr>
          <w:ilvl w:val="0"/>
          <w:numId w:val="9"/>
        </w:numPr>
      </w:pPr>
      <w:proofErr w:type="spellStart"/>
      <w:r>
        <w:t>Goal.Id</w:t>
      </w:r>
      <w:proofErr w:type="spellEnd"/>
      <w:r>
        <w:t xml:space="preserve"> (Integer): A numeric ID used in </w:t>
      </w:r>
      <w:proofErr w:type="spellStart"/>
      <w:r>
        <w:t>Policy_Link</w:t>
      </w:r>
      <w:proofErr w:type="spellEnd"/>
      <w:r>
        <w:t xml:space="preserve"> to link goals to </w:t>
      </w:r>
      <w:proofErr w:type="gramStart"/>
      <w:r>
        <w:t>indicators</w:t>
      </w:r>
      <w:proofErr w:type="gramEnd"/>
    </w:p>
    <w:p w14:paraId="7B89DC78" w14:textId="7DB8512F" w:rsidR="00187689" w:rsidRDefault="00187689" w:rsidP="00187689">
      <w:pPr>
        <w:pStyle w:val="ListParagraph"/>
        <w:numPr>
          <w:ilvl w:val="0"/>
          <w:numId w:val="9"/>
        </w:numPr>
      </w:pPr>
      <w:proofErr w:type="spellStart"/>
      <w:r>
        <w:t>Source.Type</w:t>
      </w:r>
      <w:proofErr w:type="spellEnd"/>
      <w:r>
        <w:t xml:space="preserve"> (String): The type of publication where the policy pathway was </w:t>
      </w:r>
      <w:proofErr w:type="gramStart"/>
      <w:r>
        <w:t>found</w:t>
      </w:r>
      <w:proofErr w:type="gramEnd"/>
    </w:p>
    <w:p w14:paraId="7E0177F2" w14:textId="54278763" w:rsidR="00187689" w:rsidRDefault="00187689" w:rsidP="00187689">
      <w:pPr>
        <w:pStyle w:val="ListParagraph"/>
        <w:numPr>
          <w:ilvl w:val="0"/>
          <w:numId w:val="9"/>
        </w:numPr>
      </w:pPr>
      <w:proofErr w:type="spellStart"/>
      <w:r>
        <w:t>Short.Goal</w:t>
      </w:r>
      <w:proofErr w:type="spellEnd"/>
      <w:r>
        <w:t xml:space="preserve"> (String): The abbreviated headline goal; it should correspond with </w:t>
      </w:r>
      <w:proofErr w:type="spellStart"/>
      <w:r>
        <w:t>indicatorCategory</w:t>
      </w:r>
      <w:proofErr w:type="spellEnd"/>
      <w:r>
        <w:t xml:space="preserve"> in </w:t>
      </w:r>
      <w:proofErr w:type="gramStart"/>
      <w:r>
        <w:t>indicators.xlsx</w:t>
      </w:r>
      <w:proofErr w:type="gramEnd"/>
    </w:p>
    <w:p w14:paraId="0E40F2FA" w14:textId="0E33CDD3" w:rsidR="00187689" w:rsidRDefault="00187689" w:rsidP="00187689">
      <w:pPr>
        <w:pStyle w:val="ListParagraph"/>
        <w:numPr>
          <w:ilvl w:val="0"/>
          <w:numId w:val="9"/>
        </w:numPr>
      </w:pPr>
      <w:proofErr w:type="spellStart"/>
      <w:r>
        <w:t>Policy.Goal</w:t>
      </w:r>
      <w:proofErr w:type="spellEnd"/>
      <w:r>
        <w:t xml:space="preserve"> (String): The full headline goal</w:t>
      </w:r>
    </w:p>
    <w:p w14:paraId="68E9054D" w14:textId="6D7FED45" w:rsidR="00187689" w:rsidRDefault="00187689" w:rsidP="00187689">
      <w:pPr>
        <w:pStyle w:val="ListParagraph"/>
        <w:numPr>
          <w:ilvl w:val="0"/>
          <w:numId w:val="9"/>
        </w:numPr>
      </w:pPr>
      <w:r>
        <w:t>Pathway (String): A short description of the policy pathway</w:t>
      </w:r>
    </w:p>
    <w:p w14:paraId="26BDC610" w14:textId="6324AF14" w:rsidR="00187689" w:rsidRDefault="00187689" w:rsidP="00187689">
      <w:pPr>
        <w:pStyle w:val="ListParagraph"/>
        <w:numPr>
          <w:ilvl w:val="0"/>
          <w:numId w:val="9"/>
        </w:numPr>
      </w:pPr>
      <w:proofErr w:type="spellStart"/>
      <w:r>
        <w:t>Policy.Instrument</w:t>
      </w:r>
      <w:proofErr w:type="spellEnd"/>
      <w:r>
        <w:t xml:space="preserve"> (String): A category indicating the type of policy described in </w:t>
      </w:r>
      <w:proofErr w:type="gramStart"/>
      <w:r>
        <w:t>Pathway</w:t>
      </w:r>
      <w:proofErr w:type="gramEnd"/>
    </w:p>
    <w:p w14:paraId="49D224EB" w14:textId="258C3EC9" w:rsidR="00187689" w:rsidRPr="00187689" w:rsidRDefault="00187689" w:rsidP="00187689">
      <w:pPr>
        <w:pStyle w:val="ListParagraph"/>
        <w:numPr>
          <w:ilvl w:val="0"/>
          <w:numId w:val="9"/>
        </w:numPr>
      </w:pPr>
      <w:proofErr w:type="spellStart"/>
      <w:r>
        <w:t>Supply.Demand</w:t>
      </w:r>
      <w:proofErr w:type="spellEnd"/>
      <w:r>
        <w:t xml:space="preserve"> (String): Whether the pathway is supply-side or demand-</w:t>
      </w:r>
      <w:proofErr w:type="gramStart"/>
      <w:r>
        <w:t>side</w:t>
      </w:r>
      <w:proofErr w:type="gramEnd"/>
    </w:p>
    <w:p w14:paraId="65652390" w14:textId="7CAC8415" w:rsidR="005F7B1F" w:rsidRDefault="00187689" w:rsidP="005F7B1F">
      <w:pPr>
        <w:pStyle w:val="ListParagraph"/>
        <w:numPr>
          <w:ilvl w:val="0"/>
          <w:numId w:val="6"/>
        </w:numPr>
      </w:pPr>
      <w:r>
        <w:t xml:space="preserve"> </w:t>
      </w:r>
    </w:p>
    <w:p w14:paraId="71991A64" w14:textId="77777777" w:rsidR="005F7B1F" w:rsidRDefault="005F7B1F" w:rsidP="005F7B1F"/>
    <w:p w14:paraId="0482592E" w14:textId="28D7D3C1" w:rsidR="005F7B1F" w:rsidRDefault="005F7B1F" w:rsidP="005F7B1F">
      <w:r>
        <w:t>Matrix Explanation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1496"/>
        <w:gridCol w:w="1664"/>
        <w:gridCol w:w="1508"/>
        <w:gridCol w:w="1290"/>
        <w:gridCol w:w="1089"/>
      </w:tblGrid>
      <w:tr w:rsidR="005F7B1F" w14:paraId="28CE4FEE" w14:textId="665DEFC7" w:rsidTr="005F7B1F">
        <w:tc>
          <w:tcPr>
            <w:tcW w:w="2303" w:type="dxa"/>
          </w:tcPr>
          <w:p w14:paraId="7C7B3501" w14:textId="77777777" w:rsidR="005F7B1F" w:rsidRDefault="005F7B1F" w:rsidP="005F7B1F"/>
        </w:tc>
        <w:tc>
          <w:tcPr>
            <w:tcW w:w="1496" w:type="dxa"/>
          </w:tcPr>
          <w:p w14:paraId="1DAD7056" w14:textId="73DF1172" w:rsidR="005F7B1F" w:rsidRDefault="005F7B1F" w:rsidP="005F7B1F">
            <w:r>
              <w:t>Add data from new survey</w:t>
            </w:r>
          </w:p>
        </w:tc>
        <w:tc>
          <w:tcPr>
            <w:tcW w:w="1664" w:type="dxa"/>
          </w:tcPr>
          <w:p w14:paraId="21BB4838" w14:textId="2E366E1D" w:rsidR="005F7B1F" w:rsidRDefault="005F7B1F" w:rsidP="005F7B1F">
            <w:r>
              <w:t>Add new indicators from new or existing surveys</w:t>
            </w:r>
          </w:p>
        </w:tc>
        <w:tc>
          <w:tcPr>
            <w:tcW w:w="1508" w:type="dxa"/>
          </w:tcPr>
          <w:p w14:paraId="6D81C475" w14:textId="640FFE79" w:rsidR="005F7B1F" w:rsidRDefault="005F7B1F" w:rsidP="005F7B1F">
            <w:r>
              <w:t>Modify which variables are available to users</w:t>
            </w:r>
          </w:p>
        </w:tc>
        <w:tc>
          <w:tcPr>
            <w:tcW w:w="1290" w:type="dxa"/>
          </w:tcPr>
          <w:p w14:paraId="0BD37DA4" w14:textId="63DD8349" w:rsidR="005F7B1F" w:rsidRDefault="005F7B1F" w:rsidP="005F7B1F">
            <w:r>
              <w:t>Modify the policy themes</w:t>
            </w:r>
          </w:p>
        </w:tc>
        <w:tc>
          <w:tcPr>
            <w:tcW w:w="1089" w:type="dxa"/>
          </w:tcPr>
          <w:p w14:paraId="3CC4917D" w14:textId="3628531B" w:rsidR="005F7B1F" w:rsidRDefault="005F7B1F" w:rsidP="005F7B1F">
            <w:r>
              <w:t>Modify the policy pathways</w:t>
            </w:r>
          </w:p>
        </w:tc>
      </w:tr>
      <w:tr w:rsidR="005F7B1F" w14:paraId="10B8C78E" w14:textId="5C0E4D56" w:rsidTr="005F7B1F">
        <w:tc>
          <w:tcPr>
            <w:tcW w:w="2303" w:type="dxa"/>
          </w:tcPr>
          <w:p w14:paraId="0DDD3129" w14:textId="7D4A5B35" w:rsidR="005F7B1F" w:rsidRDefault="005F7B1F" w:rsidP="005F7B1F">
            <w:r>
              <w:lastRenderedPageBreak/>
              <w:t>Add/edit data files</w:t>
            </w:r>
          </w:p>
        </w:tc>
        <w:tc>
          <w:tcPr>
            <w:tcW w:w="1496" w:type="dxa"/>
          </w:tcPr>
          <w:p w14:paraId="79B3A13F" w14:textId="77777777" w:rsidR="005F7B1F" w:rsidRDefault="005F7B1F" w:rsidP="005F7B1F"/>
        </w:tc>
        <w:tc>
          <w:tcPr>
            <w:tcW w:w="1664" w:type="dxa"/>
          </w:tcPr>
          <w:p w14:paraId="7B3DE64B" w14:textId="77777777" w:rsidR="005F7B1F" w:rsidRDefault="005F7B1F" w:rsidP="005F7B1F"/>
        </w:tc>
        <w:tc>
          <w:tcPr>
            <w:tcW w:w="1508" w:type="dxa"/>
          </w:tcPr>
          <w:p w14:paraId="0159C544" w14:textId="77777777" w:rsidR="005F7B1F" w:rsidRDefault="005F7B1F" w:rsidP="005F7B1F"/>
        </w:tc>
        <w:tc>
          <w:tcPr>
            <w:tcW w:w="1290" w:type="dxa"/>
          </w:tcPr>
          <w:p w14:paraId="2F0F7F8B" w14:textId="77777777" w:rsidR="005F7B1F" w:rsidRDefault="005F7B1F" w:rsidP="005F7B1F"/>
        </w:tc>
        <w:tc>
          <w:tcPr>
            <w:tcW w:w="1089" w:type="dxa"/>
          </w:tcPr>
          <w:p w14:paraId="2BB9CFC8" w14:textId="77777777" w:rsidR="005F7B1F" w:rsidRDefault="005F7B1F" w:rsidP="005F7B1F"/>
        </w:tc>
      </w:tr>
      <w:tr w:rsidR="005F7B1F" w14:paraId="3B8E3D9A" w14:textId="126508F2" w:rsidTr="005F7B1F">
        <w:tc>
          <w:tcPr>
            <w:tcW w:w="2303" w:type="dxa"/>
          </w:tcPr>
          <w:p w14:paraId="1BCC5340" w14:textId="5038E54B" w:rsidR="005F7B1F" w:rsidRDefault="005F7B1F" w:rsidP="005F7B1F">
            <w:r>
              <w:t xml:space="preserve">Update </w:t>
            </w:r>
            <w:proofErr w:type="spellStart"/>
            <w:r>
              <w:t>instrument_</w:t>
            </w:r>
            <w:proofErr w:type="gramStart"/>
            <w:r>
              <w:t>list.xlxs</w:t>
            </w:r>
            <w:proofErr w:type="spellEnd"/>
            <w:proofErr w:type="gramEnd"/>
          </w:p>
        </w:tc>
        <w:tc>
          <w:tcPr>
            <w:tcW w:w="1496" w:type="dxa"/>
          </w:tcPr>
          <w:p w14:paraId="08A28EBA" w14:textId="77777777" w:rsidR="005F7B1F" w:rsidRDefault="005F7B1F" w:rsidP="005F7B1F"/>
        </w:tc>
        <w:tc>
          <w:tcPr>
            <w:tcW w:w="1664" w:type="dxa"/>
          </w:tcPr>
          <w:p w14:paraId="5F4A2C31" w14:textId="77777777" w:rsidR="005F7B1F" w:rsidRDefault="005F7B1F" w:rsidP="005F7B1F"/>
        </w:tc>
        <w:tc>
          <w:tcPr>
            <w:tcW w:w="1508" w:type="dxa"/>
          </w:tcPr>
          <w:p w14:paraId="26F2F0DD" w14:textId="77777777" w:rsidR="005F7B1F" w:rsidRDefault="005F7B1F" w:rsidP="005F7B1F"/>
        </w:tc>
        <w:tc>
          <w:tcPr>
            <w:tcW w:w="1290" w:type="dxa"/>
          </w:tcPr>
          <w:p w14:paraId="1AE10460" w14:textId="77777777" w:rsidR="005F7B1F" w:rsidRDefault="005F7B1F" w:rsidP="005F7B1F"/>
        </w:tc>
        <w:tc>
          <w:tcPr>
            <w:tcW w:w="1089" w:type="dxa"/>
          </w:tcPr>
          <w:p w14:paraId="4914E4DC" w14:textId="77777777" w:rsidR="005F7B1F" w:rsidRDefault="005F7B1F" w:rsidP="005F7B1F"/>
        </w:tc>
      </w:tr>
      <w:tr w:rsidR="005F7B1F" w14:paraId="5E17BF2F" w14:textId="419CA78F" w:rsidTr="005F7B1F">
        <w:tc>
          <w:tcPr>
            <w:tcW w:w="2303" w:type="dxa"/>
          </w:tcPr>
          <w:p w14:paraId="5ADE02B4" w14:textId="1A864AF9" w:rsidR="005F7B1F" w:rsidRDefault="005F7B1F" w:rsidP="005F7B1F">
            <w:r>
              <w:t>Update grouping_vars.xlsx</w:t>
            </w:r>
          </w:p>
        </w:tc>
        <w:tc>
          <w:tcPr>
            <w:tcW w:w="1496" w:type="dxa"/>
          </w:tcPr>
          <w:p w14:paraId="121A915B" w14:textId="77777777" w:rsidR="005F7B1F" w:rsidRDefault="005F7B1F" w:rsidP="005F7B1F"/>
        </w:tc>
        <w:tc>
          <w:tcPr>
            <w:tcW w:w="1664" w:type="dxa"/>
          </w:tcPr>
          <w:p w14:paraId="2046FAFF" w14:textId="77777777" w:rsidR="005F7B1F" w:rsidRDefault="005F7B1F" w:rsidP="005F7B1F"/>
        </w:tc>
        <w:tc>
          <w:tcPr>
            <w:tcW w:w="1508" w:type="dxa"/>
          </w:tcPr>
          <w:p w14:paraId="4A5E4982" w14:textId="77777777" w:rsidR="005F7B1F" w:rsidRDefault="005F7B1F" w:rsidP="005F7B1F"/>
        </w:tc>
        <w:tc>
          <w:tcPr>
            <w:tcW w:w="1290" w:type="dxa"/>
          </w:tcPr>
          <w:p w14:paraId="300099EE" w14:textId="77777777" w:rsidR="005F7B1F" w:rsidRDefault="005F7B1F" w:rsidP="005F7B1F"/>
        </w:tc>
        <w:tc>
          <w:tcPr>
            <w:tcW w:w="1089" w:type="dxa"/>
          </w:tcPr>
          <w:p w14:paraId="31D4F869" w14:textId="77777777" w:rsidR="005F7B1F" w:rsidRDefault="005F7B1F" w:rsidP="005F7B1F"/>
        </w:tc>
      </w:tr>
      <w:tr w:rsidR="005F7B1F" w14:paraId="58470B80" w14:textId="524A975B" w:rsidTr="005F7B1F">
        <w:tc>
          <w:tcPr>
            <w:tcW w:w="2303" w:type="dxa"/>
          </w:tcPr>
          <w:p w14:paraId="500E50E7" w14:textId="33B785D3" w:rsidR="005F7B1F" w:rsidRDefault="005F7B1F" w:rsidP="005F7B1F">
            <w:r>
              <w:t>Update Policy_Pathways.csv</w:t>
            </w:r>
          </w:p>
        </w:tc>
        <w:tc>
          <w:tcPr>
            <w:tcW w:w="1496" w:type="dxa"/>
          </w:tcPr>
          <w:p w14:paraId="50429E29" w14:textId="77777777" w:rsidR="005F7B1F" w:rsidRDefault="005F7B1F" w:rsidP="005F7B1F"/>
        </w:tc>
        <w:tc>
          <w:tcPr>
            <w:tcW w:w="1664" w:type="dxa"/>
          </w:tcPr>
          <w:p w14:paraId="26BA687B" w14:textId="77777777" w:rsidR="005F7B1F" w:rsidRDefault="005F7B1F" w:rsidP="005F7B1F"/>
        </w:tc>
        <w:tc>
          <w:tcPr>
            <w:tcW w:w="1508" w:type="dxa"/>
          </w:tcPr>
          <w:p w14:paraId="39BA4B74" w14:textId="77777777" w:rsidR="005F7B1F" w:rsidRDefault="005F7B1F" w:rsidP="005F7B1F"/>
        </w:tc>
        <w:tc>
          <w:tcPr>
            <w:tcW w:w="1290" w:type="dxa"/>
          </w:tcPr>
          <w:p w14:paraId="765BE08C" w14:textId="77777777" w:rsidR="005F7B1F" w:rsidRDefault="005F7B1F" w:rsidP="005F7B1F"/>
        </w:tc>
        <w:tc>
          <w:tcPr>
            <w:tcW w:w="1089" w:type="dxa"/>
          </w:tcPr>
          <w:p w14:paraId="129D5547" w14:textId="77777777" w:rsidR="005F7B1F" w:rsidRDefault="005F7B1F" w:rsidP="005F7B1F"/>
        </w:tc>
      </w:tr>
      <w:tr w:rsidR="005F7B1F" w14:paraId="71A6585F" w14:textId="38DD48C1" w:rsidTr="005F7B1F">
        <w:tc>
          <w:tcPr>
            <w:tcW w:w="2303" w:type="dxa"/>
          </w:tcPr>
          <w:p w14:paraId="38911F04" w14:textId="3F0EFC7B" w:rsidR="005F7B1F" w:rsidRDefault="005F7B1F" w:rsidP="005F7B1F">
            <w:r>
              <w:t>Update Policy_Link.csv</w:t>
            </w:r>
          </w:p>
        </w:tc>
        <w:tc>
          <w:tcPr>
            <w:tcW w:w="1496" w:type="dxa"/>
          </w:tcPr>
          <w:p w14:paraId="325FBD69" w14:textId="77777777" w:rsidR="005F7B1F" w:rsidRDefault="005F7B1F" w:rsidP="005F7B1F"/>
        </w:tc>
        <w:tc>
          <w:tcPr>
            <w:tcW w:w="1664" w:type="dxa"/>
          </w:tcPr>
          <w:p w14:paraId="1DF240A2" w14:textId="77777777" w:rsidR="005F7B1F" w:rsidRDefault="005F7B1F" w:rsidP="005F7B1F"/>
        </w:tc>
        <w:tc>
          <w:tcPr>
            <w:tcW w:w="1508" w:type="dxa"/>
          </w:tcPr>
          <w:p w14:paraId="3FC26CD4" w14:textId="77777777" w:rsidR="005F7B1F" w:rsidRDefault="005F7B1F" w:rsidP="005F7B1F"/>
        </w:tc>
        <w:tc>
          <w:tcPr>
            <w:tcW w:w="1290" w:type="dxa"/>
          </w:tcPr>
          <w:p w14:paraId="65545950" w14:textId="77777777" w:rsidR="005F7B1F" w:rsidRDefault="005F7B1F" w:rsidP="005F7B1F"/>
        </w:tc>
        <w:tc>
          <w:tcPr>
            <w:tcW w:w="1089" w:type="dxa"/>
          </w:tcPr>
          <w:p w14:paraId="1C3CE44A" w14:textId="77777777" w:rsidR="005F7B1F" w:rsidRDefault="005F7B1F" w:rsidP="005F7B1F"/>
        </w:tc>
      </w:tr>
      <w:tr w:rsidR="005F7B1F" w14:paraId="6F397E22" w14:textId="670EABFE" w:rsidTr="005F7B1F">
        <w:tc>
          <w:tcPr>
            <w:tcW w:w="2303" w:type="dxa"/>
          </w:tcPr>
          <w:p w14:paraId="15992655" w14:textId="77777777" w:rsidR="005F7B1F" w:rsidRDefault="005F7B1F" w:rsidP="005F7B1F"/>
        </w:tc>
        <w:tc>
          <w:tcPr>
            <w:tcW w:w="1496" w:type="dxa"/>
          </w:tcPr>
          <w:p w14:paraId="2F603B0F" w14:textId="77777777" w:rsidR="005F7B1F" w:rsidRDefault="005F7B1F" w:rsidP="005F7B1F"/>
        </w:tc>
        <w:tc>
          <w:tcPr>
            <w:tcW w:w="1664" w:type="dxa"/>
          </w:tcPr>
          <w:p w14:paraId="19C6806C" w14:textId="77777777" w:rsidR="005F7B1F" w:rsidRDefault="005F7B1F" w:rsidP="005F7B1F"/>
        </w:tc>
        <w:tc>
          <w:tcPr>
            <w:tcW w:w="1508" w:type="dxa"/>
          </w:tcPr>
          <w:p w14:paraId="446B3590" w14:textId="77777777" w:rsidR="005F7B1F" w:rsidRDefault="005F7B1F" w:rsidP="005F7B1F"/>
        </w:tc>
        <w:tc>
          <w:tcPr>
            <w:tcW w:w="1290" w:type="dxa"/>
          </w:tcPr>
          <w:p w14:paraId="608E9B94" w14:textId="77777777" w:rsidR="005F7B1F" w:rsidRDefault="005F7B1F" w:rsidP="005F7B1F"/>
        </w:tc>
        <w:tc>
          <w:tcPr>
            <w:tcW w:w="1089" w:type="dxa"/>
          </w:tcPr>
          <w:p w14:paraId="38E9298F" w14:textId="77777777" w:rsidR="005F7B1F" w:rsidRDefault="005F7B1F" w:rsidP="005F7B1F"/>
        </w:tc>
      </w:tr>
    </w:tbl>
    <w:p w14:paraId="7E76653C" w14:textId="77777777" w:rsidR="005F7B1F" w:rsidRDefault="005F7B1F" w:rsidP="005F7B1F"/>
    <w:p w14:paraId="35D934A3" w14:textId="77777777" w:rsidR="005F7B1F" w:rsidRDefault="005F7B1F" w:rsidP="005F7B1F"/>
    <w:p w14:paraId="53BD63D7" w14:textId="77777777" w:rsidR="005F7B1F" w:rsidRDefault="005F7B1F" w:rsidP="005F7B1F"/>
    <w:p w14:paraId="528C74A6" w14:textId="77777777" w:rsidR="00AF105E" w:rsidRDefault="00AF105E" w:rsidP="00AF105E"/>
    <w:p w14:paraId="73E96387" w14:textId="5A643B09" w:rsidR="003A642B" w:rsidRDefault="00AF105E" w:rsidP="00E313ED">
      <w:r>
        <w:rPr>
          <w:b/>
          <w:bCs/>
        </w:rPr>
        <w:t>Instrument_list.xlsx</w:t>
      </w:r>
      <w:r>
        <w:t xml:space="preserve">: </w:t>
      </w:r>
    </w:p>
    <w:p w14:paraId="66EC0553" w14:textId="36249435" w:rsidR="003A642B" w:rsidRDefault="003A642B" w:rsidP="0009353C">
      <w:pPr>
        <w:rPr>
          <w:b/>
          <w:bCs/>
        </w:rPr>
      </w:pPr>
      <w:r>
        <w:rPr>
          <w:b/>
          <w:bCs/>
        </w:rPr>
        <w:t>How To Update</w:t>
      </w:r>
    </w:p>
    <w:p w14:paraId="48EF27F6" w14:textId="77777777" w:rsidR="003A642B" w:rsidRDefault="003A642B" w:rsidP="0009353C">
      <w:pPr>
        <w:pStyle w:val="ListParagraph"/>
        <w:numPr>
          <w:ilvl w:val="0"/>
          <w:numId w:val="5"/>
        </w:numPr>
        <w:ind w:left="720"/>
      </w:pPr>
      <w:r>
        <w:t xml:space="preserve">Updating Data: Replace the existing .csv file in </w:t>
      </w:r>
      <w:r w:rsidRPr="0009353C">
        <w:rPr>
          <w:b/>
          <w:bCs/>
        </w:rPr>
        <w:t>Data</w:t>
      </w:r>
      <w:r>
        <w:t xml:space="preserve"> with the new </w:t>
      </w:r>
      <w:proofErr w:type="gramStart"/>
      <w:r>
        <w:t>one</w:t>
      </w:r>
      <w:proofErr w:type="gramEnd"/>
    </w:p>
    <w:p w14:paraId="1AE4F761" w14:textId="5DC7D593" w:rsidR="003A642B" w:rsidRDefault="003A642B" w:rsidP="0009353C">
      <w:pPr>
        <w:pStyle w:val="ListParagraph"/>
        <w:numPr>
          <w:ilvl w:val="0"/>
          <w:numId w:val="5"/>
        </w:numPr>
        <w:ind w:left="720"/>
      </w:pPr>
      <w:r>
        <w:t xml:space="preserve">Adding Data and/or indicators: Add new .csv files in </w:t>
      </w:r>
      <w:r w:rsidRPr="0009353C">
        <w:rPr>
          <w:b/>
          <w:bCs/>
        </w:rPr>
        <w:t>Data</w:t>
      </w:r>
      <w:r>
        <w:t xml:space="preserve"> and update </w:t>
      </w:r>
      <w:r w:rsidRPr="0009353C">
        <w:rPr>
          <w:b/>
          <w:bCs/>
        </w:rPr>
        <w:t>indicators_list.xlsx</w:t>
      </w:r>
      <w:r>
        <w:t xml:space="preserve"> in </w:t>
      </w:r>
      <w:r w:rsidRPr="0009353C">
        <w:rPr>
          <w:b/>
          <w:bCs/>
        </w:rPr>
        <w:t xml:space="preserve">Update </w:t>
      </w:r>
      <w:r>
        <w:t xml:space="preserve">with the new </w:t>
      </w:r>
      <w:proofErr w:type="gramStart"/>
      <w:r>
        <w:t>indicators</w:t>
      </w:r>
      <w:proofErr w:type="gramEnd"/>
    </w:p>
    <w:p w14:paraId="0EB8BF78" w14:textId="77777777" w:rsidR="003A642B" w:rsidRDefault="003A642B" w:rsidP="0009353C">
      <w:pPr>
        <w:pStyle w:val="ListParagraph"/>
        <w:numPr>
          <w:ilvl w:val="0"/>
          <w:numId w:val="5"/>
        </w:numPr>
        <w:ind w:left="720"/>
      </w:pPr>
      <w:r>
        <w:t xml:space="preserve">Adding an additional survey wave: Add new .csv files in </w:t>
      </w:r>
      <w:r w:rsidRPr="0009353C">
        <w:rPr>
          <w:b/>
          <w:bCs/>
        </w:rPr>
        <w:t>Data</w:t>
      </w:r>
      <w:r>
        <w:t xml:space="preserve"> and update </w:t>
      </w:r>
      <w:r w:rsidRPr="0009353C">
        <w:rPr>
          <w:b/>
          <w:bCs/>
        </w:rPr>
        <w:t xml:space="preserve">instrument_list.xlsx </w:t>
      </w:r>
      <w:r>
        <w:t xml:space="preserve">in </w:t>
      </w:r>
      <w:r w:rsidRPr="0009353C">
        <w:rPr>
          <w:b/>
          <w:bCs/>
        </w:rPr>
        <w:t>Update</w:t>
      </w:r>
      <w:r>
        <w:t xml:space="preserve"> with the new wave </w:t>
      </w:r>
      <w:proofErr w:type="gramStart"/>
      <w:r>
        <w:t>information</w:t>
      </w:r>
      <w:proofErr w:type="gramEnd"/>
    </w:p>
    <w:p w14:paraId="2C825B99" w14:textId="07892AF2" w:rsidR="0009353C" w:rsidRDefault="003A642B" w:rsidP="0009353C">
      <w:pPr>
        <w:pStyle w:val="ListParagraph"/>
        <w:numPr>
          <w:ilvl w:val="0"/>
          <w:numId w:val="5"/>
        </w:numPr>
        <w:ind w:left="720"/>
      </w:pPr>
      <w:r>
        <w:t xml:space="preserve">Adding grouping variables: In future versions, this will involve updating a &lt;level&gt;.csv file in </w:t>
      </w:r>
      <w:r w:rsidRPr="0009353C">
        <w:rPr>
          <w:b/>
          <w:bCs/>
        </w:rPr>
        <w:t>Data</w:t>
      </w:r>
      <w:r>
        <w:t xml:space="preserve">. Update the </w:t>
      </w:r>
      <w:r w:rsidR="0009353C" w:rsidRPr="0009353C">
        <w:rPr>
          <w:b/>
          <w:bCs/>
        </w:rPr>
        <w:t>grouping_vars.xlsx</w:t>
      </w:r>
      <w:r w:rsidR="0009353C">
        <w:t xml:space="preserve"> with the new grouping variables definition. </w:t>
      </w:r>
    </w:p>
    <w:p w14:paraId="1CE53ACD" w14:textId="457D0B2B" w:rsidR="005F7B1F" w:rsidRPr="005F7B1F" w:rsidRDefault="005F7B1F" w:rsidP="0009353C">
      <w:pPr>
        <w:rPr>
          <w:b/>
          <w:bCs/>
        </w:rPr>
      </w:pPr>
      <w:r>
        <w:rPr>
          <w:b/>
          <w:bCs/>
        </w:rPr>
        <w:t>Notes for Administrators</w:t>
      </w:r>
    </w:p>
    <w:p w14:paraId="478B08BF" w14:textId="4E686BFD" w:rsidR="0009353C" w:rsidRDefault="005F7B1F" w:rsidP="0009353C">
      <w:r>
        <w:rPr>
          <w:b/>
          <w:bCs/>
        </w:rPr>
        <w:t xml:space="preserve">Publishing </w:t>
      </w:r>
      <w:r w:rsidRPr="005F7B1F">
        <w:rPr>
          <w:b/>
          <w:bCs/>
        </w:rPr>
        <w:t>updates</w:t>
      </w:r>
      <w:r>
        <w:t xml:space="preserve">: </w:t>
      </w:r>
      <w:r w:rsidR="0009353C" w:rsidRPr="005F7B1F">
        <w:t>After</w:t>
      </w:r>
      <w:r w:rsidR="0009353C">
        <w:t xml:space="preserve"> the data or spreadsheets have been updated, the updates may need to be disseminated (“pushed”) out to other users. For users making modifications to a copy on their own machines, no further steps are necessary; they can run the app from within </w:t>
      </w:r>
      <w:proofErr w:type="spellStart"/>
      <w:r w:rsidR="0009353C">
        <w:t>Rstudio</w:t>
      </w:r>
      <w:proofErr w:type="spellEnd"/>
      <w:r w:rsidR="0009353C">
        <w:t xml:space="preserve"> and see the changes immediately. For distribution over </w:t>
      </w:r>
      <w:proofErr w:type="spellStart"/>
      <w:r w:rsidR="0009353C">
        <w:t>Github</w:t>
      </w:r>
      <w:proofErr w:type="spellEnd"/>
      <w:r w:rsidR="0009353C">
        <w:t xml:space="preserve">, someone with repository write permissions will need to upload the edits, and then anyone using that version will need to fetch the updates. For server-hosted distribution, someone with </w:t>
      </w:r>
      <w:proofErr w:type="gramStart"/>
      <w:r w:rsidR="0009353C">
        <w:t>permissions</w:t>
      </w:r>
      <w:proofErr w:type="gramEnd"/>
      <w:r w:rsidR="0009353C">
        <w:t xml:space="preserve"> will need to download the new changes to the server from </w:t>
      </w:r>
      <w:proofErr w:type="spellStart"/>
      <w:r w:rsidR="0009353C">
        <w:t>Github</w:t>
      </w:r>
      <w:proofErr w:type="spellEnd"/>
      <w:r w:rsidR="0009353C">
        <w:t xml:space="preserve">, then launch the updated version. For web-hosted (e.g., on the 50x30 web site and not remotely hosted on a server), an administrator will need to update the code and hosted files. </w:t>
      </w:r>
    </w:p>
    <w:p w14:paraId="74A02136" w14:textId="1703A9A5" w:rsidR="003A642B" w:rsidRPr="003A642B" w:rsidRDefault="0009353C" w:rsidP="0009353C">
      <w:r>
        <w:rPr>
          <w:b/>
          <w:bCs/>
        </w:rPr>
        <w:t xml:space="preserve">Localization: </w:t>
      </w:r>
      <w:r>
        <w:t xml:space="preserve">Assuming that the app is running on a system with Khmer </w:t>
      </w:r>
      <w:r w:rsidR="00E01E54">
        <w:t xml:space="preserve">language </w:t>
      </w:r>
      <w:r>
        <w:t xml:space="preserve">compatibility, for the app to function, the field names in the spreadsheets need to be in English. Everything else can be in Khmer </w:t>
      </w:r>
      <w:proofErr w:type="gramStart"/>
      <w:r>
        <w:t>as long as</w:t>
      </w:r>
      <w:proofErr w:type="gramEnd"/>
      <w:r>
        <w:t xml:space="preserve"> the file names in the </w:t>
      </w:r>
      <w:r>
        <w:rPr>
          <w:b/>
          <w:bCs/>
        </w:rPr>
        <w:t>Data</w:t>
      </w:r>
      <w:r>
        <w:t xml:space="preserve"> directory match the file names in the related spreadsheet fields. Making the app capable of running entirely on Khmer-language spreadsheets would require modifications to the R code.</w:t>
      </w:r>
      <w:r w:rsidR="00E01E54">
        <w:t xml:space="preserve"> Khmer file names </w:t>
      </w:r>
      <w:r w:rsidR="00E01E54">
        <w:rPr>
          <w:i/>
          <w:iCs/>
        </w:rPr>
        <w:t xml:space="preserve">are not </w:t>
      </w:r>
      <w:r w:rsidR="00E01E54">
        <w:t xml:space="preserve">compatible with a standard Windows system with English-only localization </w:t>
      </w:r>
      <w:proofErr w:type="gramStart"/>
      <w:r w:rsidR="00E01E54">
        <w:t>settings</w:t>
      </w:r>
      <w:proofErr w:type="gramEnd"/>
      <w:r w:rsidR="00E01E54">
        <w:t>.</w:t>
      </w:r>
      <w:r w:rsidR="003A642B">
        <w:br/>
      </w:r>
    </w:p>
    <w:sectPr w:rsidR="003A642B" w:rsidRPr="003A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974EB"/>
    <w:multiLevelType w:val="hybridMultilevel"/>
    <w:tmpl w:val="5E1C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13C12"/>
    <w:multiLevelType w:val="hybridMultilevel"/>
    <w:tmpl w:val="6B00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31007"/>
    <w:multiLevelType w:val="hybridMultilevel"/>
    <w:tmpl w:val="25745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A1BFB"/>
    <w:multiLevelType w:val="hybridMultilevel"/>
    <w:tmpl w:val="A7EED216"/>
    <w:lvl w:ilvl="0" w:tplc="929CF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6776A"/>
    <w:multiLevelType w:val="hybridMultilevel"/>
    <w:tmpl w:val="D4B4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060C5"/>
    <w:multiLevelType w:val="hybridMultilevel"/>
    <w:tmpl w:val="8492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67640"/>
    <w:multiLevelType w:val="hybridMultilevel"/>
    <w:tmpl w:val="A9743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105EF0"/>
    <w:multiLevelType w:val="hybridMultilevel"/>
    <w:tmpl w:val="D5469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6A4295"/>
    <w:multiLevelType w:val="hybridMultilevel"/>
    <w:tmpl w:val="12B6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B0F98"/>
    <w:multiLevelType w:val="hybridMultilevel"/>
    <w:tmpl w:val="58228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912054">
    <w:abstractNumId w:val="1"/>
  </w:num>
  <w:num w:numId="2" w16cid:durableId="1858422673">
    <w:abstractNumId w:val="7"/>
  </w:num>
  <w:num w:numId="3" w16cid:durableId="776217958">
    <w:abstractNumId w:val="0"/>
  </w:num>
  <w:num w:numId="4" w16cid:durableId="1690524732">
    <w:abstractNumId w:val="8"/>
  </w:num>
  <w:num w:numId="5" w16cid:durableId="1619338446">
    <w:abstractNumId w:val="6"/>
  </w:num>
  <w:num w:numId="6" w16cid:durableId="1686710503">
    <w:abstractNumId w:val="3"/>
  </w:num>
  <w:num w:numId="7" w16cid:durableId="1842967353">
    <w:abstractNumId w:val="9"/>
  </w:num>
  <w:num w:numId="8" w16cid:durableId="1852719480">
    <w:abstractNumId w:val="4"/>
  </w:num>
  <w:num w:numId="9" w16cid:durableId="687875188">
    <w:abstractNumId w:val="5"/>
  </w:num>
  <w:num w:numId="10" w16cid:durableId="11759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BD"/>
    <w:rsid w:val="000371DB"/>
    <w:rsid w:val="0009353C"/>
    <w:rsid w:val="000F74BD"/>
    <w:rsid w:val="00172DF0"/>
    <w:rsid w:val="00187689"/>
    <w:rsid w:val="001A4FC2"/>
    <w:rsid w:val="00317A40"/>
    <w:rsid w:val="003502BC"/>
    <w:rsid w:val="00361999"/>
    <w:rsid w:val="003A642B"/>
    <w:rsid w:val="004756A0"/>
    <w:rsid w:val="005631DD"/>
    <w:rsid w:val="005F078E"/>
    <w:rsid w:val="005F7B1F"/>
    <w:rsid w:val="00616380"/>
    <w:rsid w:val="00726CE0"/>
    <w:rsid w:val="007815D2"/>
    <w:rsid w:val="007D3711"/>
    <w:rsid w:val="00A10533"/>
    <w:rsid w:val="00AA03BD"/>
    <w:rsid w:val="00AF105E"/>
    <w:rsid w:val="00B8326E"/>
    <w:rsid w:val="00CF16AD"/>
    <w:rsid w:val="00DF6164"/>
    <w:rsid w:val="00E01E54"/>
    <w:rsid w:val="00E313ED"/>
    <w:rsid w:val="00EE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1FC8"/>
  <w15:chartTrackingRefBased/>
  <w15:docId w15:val="{80F60581-1E08-43F3-9F4A-D20F491D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4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4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4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4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4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4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4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4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4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4B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F7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B93CB-2EB7-48CB-A471-E8F15EF7A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Tomes</dc:creator>
  <cp:keywords/>
  <dc:description/>
  <cp:lastModifiedBy>Andrew Tomes</cp:lastModifiedBy>
  <cp:revision>2</cp:revision>
  <dcterms:created xsi:type="dcterms:W3CDTF">2024-05-03T23:42:00Z</dcterms:created>
  <dcterms:modified xsi:type="dcterms:W3CDTF">2024-05-03T23:42:00Z</dcterms:modified>
</cp:coreProperties>
</file>