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mbria" w:cs="Cambria" w:eastAsia="Cambria" w:hAnsi="Cambria"/>
          <w:b/>
          <w:bCs/>
          <w:color w:val="1A1A1A"/>
          <w:sz w:val="56"/>
          <w:szCs w:val="56"/>
        </w:rPr>
        <w:t xml:space="preserve">Test</w:t>
      </w:r>
    </w:p>
    <w:p>
      <w:pPr>
        <w:pBdr>
          <w:bottom w:val="single" w:color="1A1A1A" w:sz="12" w:space="4"/>
        </w:pBdr>
        <w:spacing w:after="0" w:before="120"/>
      </w:pPr>
    </w:p>
    <w:p>
      <w:pPr>
        <w:pBdr>
          <w:bottom w:val="single" w:color="1A1A1A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A1A1A"/>
          <w:spacing w:val="40"/>
          <w:sz w:val="20"/>
          <w:szCs w:val="20"/>
        </w:rPr>
        <w:t xml:space="preserve">SUMMARY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20" w:before="0"/>
        <w:ind w:left="360" w:hanging="360"/>
      </w:pPr>
      <w:rPr>
        <w:rFonts w:ascii="Calibri" w:cs="Calibri" w:eastAsia="Calibri" w:hAnsi="Calibri"/>
        <w:color w:val="333333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2026-06-03T12:58:04.916Z</dcterms:created>
  <dcterms:modified xsi:type="dcterms:W3CDTF">2026-06-03T12:58:04.916Z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