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h-md_to_docx-capability-showcase"/>
      <w:pPr>
        <w:pStyle w:val="CoverTitle"/>
        <w:jc w:val="center"/>
      </w:pPr>
      <w:r>
        <w:rPr>
          <w:color w:val="1F3864"/>
          <w:sz w:val="64"/>
        </w:rPr>
        <w:t>md_to_docx Capability Showcase</w:t>
      </w:r>
      <w:bookmarkEnd w:id="1"/>
    </w:p>
    <w:p>
      <w:bookmarkStart w:id="2" w:name="h-comprehensive-feature-demonstration-and-documentation"/>
      <w:pPr>
        <w:pStyle w:val="CoverSubtitle"/>
        <w:jc w:val="center"/>
      </w:pPr>
      <w:r>
        <w:rPr>
          <w:color w:val="1F3864"/>
          <w:sz w:val="64"/>
        </w:rPr>
        <w:t>Comprehensive Feature Demonstration and Documentation</w:t>
      </w:r>
      <w:bookmarkEnd w:id="2"/>
    </w:p>
    <w:p>
      <w:pPr>
        <w:jc w:val="center"/>
      </w:pPr>
      <w:r>
        <w:rPr>
          <w:b/>
          <w:color w:val="666666"/>
          <w:sz w:val="28"/>
        </w:rPr>
        <w:t>Technical Demonstration</w:t>
      </w:r>
    </w:p>
    <w:p>
      <w:pPr>
        <w:jc w:val="center"/>
      </w:pPr>
      <w:r>
        <w:rPr>
          <w:b/>
          <w:sz w:val="24"/>
        </w:rPr>
        <w:t>Version:</w:t>
      </w:r>
      <w:r>
        <w:rPr>
          <w:sz w:val="24"/>
        </w:rPr>
        <w:t xml:space="preserve"> 2.0 | </w:t>
      </w:r>
      <w:r>
        <w:rPr>
          <w:b/>
          <w:sz w:val="24"/>
        </w:rPr>
        <w:t>Classification:</w:t>
      </w:r>
      <w:r>
        <w:rPr>
          <w:sz w:val="24"/>
        </w:rPr>
        <w:t xml:space="preserve"> Internal Use Only</w:t>
      </w:r>
    </w:p>
    <w:p>
      <w:pPr>
        <w:spacing w:before="0" w:after="0" w:line="1320" w:lineRule="exact"/>
      </w:pPr>
    </w:p>
    <w:p>
      <w:pPr>
        <w:spacing w:before="480" w:after="240"/>
      </w:pPr>
    </w:p>
    <w:p>
      <w:pPr>
        <w:jc w:val="center"/>
      </w:pPr>
      <w:r>
        <w:rPr>
          <w:b/>
          <w:color w:val="444444"/>
          <w:sz w:val="24"/>
        </w:rPr>
        <w:t>Document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340"/>
            <w:shd w:fill="1F3864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340"/>
            <w:shd w:fill="1F3864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2340"/>
            <w:shd w:fill="1F3864"/>
          </w:tcPr>
          <w:p>
            <w:r>
              <w:rPr>
                <w:b/>
                <w:color w:val="FFFFFF"/>
              </w:rPr>
              <w:t>Changes</w:t>
            </w:r>
          </w:p>
        </w:tc>
      </w:tr>
      <w:tr>
        <w:tc>
          <w:tcPr>
            <w:tcW w:type="dxa" w:w="1152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2026-03-14</w:t>
            </w:r>
          </w:p>
        </w:tc>
        <w:tc>
          <w:tcPr>
            <w:tcW w:type="dxa" w:w="1872"/>
          </w:tcPr>
          <w:p>
            <w:r>
              <w:t>Your Name</w:t>
            </w:r>
          </w:p>
        </w:tc>
        <w:tc>
          <w:tcPr>
            <w:tcW w:type="dxa" w:w="4320"/>
          </w:tcPr>
          <w:p>
            <w:r>
              <w:t>Added cross-references, standalone images, code examples, and revision tracking</w:t>
            </w:r>
          </w:p>
        </w:tc>
      </w:tr>
      <w:tr>
        <w:tc>
          <w:tcPr>
            <w:tcW w:type="dxa" w:w="1152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2026-03-10</w:t>
            </w:r>
          </w:p>
        </w:tc>
        <w:tc>
          <w:tcPr>
            <w:tcW w:type="dxa" w:w="1872"/>
          </w:tcPr>
          <w:p>
            <w:r>
              <w:t>Your Name</w:t>
            </w:r>
          </w:p>
        </w:tc>
        <w:tc>
          <w:tcPr>
            <w:tcW w:type="dxa" w:w="4320"/>
          </w:tcPr>
          <w:p>
            <w:r>
              <w:t>Updated content structure and added table formatting examples</w:t>
            </w:r>
          </w:p>
        </w:tc>
      </w:tr>
      <w:tr>
        <w:tc>
          <w:tcPr>
            <w:tcW w:type="dxa" w:w="1152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2026-03-01</w:t>
            </w:r>
          </w:p>
        </w:tc>
        <w:tc>
          <w:tcPr>
            <w:tcW w:type="dxa" w:w="1872"/>
          </w:tcPr>
          <w:p>
            <w:r>
              <w:t>Your Name</w:t>
            </w:r>
          </w:p>
        </w:tc>
        <w:tc>
          <w:tcPr>
            <w:tcW w:type="dxa" w:w="4320"/>
          </w:tcPr>
          <w:p>
            <w:r>
              <w:t>Initial release with basic document structure and formatting</w:t>
            </w:r>
          </w:p>
        </w:tc>
      </w:tr>
    </w:tbl>
    <w:p>
      <w:pPr>
        <w:sectPr>
          <w:titlePg/>
          <w:pgNumType w:fmt="decimal" w:start="1"/>
          <w:pgMar w:top="1440" w:bottom="1440" w:left="1440" w:right="1440" w:header="708" w:footer="708"/>
        </w:sectPr>
      </w:pPr>
    </w:p>
    <w:p>
      <w:bookmarkStart w:id="3" w:name="_toc"/>
      <w:pPr>
        <w:numPr>
          <w:ilvl w:val="0"/>
          <w:numId w:val="0"/>
        </w:numPr>
        <w:pStyle w:val="Heading1"/>
        <w:outlineLvl w:val="9"/>
      </w:pPr>
      <w:r>
        <w:t>Table of Contents</w:t>
      </w:r>
      <w:bookmarkEnd w:id="3"/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pPr>
        <w:sectPr>
          <w:pgNumType w:fmt="decimal" w:start="2"/>
          <w:titlePg/>
          <w:pgMar w:top="1440" w:bottom="1440" w:left="1440" w:right="1440" w:header="708" w:footer="708"/>
        </w:sectPr>
      </w:pPr>
    </w:p>
    <w:p>
      <w:bookmarkStart w:id="4" w:name="h-introduction"/>
      <w:pPr>
        <w:pStyle w:val="Heading1"/>
      </w:pPr>
      <w:r>
        <w:t>Introduction</w:t>
      </w:r>
      <w:bookmarkEnd w:id="4"/>
    </w:p>
    <w:p>
      <w:r>
        <w:t>This document serves as a comprehensive demonstration of the md_to_docx converter capabilities. It showcases the various formatting features and document elements that can be automatically converted from Markdown syntax to professional Microsoft Word documents.</w:t>
      </w:r>
    </w:p>
    <w:p>
      <w:bookmarkStart w:id="5" w:name="h-purpose-and-scope"/>
      <w:pPr>
        <w:pStyle w:val="Heading2"/>
      </w:pPr>
      <w:r>
        <w:t>Purpose and Scope</w:t>
      </w:r>
      <w:bookmarkEnd w:id="5"/>
    </w:p>
    <w:p>
      <w:r>
        <w:t>The primary objectives of this showcase are to:</w:t>
      </w:r>
    </w:p>
    <w:p>
      <w:pPr>
        <w:numPr>
          <w:ilvl w:val="0"/>
          <w:numId w:val="11"/>
        </w:numPr>
        <w:pStyle w:val="ListNumber"/>
      </w:pPr>
      <w:r>
        <w:rPr>
          <w:b/>
        </w:rPr>
        <w:t>Demonstrate document structure capabilities</w:t>
      </w:r>
      <w:r>
        <w:t xml:space="preserve"> including multi-level headings, automatic table of contents generation, and section organization</w:t>
      </w:r>
    </w:p>
    <w:p>
      <w:pPr>
        <w:numPr>
          <w:ilvl w:val="0"/>
          <w:numId w:val="11"/>
        </w:numPr>
        <w:pStyle w:val="ListNumber"/>
      </w:pPr>
      <w:r>
        <w:rPr>
          <w:b/>
        </w:rPr>
        <w:t>Present text formatting features</w:t>
      </w:r>
      <w:r>
        <w:t xml:space="preserve"> such as emphasis, inline code, and paragraph styling</w:t>
      </w:r>
    </w:p>
    <w:p>
      <w:pPr>
        <w:numPr>
          <w:ilvl w:val="0"/>
          <w:numId w:val="11"/>
        </w:numPr>
        <w:pStyle w:val="ListNumber"/>
      </w:pPr>
      <w:r>
        <w:rPr>
          <w:b/>
        </w:rPr>
        <w:t>Illustrate list functionality</w:t>
      </w:r>
      <w:r>
        <w:t xml:space="preserve"> including ordered, unordered, and nested list structures</w:t>
      </w:r>
    </w:p>
    <w:p>
      <w:pPr>
        <w:numPr>
          <w:ilvl w:val="0"/>
          <w:numId w:val="11"/>
        </w:numPr>
        <w:pStyle w:val="ListNumber"/>
      </w:pPr>
      <w:r>
        <w:rPr>
          <w:b/>
        </w:rPr>
        <w:t>Exhibit table generation</w:t>
      </w:r>
      <w:r>
        <w:t xml:space="preserve"> with various formatting options and column width controls</w:t>
      </w:r>
    </w:p>
    <w:p>
      <w:pPr>
        <w:numPr>
          <w:ilvl w:val="0"/>
          <w:numId w:val="11"/>
        </w:numPr>
        <w:pStyle w:val="ListNumber"/>
      </w:pPr>
      <w:r>
        <w:rPr>
          <w:b/>
        </w:rPr>
        <w:t>Showcase image handling</w:t>
      </w:r>
      <w:r>
        <w:t xml:space="preserve"> including standalone images, figure groups, and size controls</w:t>
      </w:r>
    </w:p>
    <w:p>
      <w:pPr>
        <w:numPr>
          <w:ilvl w:val="0"/>
          <w:numId w:val="11"/>
        </w:numPr>
        <w:pStyle w:val="ListNumber"/>
      </w:pPr>
      <w:r>
        <w:rPr>
          <w:b/>
        </w:rPr>
        <w:t>Highlight cross-referencing</w:t>
      </w:r>
      <w:r>
        <w:t xml:space="preserve"> capabilities for figures, tables, and sections</w:t>
      </w:r>
    </w:p>
    <w:p>
      <w:bookmarkStart w:id="6" w:name="h-document-structure"/>
      <w:pPr>
        <w:pStyle w:val="Heading1"/>
        <w:pageBreakBefore w:val="1"/>
      </w:pPr>
      <w:r>
        <w:t>Document Structure</w:t>
      </w:r>
      <w:bookmarkEnd w:id="6"/>
    </w:p>
    <w:p>
      <w:bookmarkStart w:id="7" w:name="h-heading-hierarchy"/>
      <w:pPr>
        <w:pStyle w:val="Heading2"/>
      </w:pPr>
      <w:r>
        <w:t>Heading Hierarchy</w:t>
      </w:r>
      <w:bookmarkEnd w:id="7"/>
    </w:p>
    <w:p>
      <w:r>
        <w:t>The converter supports six levels of headings, automatically numbered and styled with a professional color scheme:</w:t>
      </w:r>
    </w:p>
    <w:p>
      <w:bookmarkStart w:id="8" w:name="h-level-3-test2"/>
      <w:pPr>
        <w:pStyle w:val="Heading3"/>
      </w:pPr>
      <w:r>
        <w:t>Level 3 Test2</w:t>
      </w:r>
      <w:bookmarkEnd w:id="8"/>
    </w:p>
    <w:p>
      <w:r>
        <w:t>This demonstrates the third level of the document hierarchy.</w:t>
      </w:r>
    </w:p>
    <w:p>
      <w:bookmarkStart w:id="9" w:name="h-level-4-heading"/>
      <w:pPr>
        <w:pStyle w:val="Heading4"/>
      </w:pPr>
      <w:r>
        <w:t>Level 4 Heading</w:t>
      </w:r>
      <w:bookmarkEnd w:id="9"/>
    </w:p>
    <w:p>
      <w:r>
        <w:t>Fourth level headings provide additional granularity for complex documents.</w:t>
      </w:r>
    </w:p>
    <w:p>
      <w:bookmarkStart w:id="10" w:name="h-level-5-heading"/>
      <w:pPr>
        <w:pStyle w:val="Heading5"/>
      </w:pPr>
      <w:r>
        <w:t>Level 5 Heading</w:t>
      </w:r>
      <w:bookmarkEnd w:id="10"/>
    </w:p>
    <w:p>
      <w:r>
        <w:t>Fifth level headings for detailed subsections.</w:t>
      </w:r>
    </w:p>
    <w:p>
      <w:bookmarkStart w:id="11" w:name="h-level-6-heading"/>
      <w:pPr>
        <w:pStyle w:val="Heading6"/>
      </w:pPr>
      <w:r>
        <w:t>Level 6 Heading</w:t>
      </w:r>
      <w:bookmarkEnd w:id="11"/>
    </w:p>
    <w:p>
      <w:r>
        <w:t>The deepest level of heading hierarchy available.</w:t>
      </w:r>
    </w:p>
    <w:p>
      <w:bookmarkStart w:id="12" w:name="h-heading-customization"/>
      <w:pPr>
        <w:pStyle w:val="Heading2"/>
      </w:pPr>
      <w:r>
        <w:t>Heading Customization</w:t>
      </w:r>
      <w:bookmarkEnd w:id="12"/>
    </w:p>
    <w:p>
      <w:r>
        <w:t xml:space="preserve">Headings can be excluded from the table of contents using the </w:t>
      </w:r>
      <w:r>
        <w:rPr>
          <w:rFonts w:ascii="Courier New" w:hAnsi="Courier New"/>
          <w:sz w:val="20"/>
        </w:rPr>
        <w:t>{.notoc}</w:t>
      </w:r>
      <w:r>
        <w:t xml:space="preserve"> attribute, or numbering can be suppressed with </w:t>
      </w:r>
      <w:r>
        <w:rPr>
          <w:rFonts w:ascii="Courier New" w:hAnsi="Courier New"/>
          <w:sz w:val="20"/>
        </w:rPr>
        <w:t>{.nonumber}</w:t>
      </w:r>
      <w:r>
        <w:t>.</w:t>
      </w:r>
    </w:p>
    <w:p>
      <w:bookmarkStart w:id="13" w:name="h-typography-and-text-formatting"/>
      <w:pPr>
        <w:pStyle w:val="Heading1"/>
        <w:pageBreakBefore w:val="1"/>
      </w:pPr>
      <w:r>
        <w:t>Typography and Text Formatting</w:t>
      </w:r>
      <w:bookmarkEnd w:id="13"/>
    </w:p>
    <w:p>
      <w:bookmarkStart w:id="14" w:name="h-basic-text-styles-tatia"/>
      <w:pPr>
        <w:pStyle w:val="Heading2"/>
      </w:pPr>
      <w:r>
        <w:t>Basic Text Styles Tatia</w:t>
      </w:r>
      <w:bookmarkEnd w:id="14"/>
    </w:p>
    <w:p>
      <w:r>
        <w:t>The converter supports standard Markdown text formatting:</w:t>
      </w:r>
    </w:p>
    <w:p>
      <w:r>
        <w:rPr>
          <w:b w:val="0"/>
          <w:i/>
        </w:rPr>
        <w:t>Italic text is used for emphasis or citations.</w:t>
      </w:r>
    </w:p>
    <w:p>
      <w:r>
        <w:rPr>
          <w:b/>
          <w:i/>
        </w:rPr>
        <w:t>Bold text</w:t>
      </w:r>
      <w:r>
        <w:t xml:space="preserve"> draws attention to important information.</w:t>
      </w:r>
    </w:p>
    <w:p>
      <w:r>
        <w:rPr>
          <w:b/>
          <w:i/>
        </w:rPr>
        <w:t>Bold and italic combined</w:t>
      </w:r>
      <w:r>
        <w:t xml:space="preserve"> creates strong emphasis.</w:t>
      </w:r>
    </w:p>
    <w:p>
      <w:r>
        <w:rPr>
          <w:strike/>
        </w:rPr>
        <w:t>Strikethrough</w:t>
      </w:r>
      <w:r>
        <w:t xml:space="preserve"> indicates removed or deprecated content.</w:t>
      </w:r>
    </w:p>
    <w:p>
      <w:bookmarkStart w:id="15" w:name="h-inline-code"/>
      <w:pPr>
        <w:pStyle w:val="Heading2"/>
      </w:pPr>
      <w:r>
        <w:t>Inline Code</w:t>
      </w:r>
      <w:bookmarkEnd w:id="15"/>
    </w:p>
    <w:p>
      <w:r>
        <w:t xml:space="preserve">Technical terms and code snippets can be displayed inline using backticks: </w:t>
      </w:r>
      <w:r>
        <w:rPr>
          <w:rFonts w:ascii="Courier New" w:hAnsi="Courier New"/>
          <w:sz w:val="20"/>
        </w:rPr>
        <w:t>function_name()</w:t>
      </w:r>
      <w:r>
        <w:t xml:space="preserve">, </w:t>
      </w:r>
      <w:r>
        <w:rPr>
          <w:rFonts w:ascii="Courier New" w:hAnsi="Courier New"/>
          <w:sz w:val="20"/>
        </w:rPr>
        <w:t>variable_value</w:t>
      </w:r>
      <w:r>
        <w:t xml:space="preserve">, or </w:t>
      </w:r>
      <w:r>
        <w:rPr>
          <w:rFonts w:ascii="Courier New" w:hAnsi="Courier New"/>
          <w:sz w:val="20"/>
        </w:rPr>
        <w:t>CSS_property</w:t>
      </w:r>
      <w:r>
        <w:t>.</w:t>
      </w:r>
    </w:p>
    <w:p>
      <w:bookmarkStart w:id="16" w:name="h-blockquotes"/>
      <w:pPr>
        <w:pStyle w:val="Heading2"/>
      </w:pPr>
      <w:r>
        <w:t>Blockquotes</w:t>
      </w:r>
      <w:bookmarkEnd w:id="16"/>
    </w:p>
    <w:p>
      <w:pPr>
        <w:pStyle w:val="BlockQuote"/>
        <w:spacing w:after="0"/>
      </w:pPr>
      <w:r>
        <w:t>This is a standard blockquote. It can be used for important notes, citations, or highlighted information that stands out from the main text flow.</w:t>
      </w:r>
    </w:p>
    <w:p>
      <w:pPr>
        <w:spacing w:before="0" w:after="160" w:line="2" w:lineRule="exact"/>
      </w:pPr>
    </w:p>
    <w:p>
      <w:pPr>
        <w:spacing w:before="0" w:after="160" w:line="2" w:lineRule="exact"/>
      </w:pPr>
    </w:p>
    <w:p>
      <w:r>
        <w:t>Blockquotes feature a distinctive left border and italicized text for visual differentiation.</w:t>
      </w:r>
    </w:p>
    <w:p>
      <w:bookmarkStart w:id="17" w:name="h-lists-and-enumeration"/>
      <w:pPr>
        <w:pStyle w:val="Heading1"/>
        <w:pageBreakBefore w:val="1"/>
      </w:pPr>
      <w:r>
        <w:t>Lists and Enumeration</w:t>
      </w:r>
      <w:bookmarkEnd w:id="17"/>
    </w:p>
    <w:p>
      <w:bookmarkStart w:id="18" w:name="h-unordered-lists"/>
      <w:pPr>
        <w:pStyle w:val="Heading2"/>
      </w:pPr>
      <w:r>
        <w:t>Unordered Lists</w:t>
      </w:r>
      <w:bookmarkEnd w:id="18"/>
    </w:p>
    <w:p>
      <w:r>
        <w:t>Simple bullet points for itemized information:</w:t>
      </w:r>
    </w:p>
    <w:p>
      <w:pPr>
        <w:numPr>
          <w:ilvl w:val="0"/>
          <w:numId w:val="12"/>
        </w:numPr>
        <w:pStyle w:val="ListBullet"/>
      </w:pPr>
      <w:r>
        <w:t>First item in the list</w:t>
      </w:r>
    </w:p>
    <w:p>
      <w:pPr>
        <w:numPr>
          <w:ilvl w:val="0"/>
          <w:numId w:val="12"/>
        </w:numPr>
        <w:pStyle w:val="ListBullet"/>
      </w:pPr>
      <w:r>
        <w:t>Second item with additional context</w:t>
      </w:r>
    </w:p>
    <w:p>
      <w:pPr>
        <w:numPr>
          <w:ilvl w:val="0"/>
          <w:numId w:val="12"/>
        </w:numPr>
        <w:pStyle w:val="ListBullet"/>
      </w:pPr>
      <w:r>
        <w:t>Third item demonstrating the format</w:t>
      </w:r>
    </w:p>
    <w:p>
      <w:bookmarkStart w:id="19" w:name="h-ordered-lists"/>
      <w:pPr>
        <w:pStyle w:val="Heading2"/>
      </w:pPr>
      <w:r>
        <w:t>Ordered Lists</w:t>
      </w:r>
      <w:bookmarkEnd w:id="19"/>
    </w:p>
    <w:p>
      <w:r>
        <w:t>Numbered sequences for procedural documentation:</w:t>
      </w:r>
    </w:p>
    <w:p>
      <w:pPr>
        <w:numPr>
          <w:ilvl w:val="0"/>
          <w:numId w:val="13"/>
        </w:numPr>
        <w:pStyle w:val="ListNumber"/>
      </w:pPr>
      <w:r>
        <w:t>First step in the process</w:t>
      </w:r>
    </w:p>
    <w:p>
      <w:pPr>
        <w:numPr>
          <w:ilvl w:val="0"/>
          <w:numId w:val="13"/>
        </w:numPr>
        <w:pStyle w:val="ListNumber"/>
      </w:pPr>
      <w:r>
        <w:t>Second step with specific details</w:t>
      </w:r>
    </w:p>
    <w:p>
      <w:pPr>
        <w:numPr>
          <w:ilvl w:val="0"/>
          <w:numId w:val="13"/>
        </w:numPr>
        <w:pStyle w:val="ListNumber"/>
      </w:pPr>
      <w:r>
        <w:t>Third step completing the sequence</w:t>
      </w:r>
    </w:p>
    <w:p>
      <w:bookmarkStart w:id="20" w:name="h-nested-lists"/>
      <w:pPr>
        <w:pStyle w:val="Heading2"/>
      </w:pPr>
      <w:r>
        <w:t>Nested Lists</w:t>
      </w:r>
      <w:bookmarkEnd w:id="20"/>
    </w:p>
    <w:p>
      <w:r>
        <w:t>Lists can be nested to show hierarchical relationships:</w:t>
      </w:r>
    </w:p>
    <w:p>
      <w:pPr>
        <w:numPr>
          <w:ilvl w:val="0"/>
          <w:numId w:val="14"/>
        </w:numPr>
        <w:pStyle w:val="ListNumber"/>
      </w:pPr>
      <w:r>
        <w:rPr>
          <w:b/>
        </w:rPr>
        <w:t>Main category A</w:t>
      </w:r>
    </w:p>
    <w:p>
      <w:pPr>
        <w:numPr>
          <w:ilvl w:val="1"/>
          <w:numId w:val="14"/>
        </w:numPr>
        <w:pStyle w:val="ListBullet2"/>
      </w:pPr>
      <w:r>
        <w:t>Sub-item A.1</w:t>
      </w:r>
    </w:p>
    <w:p>
      <w:pPr>
        <w:numPr>
          <w:ilvl w:val="1"/>
          <w:numId w:val="14"/>
        </w:numPr>
        <w:pStyle w:val="ListBullet2"/>
      </w:pPr>
      <w:r>
        <w:t>Sub-item A.2</w:t>
      </w:r>
    </w:p>
    <w:p>
      <w:pPr>
        <w:numPr>
          <w:ilvl w:val="2"/>
          <w:numId w:val="14"/>
        </w:numPr>
        <w:pStyle w:val="ListBullet3"/>
      </w:pPr>
      <w:r>
        <w:t>Detail A.2.1</w:t>
      </w:r>
    </w:p>
    <w:p>
      <w:pPr>
        <w:numPr>
          <w:ilvl w:val="2"/>
          <w:numId w:val="14"/>
        </w:numPr>
        <w:pStyle w:val="ListBullet3"/>
      </w:pPr>
      <w:r>
        <w:t>Detail A.2.2</w:t>
      </w:r>
    </w:p>
    <w:p>
      <w:pPr>
        <w:numPr>
          <w:ilvl w:val="1"/>
          <w:numId w:val="14"/>
        </w:numPr>
        <w:pStyle w:val="ListBullet2"/>
      </w:pPr>
      <w:r>
        <w:t>Sub-item A.3</w:t>
      </w:r>
    </w:p>
    <w:p>
      <w:pPr>
        <w:numPr>
          <w:ilvl w:val="0"/>
          <w:numId w:val="14"/>
        </w:numPr>
        <w:pStyle w:val="ListNumber"/>
      </w:pPr>
      <w:r>
        <w:rPr>
          <w:b/>
        </w:rPr>
        <w:t>Main category B</w:t>
      </w:r>
    </w:p>
    <w:p>
      <w:pPr>
        <w:numPr>
          <w:ilvl w:val="1"/>
          <w:numId w:val="14"/>
        </w:numPr>
        <w:pStyle w:val="ListBullet2"/>
      </w:pPr>
      <w:r>
        <w:t>Sub-item B.1</w:t>
      </w:r>
    </w:p>
    <w:p>
      <w:pPr>
        <w:numPr>
          <w:ilvl w:val="1"/>
          <w:numId w:val="14"/>
        </w:numPr>
        <w:pStyle w:val="ListBullet2"/>
      </w:pPr>
      <w:r>
        <w:t>Sub-item B.2</w:t>
      </w:r>
    </w:p>
    <w:p>
      <w:pPr>
        <w:numPr>
          <w:ilvl w:val="0"/>
          <w:numId w:val="14"/>
        </w:numPr>
        <w:pStyle w:val="ListNumber"/>
      </w:pPr>
      <w:r>
        <w:rPr>
          <w:b/>
        </w:rPr>
        <w:t>Main category C</w:t>
      </w:r>
    </w:p>
    <w:p>
      <w:pPr>
        <w:numPr>
          <w:ilvl w:val="1"/>
          <w:numId w:val="14"/>
        </w:numPr>
        <w:pStyle w:val="ListBullet2"/>
      </w:pPr>
      <w:r>
        <w:t>Sub-item C.1</w:t>
      </w:r>
    </w:p>
    <w:p>
      <w:r>
        <w:t>This demonstrates the converter's ability to handle complex list structures with proper indentation and formatting.</w:t>
      </w:r>
    </w:p>
    <w:p>
      <w:bookmarkStart w:id="21" w:name="h-tables"/>
      <w:pPr>
        <w:pStyle w:val="Heading1"/>
        <w:pageBreakBefore w:val="1"/>
      </w:pPr>
      <w:r>
        <w:t>Tables</w:t>
      </w:r>
      <w:bookmarkEnd w:id="21"/>
    </w:p>
    <w:p>
      <w:bookmarkStart w:id="22" w:name="h-standard-data-table"/>
      <w:pPr>
        <w:pStyle w:val="Heading2"/>
      </w:pPr>
      <w:r>
        <w:t>Standard Data Table</w:t>
      </w:r>
      <w:bookmarkEnd w:id="22"/>
    </w:p>
    <w:p>
      <w:r>
        <w:t>Tables support headers, alternating row shading, and full-width formatting:</w:t>
      </w:r>
    </w:p>
    <w:tbl>
      <w:tblPr>
        <w:tblStyle w:val="MdToDocxDataTable"/>
        <w:tblLook w:firstColumn="0" w:firstRow="1" w:lastColumn="0" w:lastRow="0" w:noHBand="0" w:noVBand="1" w:val="0420"/>
        <w:tblW w:w="5000" w:type="pct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</w:tcPr>
          <w:p>
            <w:r>
              <w:t>Feature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Priority</w:t>
            </w:r>
          </w:p>
        </w:tc>
        <w:tc>
          <w:tcPr>
            <w:tcW w:type="dxa" w:w="2340"/>
          </w:tcPr>
          <w:p>
            <w:r>
              <w:t>Notes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Heading Numbering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Configurable via YAML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Cross-references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Bold + Italic style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Image Resizing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Size classes supported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Table Styling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Auto-formatting applied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Code Blocks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Syntax highlighting</w:t>
            </w:r>
          </w:p>
        </w:tc>
      </w:tr>
    </w:tbl>
    <w:p>
      <w:bookmarkStart w:id="23" w:name="tbl-feature-status"/>
      <w:pPr>
        <w:pStyle w:val="Caption"/>
        <w:jc w:val="center"/>
      </w:pPr>
      <w:r>
        <w:rPr>
          <w:b/>
          <w:i/>
        </w:rPr>
        <w:t>Table 4:</w:t>
      </w:r>
      <w:r>
        <w:rPr>
          <w:b w:val="0"/>
          <w:i/>
        </w:rPr>
        <w:t xml:space="preserve"> Feature implementation status and priorities.</w:t>
      </w:r>
      <w:bookmarkEnd w:id="23"/>
    </w:p>
    <w:p>
      <w:r>
        <w:t xml:space="preserve">As shown in </w:t>
      </w:r>
      <w:hyperlink w:anchor="tbl-feature-status">
        <w:r>
          <w:rPr>
            <w:rStyle w:val="Hyperlink"/>
            <w:color w:val="0563C1"/>
            <w:u w:val="single"/>
          </w:rPr>
          <w:t xml:space="preserve">Table 4</w:t>
        </w:r>
      </w:hyperlink>
      <w:r>
        <w:t>, all major features have been successfully implemented with appropriate priority levels assigned.</w:t>
      </w:r>
    </w:p>
    <w:p>
      <w:bookmarkStart w:id="24" w:name="h-table-without-header"/>
      <w:pPr>
        <w:pStyle w:val="Heading2"/>
      </w:pPr>
      <w:r>
        <w:t>Table Without Header</w:t>
      </w:r>
      <w:bookmarkEnd w:id="24"/>
    </w:p>
    <w:p>
      <w:r>
        <w:t>Simple tables without headers are also supported:</w:t>
      </w:r>
    </w:p>
    <w:tbl>
      <w:tblPr>
        <w:tblStyle w:val="MdToDocxDataTable"/>
        <w:tblLook w:firstColumn="0" w:firstRow="0" w:lastColumn="0" w:lastRow="0" w:noHBand="0" w:noVBand="1" w:val="0400"/>
        <w:tblW w:w="5000" w:type="pct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</w:tcPr>
          <w:p>
            <w:r>
              <w:t>Row 1, Cell 1</w:t>
            </w:r>
          </w:p>
        </w:tc>
        <w:tc>
          <w:tcPr>
            <w:tcW w:type="dxa" w:w="2340"/>
          </w:tcPr>
          <w:p>
            <w:r>
              <w:t>Row 1, Cell 2</w:t>
            </w:r>
          </w:p>
        </w:tc>
        <w:tc>
          <w:tcPr>
            <w:tcW w:type="dxa" w:w="2340"/>
          </w:tcPr>
          <w:p>
            <w:r>
              <w:t>Row 1, Cell 3</w:t>
            </w:r>
          </w:p>
        </w:tc>
        <w:tc>
          <w:tcPr>
            <w:tcW w:type="dxa" w:w="2340"/>
          </w:tcPr>
          <w:p>
            <w:r>
              <w:t>Row 1, Cell 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Row 2, Cell 1</w:t>
            </w:r>
          </w:p>
        </w:tc>
        <w:tc>
          <w:tcPr>
            <w:tcW w:type="dxa" w:w="2340"/>
          </w:tcPr>
          <w:p>
            <w:r>
              <w:t>Row 2, Cell 2</w:t>
            </w:r>
          </w:p>
        </w:tc>
        <w:tc>
          <w:tcPr>
            <w:tcW w:type="dxa" w:w="2340"/>
          </w:tcPr>
          <w:p>
            <w:r>
              <w:t>Row 2, Cell 3</w:t>
            </w:r>
          </w:p>
        </w:tc>
        <w:tc>
          <w:tcPr>
            <w:tcW w:type="dxa" w:w="2340"/>
          </w:tcPr>
          <w:p>
            <w:r>
              <w:t>Row 2, Cell 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Row 3, Cell 1</w:t>
            </w:r>
          </w:p>
        </w:tc>
        <w:tc>
          <w:tcPr>
            <w:tcW w:type="dxa" w:w="2340"/>
          </w:tcPr>
          <w:p>
            <w:r>
              <w:t>Row 3, Cell 2</w:t>
            </w:r>
          </w:p>
        </w:tc>
        <w:tc>
          <w:tcPr>
            <w:tcW w:type="dxa" w:w="2340"/>
          </w:tcPr>
          <w:p>
            <w:r>
              <w:t>Row 3, Cell 3</w:t>
            </w:r>
          </w:p>
        </w:tc>
        <w:tc>
          <w:tcPr>
            <w:tcW w:type="dxa" w:w="2340"/>
          </w:tcPr>
          <w:p>
            <w:r>
              <w:t>Row 3, Cell 4</w:t>
            </w:r>
          </w:p>
        </w:tc>
      </w:tr>
    </w:tbl>
    <w:p>
      <w:bookmarkStart w:id="25" w:name="tbl-3"/>
      <w:pPr>
        <w:pStyle w:val="Caption"/>
        <w:jc w:val="center"/>
      </w:pPr>
      <w:r>
        <w:rPr>
          <w:b/>
          <w:i/>
        </w:rPr>
        <w:t>Table 3:</w:t>
      </w:r>
      <w:r>
        <w:rPr>
          <w:b w:val="0"/>
          <w:i/>
        </w:rPr>
        <w:t xml:space="preserve"> Data visualization example without headers.</w:t>
      </w:r>
      <w:bookmarkEnd w:id="25"/>
    </w:p>
    <w:p>
      <w:bookmarkStart w:id="26" w:name="h-wide-table-with-text-wrapping"/>
      <w:pPr>
        <w:pStyle w:val="Heading2"/>
      </w:pPr>
      <w:r>
        <w:t>Wide Table with Text Wrapping</w:t>
      </w:r>
      <w:bookmarkEnd w:id="26"/>
    </w:p>
    <w:p>
      <w:r>
        <w:t>Tables automatically handle text wrapping for content that exceeds column widths:</w:t>
      </w:r>
    </w:p>
    <w:tbl>
      <w:tblPr>
        <w:tblStyle w:val="MdToDocxDataTable"/>
        <w:tblLook w:firstColumn="0" w:firstRow="1" w:lastColumn="0" w:lastRow="0" w:noHBand="0" w:noVBand="1" w:val="0420"/>
        <w:tblW w:w="5000" w:type="pct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</w:tcPr>
          <w:p>
            <w:r>
              <w:t>Component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Implementation Details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Parser</w:t>
            </w:r>
          </w:p>
        </w:tc>
        <w:tc>
          <w:tcPr>
            <w:tcW w:type="dxa" w:w="2340"/>
          </w:tcPr>
          <w:p>
            <w:r>
              <w:t>Marko library with GFM extensions</w:t>
            </w:r>
          </w:p>
        </w:tc>
        <w:tc>
          <w:tcPr>
            <w:tcW w:type="dxa" w:w="2340"/>
          </w:tcPr>
          <w:p>
            <w:r>
              <w:t>Handles all standard Markdown plus GitHub-style alerts and tables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Builder</w:t>
            </w:r>
          </w:p>
        </w:tc>
        <w:tc>
          <w:tcPr>
            <w:tcW w:type="dxa" w:w="2340"/>
          </w:tcPr>
          <w:p>
            <w:r>
              <w:t>Document assembly engine</w:t>
            </w:r>
          </w:p>
        </w:tc>
        <w:tc>
          <w:tcPr>
            <w:tcW w:type="dxa" w:w="2340"/>
          </w:tcPr>
          <w:p>
            <w:r>
              <w:t>Manages section breaks, page numbering, and TOC generation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Styles</w:t>
            </w:r>
          </w:p>
        </w:tc>
        <w:tc>
          <w:tcPr>
            <w:tcW w:type="dxa" w:w="2340"/>
          </w:tcPr>
          <w:p>
            <w:r>
              <w:t>Custom style definitions</w:t>
            </w:r>
          </w:p>
        </w:tc>
        <w:tc>
          <w:tcPr>
            <w:tcW w:type="dxa" w:w="2340"/>
          </w:tcPr>
          <w:p>
            <w:r>
              <w:t>Heading hierarchy, code blocks, captions, and alerts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Images</w:t>
            </w:r>
          </w:p>
        </w:tc>
        <w:tc>
          <w:tcPr>
            <w:tcW w:type="dxa" w:w="2340"/>
          </w:tcPr>
          <w:p>
            <w:r>
              <w:t>Processing pipeline</w:t>
            </w:r>
          </w:p>
        </w:tc>
        <w:tc>
          <w:tcPr>
            <w:tcW w:type="dxa" w:w="2340"/>
          </w:tcPr>
          <w:p>
            <w:r>
              <w:t>Size calculation, aspect ratio preservation, placement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</w:tr>
    </w:tbl>
    <w:p>
      <w:bookmarkStart w:id="27" w:name="tbl-architecture"/>
      <w:pPr>
        <w:pStyle w:val="Caption"/>
        <w:jc w:val="center"/>
      </w:pPr>
      <w:r>
        <w:rPr>
          <w:b/>
          <w:i/>
        </w:rPr>
        <w:t>Table 5:</w:t>
      </w:r>
      <w:r>
        <w:rPr>
          <w:b w:val="0"/>
          <w:i/>
        </w:rPr>
        <w:t xml:space="preserve"> System architecture components with detailed descriptions.</w:t>
      </w:r>
      <w:bookmarkEnd w:id="27"/>
    </w:p>
    <w:p>
      <w:r>
        <w:t xml:space="preserve">Refer to </w:t>
      </w:r>
      <w:hyperlink w:anchor="tbl-architecture">
        <w:r>
          <w:rPr>
            <w:rStyle w:val="Hyperlink"/>
            <w:color w:val="0563C1"/>
            <w:u w:val="single"/>
          </w:rPr>
          <w:t xml:space="preserve">Table 5</w:t>
        </w:r>
      </w:hyperlink>
      <w:r>
        <w:t xml:space="preserve"> for a complete overview of the system architecture.</w:t>
      </w:r>
    </w:p>
    <w:p>
      <w:bookmarkStart w:id="28" w:name="h-table-with-custom-column-widths"/>
      <w:pPr>
        <w:pStyle w:val="Heading2"/>
      </w:pPr>
      <w:r>
        <w:t>Table with Custom Column Widths</w:t>
      </w:r>
      <w:bookmarkEnd w:id="28"/>
    </w:p>
    <w:p>
      <w:r>
        <w:t xml:space="preserve">Tables can have custom column widths specified as percentages using the </w:t>
      </w:r>
      <w:r>
        <w:rPr>
          <w:rFonts w:ascii="Courier New" w:hAnsi="Courier New"/>
          <w:sz w:val="20"/>
        </w:rPr>
        <w:t>{col-widths="..."}</w:t>
      </w:r>
      <w:r>
        <w:t xml:space="preserve"> directive placed immediately after the table:</w:t>
      </w:r>
    </w:p>
    <w:tbl>
      <w:tblPr>
        <w:tblStyle w:val="MdToDocxDataTable"/>
        <w:tblLook w:firstColumn="0" w:firstRow="1" w:lastColumn="0" w:lastRow="0" w:noHBand="0" w:noVBand="1" w:val="0420"/>
        <w:tblW w:w="9360" w:type="dxa"/>
      </w:tblPr>
      <w:tblGrid>
        <w:gridCol w:w="1404"/>
        <w:gridCol w:w="2340"/>
        <w:gridCol w:w="5616"/>
      </w:tblGrid>
      <w:tr>
        <w:trPr>
          <w:cantSplit w:val="1"/>
        </w:trPr>
        <w:tc>
          <w:tcPr>
            <w:tcW w:w="1404" w:type="dxa"/>
          </w:tcPr>
          <w:p>
            <w:r>
              <w:t>Short</w:t>
            </w:r>
          </w:p>
        </w:tc>
        <w:tc>
          <w:tcPr>
            <w:tcW w:w="2340" w:type="dxa"/>
          </w:tcPr>
          <w:p>
            <w:r>
              <w:t>Medium</w:t>
            </w:r>
          </w:p>
        </w:tc>
        <w:tc>
          <w:tcPr>
            <w:tcW w:w="5616" w:type="dxa"/>
          </w:tcPr>
          <w:p>
            <w:r>
              <w:t>Long Description</w:t>
            </w:r>
          </w:p>
        </w:tc>
      </w:tr>
      <w:tr>
        <w:trPr>
          <w:cantSplit w:val="1"/>
        </w:trPr>
        <w:tc>
          <w:tcPr>
            <w:tcW w:w="1404" w:type="dxa"/>
          </w:tcPr>
          <w:p>
            <w:r>
              <w:t>ID</w:t>
            </w:r>
          </w:p>
        </w:tc>
        <w:tc>
          <w:tcPr>
            <w:tcW w:w="2340" w:type="dxa"/>
          </w:tcPr>
          <w:p>
            <w:r>
              <w:t>Category</w:t>
            </w:r>
          </w:p>
        </w:tc>
        <w:tc>
          <w:tcPr>
            <w:tcW w:w="5616" w:type="dxa"/>
          </w:tcPr>
          <w:p>
            <w:r>
              <w:t>Detailed explanation of the feature or component</w:t>
            </w:r>
          </w:p>
        </w:tc>
      </w:tr>
      <w:tr>
        <w:trPr>
          <w:cantSplit w:val="1"/>
        </w:trPr>
        <w:tc>
          <w:tcPr>
            <w:tcW w:w="1404" w:type="dxa"/>
          </w:tcPr>
          <w:p>
            <w:r>
              <w:t>001</w:t>
            </w:r>
          </w:p>
        </w:tc>
        <w:tc>
          <w:tcPr>
            <w:tcW w:w="2340" w:type="dxa"/>
          </w:tcPr>
          <w:p>
            <w:r>
              <w:t>Parser</w:t>
            </w:r>
          </w:p>
        </w:tc>
        <w:tc>
          <w:tcPr>
            <w:tcW w:w="5616" w:type="dxa"/>
          </w:tcPr>
          <w:p>
            <w:r>
              <w:t>Handles Markdown syntax parsing with GFM extensions</w:t>
            </w:r>
          </w:p>
        </w:tc>
      </w:tr>
      <w:tr>
        <w:trPr>
          <w:cantSplit w:val="1"/>
        </w:trPr>
        <w:tc>
          <w:tcPr>
            <w:tcW w:w="1404" w:type="dxa"/>
          </w:tcPr>
          <w:p>
            <w:r>
              <w:t>002</w:t>
            </w:r>
          </w:p>
        </w:tc>
        <w:tc>
          <w:tcPr>
            <w:tcW w:w="2340" w:type="dxa"/>
          </w:tcPr>
          <w:p>
            <w:r>
              <w:t>Builder</w:t>
            </w:r>
          </w:p>
        </w:tc>
        <w:tc>
          <w:tcPr>
            <w:tcW w:w="5616" w:type="dxa"/>
          </w:tcPr>
          <w:p>
            <w:r>
              <w:t>Assembles the document structure and applies formatting</w:t>
            </w:r>
          </w:p>
        </w:tc>
      </w:tr>
    </w:tbl>
    <w:p>
      <w:bookmarkStart w:id="29" w:name="tbl-col-widths-example"/>
      <w:pPr>
        <w:pStyle w:val="Caption"/>
        <w:jc w:val="center"/>
      </w:pPr>
      <w:r>
        <w:rPr>
          <w:b/>
          <w:i/>
        </w:rPr>
        <w:t>Table 6:</w:t>
      </w:r>
      <w:r>
        <w:rPr>
          <w:b w:val="0"/>
          <w:i/>
        </w:rPr>
        <w:t xml:space="preserve"> Example table with custom column width distribution.</w:t>
      </w:r>
      <w:bookmarkEnd w:id="29"/>
    </w:p>
    <w:p>
      <w:r>
        <w:t>In this example, the first column occupies 15% of the table width, the second column 25%, and the third column (containing longer descriptions) occupies 60% of the available space.</w:t>
      </w:r>
    </w:p>
    <w:p>
      <w:bookmarkStart w:id="30" w:name="h-images-and-figures"/>
      <w:pPr>
        <w:pStyle w:val="Heading1"/>
        <w:pageBreakBefore w:val="1"/>
      </w:pPr>
      <w:r>
        <w:t>Images and Figures</w:t>
      </w:r>
      <w:bookmarkEnd w:id="30"/>
    </w:p>
    <w:p>
      <w:bookmarkStart w:id="31" w:name="h-standalone-images"/>
      <w:pPr>
        <w:pStyle w:val="Heading2"/>
      </w:pPr>
      <w:r>
        <w:t>Standalone Images</w:t>
      </w:r>
      <w:bookmarkEnd w:id="31"/>
    </w:p>
    <w:p>
      <w:bookmarkStart w:id="32" w:name="h-full-width-image"/>
      <w:pPr>
        <w:pStyle w:val="Heading3"/>
      </w:pPr>
      <w:r>
        <w:t>Full-Width Image</w:t>
      </w:r>
      <w:bookmarkEnd w:id="32"/>
    </w:p>
    <w:p>
      <w:r>
        <w:t>Large images can be displayed at full content width for maximum impact: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1019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019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3" w:name="fig-system-overview"/>
      <w:pPr>
        <w:pStyle w:val="Caption"/>
        <w:jc w:val="center"/>
      </w:pPr>
      <w:r>
        <w:rPr>
          <w:b/>
          <w:i/>
        </w:rPr>
        <w:t>Figure 4:</w:t>
      </w:r>
      <w:r>
        <w:rPr>
          <w:b w:val="0"/>
          <w:i/>
        </w:rPr>
        <w:t xml:space="preserve"> Complete system overview diagram showing all major components and their relationships.</w:t>
      </w:r>
      <w:bookmarkEnd w:id="33"/>
    </w:p>
    <w:p>
      <w:r>
        <w:t xml:space="preserve">As illustrated in </w:t>
      </w:r>
      <w:hyperlink w:anchor="fig-system-overview">
        <w:r>
          <w:rPr>
            <w:rStyle w:val="Hyperlink"/>
            <w:color w:val="0563C1"/>
            <w:u w:val="single"/>
          </w:rPr>
          <w:t xml:space="preserve">Figure 4</w:t>
        </w:r>
      </w:hyperlink>
      <w:r>
        <w:t>, the system architecture consists of four primary modules working in concert.</w:t>
      </w:r>
    </w:p>
    <w:p>
      <w:bookmarkStart w:id="34" w:name="h-left-aligned-image"/>
      <w:pPr>
        <w:pStyle w:val="Heading3"/>
      </w:pPr>
      <w:r>
        <w:t>Left-Aligned Image</w:t>
      </w:r>
      <w:bookmarkEnd w:id="34"/>
    </w:p>
    <w:p>
      <w:r>
        <w:t>Images can be positioned on the left side with text flowing alongside: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1719986" cy="17199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9986" cy="1719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5" w:name="fig-1"/>
      <w:pPr>
        <w:pStyle w:val="Caption"/>
        <w:jc w:val="left"/>
      </w:pPr>
      <w:r>
        <w:rPr>
          <w:b/>
          <w:i/>
        </w:rPr>
        <w:t>Figure 1:</w:t>
      </w:r>
      <w:r>
        <w:rPr>
          <w:b w:val="0"/>
          <w:i/>
        </w:rPr>
        <w:t xml:space="preserve"> Individual module icon representing the parsing engine.</w:t>
      </w:r>
      <w:bookmarkEnd w:id="35"/>
    </w:p>
    <w:p>
      <w:r>
        <w:t>This layout demonstrates how content wraps around left-aligned images. The parsing module serves as the foundation of the conversion pipeline, responsible for transforming raw Markdown syntax into an abstract syntax tree (AST) that the builder can process.</w:t>
      </w:r>
    </w:p>
    <w:p>
      <w:bookmarkStart w:id="36" w:name="h-centered-medium-image"/>
      <w:pPr>
        <w:pStyle w:val="Heading3"/>
      </w:pPr>
      <w:r>
        <w:t>Centered Medium Image</w:t>
      </w:r>
      <w:bookmarkEnd w:id="36"/>
    </w:p>
    <w:p>
      <w:r>
        <w:t>The default presentation centers images within the content area: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66644" cy="17199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6644" cy="1719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7" w:name="fig-data-flow"/>
      <w:pPr>
        <w:pStyle w:val="Caption"/>
        <w:jc w:val="center"/>
      </w:pPr>
      <w:r>
        <w:rPr>
          <w:b/>
          <w:i/>
        </w:rPr>
        <w:t>Figure 5:</w:t>
      </w:r>
      <w:r>
        <w:rPr>
          <w:b w:val="0"/>
          <w:i/>
        </w:rPr>
        <w:t xml:space="preserve"> Data flow diagram showing information pathways through the system.</w:t>
      </w:r>
      <w:bookmarkEnd w:id="37"/>
    </w:p>
    <w:p>
      <w:bookmarkStart w:id="38" w:name="h-figure-groups"/>
      <w:pPr>
        <w:pStyle w:val="Heading2"/>
      </w:pPr>
      <w:r>
        <w:t>Figure Groups</w:t>
      </w:r>
      <w:bookmarkEnd w:id="38"/>
    </w:p>
    <w:p>
      <w:r>
        <w:t>Multiple images can be displayed side-by-side for comparison purposes: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3120"/>
        <w:gridCol w:w="3120"/>
        <w:gridCol w:w="3120"/>
      </w:tblGrid>
      <w:tr>
        <w:tc>
          <w:tcPr>
            <w:tcBdr>
              <w:top w:val="none"/>
              <w:left w:val="none"/>
              <w:bottom w:val="none"/>
              <w:right w:val="none"/>
            </w:tcBdr>
            <w:tcMar>
              <w:top w:w="40" w:type="dxa"/>
              <w:bottom w:w="40" w:type="dxa"/>
              <w:left w:w="60" w:type="dxa"/>
              <w:right w:w="60" w:type="dxa"/>
            </w:tcMar>
            <w:tcW w:w="2916" w:type="dxa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4896" cy="13761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diagra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896" cy="1376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jc w:val="center"/>
            </w:pPr>
            <w:r>
              <w:rPr>
                <w:i/>
                <w:color w:val="555555"/>
                <w:sz w:val="18"/>
              </w:rPr>
              <w:t>a) Input Processing</w:t>
            </w:r>
          </w:p>
        </w:tc>
        <w:tc>
          <w:tcPr>
            <w:tcBdr>
              <w:top w:val="none"/>
              <w:left w:val="none"/>
              <w:bottom w:val="none"/>
              <w:right w:val="none"/>
            </w:tcBdr>
            <w:tcMar>
              <w:top w:w="40" w:type="dxa"/>
              <w:bottom w:w="40" w:type="dxa"/>
              <w:left w:w="60" w:type="dxa"/>
              <w:right w:w="60" w:type="dxa"/>
            </w:tcMar>
            <w:tcW w:w="2916" w:type="dxa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4896" cy="13761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896" cy="1376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jc w:val="center"/>
            </w:pPr>
            <w:r>
              <w:rPr>
                <w:i/>
                <w:color w:val="555555"/>
                <w:sz w:val="18"/>
              </w:rPr>
              <w:t>b) Output Generation</w:t>
            </w:r>
          </w:p>
        </w:tc>
        <w:tc>
          <w:tcPr>
            <w:tcBdr>
              <w:top w:val="none"/>
              <w:left w:val="none"/>
              <w:bottom w:val="none"/>
              <w:right w:val="none"/>
            </w:tcBdr>
            <w:tcMar>
              <w:top w:w="40" w:type="dxa"/>
              <w:bottom w:w="40" w:type="dxa"/>
              <w:left w:w="60" w:type="dxa"/>
              <w:right w:w="60" w:type="dxa"/>
            </w:tcMar>
            <w:tcW w:w="2916" w:type="dxa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4896" cy="13761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parison_char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896" cy="1376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jc w:val="center"/>
            </w:pPr>
            <w:r>
              <w:rPr>
                <w:i/>
                <w:color w:val="555555"/>
                <w:sz w:val="18"/>
              </w:rPr>
              <w:t>c) Quality Control</w:t>
            </w:r>
          </w:p>
        </w:tc>
      </w:tr>
    </w:tbl>
    <w:p>
      <w:bookmarkStart w:id="39" w:name="fig-pipeline"/>
      <w:pPr>
        <w:pStyle w:val="Caption"/>
        <w:jc w:val="center"/>
      </w:pPr>
      <w:r>
        <w:rPr>
          <w:b/>
          <w:i/>
        </w:rPr>
        <w:t>Figure 6:</w:t>
      </w:r>
      <w:r>
        <w:rPr>
          <w:b w:val="0"/>
          <w:i/>
        </w:rPr>
        <w:t xml:space="preserve"> Three-phase processing pipeline: input parsing, document building, and quality validation.</w:t>
      </w:r>
      <w:bookmarkEnd w:id="39"/>
    </w:p>
    <w:p>
      <w:r>
        <w:t xml:space="preserve">The figure group above, referenced as </w:t>
      </w:r>
      <w:hyperlink w:anchor="fig-pipeline">
        <w:r>
          <w:rPr>
            <w:rStyle w:val="Hyperlink"/>
            <w:color w:val="0563C1"/>
            <w:u w:val="single"/>
          </w:rPr>
          <w:t xml:space="preserve">Figure 6</w:t>
        </w:r>
      </w:hyperlink>
      <w:r>
        <w:t>, demonstrates how multiple related images can be presented together with individual sub-captions (a, b, c) and an overall group caption.</w:t>
      </w:r>
    </w:p>
    <w:p>
      <w:bookmarkStart w:id="40" w:name="h-cross-references-and-linking"/>
      <w:pPr>
        <w:pStyle w:val="Heading1"/>
        <w:pageBreakBefore w:val="1"/>
      </w:pPr>
      <w:r>
        <w:t>Cross-References and Linking</w:t>
      </w:r>
      <w:bookmarkEnd w:id="40"/>
    </w:p>
    <w:p>
      <w:bookmarkStart w:id="41" w:name="h-internal-references"/>
      <w:pPr>
        <w:pStyle w:val="Heading2"/>
      </w:pPr>
      <w:r>
        <w:t>Internal References</w:t>
      </w:r>
      <w:bookmarkEnd w:id="41"/>
    </w:p>
    <w:p>
      <w:r>
        <w:t>The document supports cross-referencing to:</w:t>
      </w:r>
    </w:p>
    <w:p>
      <w:r>
        <w:t xml:space="preserve">Sections (e.g., </w:t>
      </w:r>
      <w:hyperlink w:anchor="h-lists-and-enumeration">
        <w:r>
          <w:rPr>
            <w:rStyle w:val="Hyperlink"/>
            <w:color w:val="0563C1"/>
            <w:u w:val="single"/>
          </w:rPr>
          <w:t xml:space="preserve">Section 4.2</w:t>
        </w:r>
      </w:hyperlink>
      <w:r>
        <w:t xml:space="preserve"> covers list functionality)</w:t>
      </w:r>
    </w:p>
    <w:p>
      <w:bookmarkStart w:id="42" w:name="h-external-hyperlinks"/>
      <w:pPr>
        <w:pStyle w:val="Heading2"/>
      </w:pPr>
      <w:r>
        <w:t>External Hyperlinks</w:t>
      </w:r>
      <w:bookmarkEnd w:id="42"/>
    </w:p>
    <w:p>
      <w:r>
        <w:t xml:space="preserve">External resources can be linked directly: </w:t>
      </w:r>
      <w:hyperlink r:id="rId17">
        <w:r>
          <w:rPr>
            <w:rStyle w:val="Hyperlink"/>
            <w:color w:val="0563C1"/>
            <w:u w:val="single"/>
          </w:rPr>
          <w:t xml:space="preserve">Markdown Specification</w:t>
        </w:r>
      </w:hyperlink>
      <w:r>
        <w:t xml:space="preserve"> or </w:t>
      </w:r>
      <w:hyperlink r:id="rId18">
        <w:r>
          <w:rPr>
            <w:rStyle w:val="Hyperlink"/>
            <w:color w:val="0563C1"/>
            <w:u w:val="single"/>
          </w:rPr>
          <w:t xml:space="preserve">Microsoft Word Documentation</w:t>
        </w:r>
      </w:hyperlink>
      <w:r>
        <w:t>.</w:t>
      </w:r>
    </w:p>
    <w:p>
      <w:bookmarkStart w:id="43" w:name="h-code-examples"/>
      <w:pPr>
        <w:pStyle w:val="Heading1"/>
        <w:pageBreakBefore w:val="1"/>
      </w:pPr>
      <w:r>
        <w:t>Code Examples</w:t>
      </w:r>
      <w:bookmarkEnd w:id="43"/>
    </w:p>
    <w:p>
      <w:bookmarkStart w:id="44" w:name="h-python-code-block"/>
      <w:pPr>
        <w:pStyle w:val="Heading2"/>
      </w:pPr>
      <w:r>
        <w:t>Python Code Block</w:t>
      </w:r>
      <w:bookmarkEnd w:id="44"/>
    </w:p>
    <w:p>
      <w:pPr>
        <w:pStyle w:val="Code"/>
      </w:pPr>
      <w:r>
        <w:rPr>
          <w:rFonts w:ascii="Courier New" w:hAnsi="Courier New"/>
          <w:sz w:val="18"/>
        </w:rPr>
        <w:t>def process_markdown(source_file, config):</w:t>
        <w:br/>
        <w:t xml:space="preserve">    """</w:t>
        <w:br/>
        <w:t xml:space="preserve">    Main entry point for markdown processing.</w:t>
        <w:br/>
        <w:t xml:space="preserve">    </w:t>
        <w:br/>
        <w:t xml:space="preserve">    Args:</w:t>
        <w:br/>
        <w:t xml:space="preserve">        source_file: Path to markdown input</w:t>
        <w:br/>
        <w:t xml:space="preserve">        config: Dictionary of configuration options</w:t>
        <w:br/>
        <w:t xml:space="preserve">        </w:t>
        <w:br/>
        <w:t xml:space="preserve">    Returns:</w:t>
        <w:br/>
        <w:t xml:space="preserve">        Document: Generated Word document object</w:t>
        <w:br/>
        <w:t xml:space="preserve">    """</w:t>
        <w:br/>
        <w:t xml:space="preserve">    builder = DocumentBuilder(config)</w:t>
        <w:br/>
        <w:t xml:space="preserve">    builder.setup()</w:t>
        <w:br/>
        <w:t xml:space="preserve">    </w:t>
        <w:br/>
        <w:t xml:space="preserve">    with open(source_file, 'r') as f:</w:t>
        <w:br/>
        <w:t xml:space="preserve">        content = f.read()</w:t>
        <w:br/>
        <w:t xml:space="preserve">    </w:t>
        <w:br/>
        <w:t xml:space="preserve">    builder.add_content(content)</w:t>
        <w:br/>
        <w:t xml:space="preserve">    return builder.doc</w:t>
      </w:r>
    </w:p>
    <w:p>
      <w:r>
        <w:rPr>
          <w:b w:val="0"/>
          <w:i/>
        </w:rPr>
        <w:t>Code Block 1: Python implementation of the main processing function.</w:t>
      </w:r>
    </w:p>
    <w:p>
      <w:bookmarkStart w:id="45" w:name="h-javascript-code-block"/>
      <w:pPr>
        <w:pStyle w:val="Heading2"/>
      </w:pPr>
      <w:r>
        <w:t>JavaScript Code Block</w:t>
      </w:r>
      <w:bookmarkEnd w:id="45"/>
    </w:p>
    <w:p>
      <w:pPr>
        <w:pStyle w:val="Code"/>
      </w:pPr>
      <w:r>
        <w:rPr>
          <w:rFonts w:ascii="Courier New" w:hAnsi="Courier New"/>
          <w:sz w:val="18"/>
        </w:rPr>
        <w:t>// Configuration parser for document settings</w:t>
        <w:br/>
        <w:t>function parseConfig(configPath) {</w:t>
        <w:br/>
        <w:t xml:space="preserve">  const fs = require('fs');</w:t>
        <w:br/>
        <w:t xml:space="preserve">  const yaml = require('js-yaml');</w:t>
        <w:br/>
        <w:t xml:space="preserve">  </w:t>
        <w:br/>
        <w:t xml:space="preserve">  try {</w:t>
        <w:br/>
        <w:t xml:space="preserve">    const config = yaml.load(fs.readFileSync(configPath, 'utf8'));</w:t>
        <w:br/>
        <w:t xml:space="preserve">    return {</w:t>
        <w:br/>
        <w:t xml:space="preserve">      margins: config.page || {},</w:t>
        <w:br/>
        <w:t xml:space="preserve">      header: config.header || {},</w:t>
        <w:br/>
        <w:t xml:space="preserve">      footer: config.footer || {},</w:t>
        <w:br/>
        <w:t xml:space="preserve">      document: config.document || {}</w:t>
        <w:br/>
        <w:t xml:space="preserve">    };</w:t>
        <w:br/>
        <w:t xml:space="preserve">  } catch (error) {</w:t>
        <w:br/>
        <w:t xml:space="preserve">    console.error('Configuration error:', error);</w:t>
        <w:br/>
        <w:t xml:space="preserve">    return {};</w:t>
        <w:br/>
        <w:t xml:space="preserve">  }</w:t>
        <w:br/>
        <w:t>}</w:t>
      </w:r>
    </w:p>
    <w:p>
      <w:r>
        <w:rPr>
          <w:b w:val="0"/>
          <w:i/>
        </w:rPr>
        <w:t>Code Block 2: JavaScript configuration parser implementation.</w:t>
      </w:r>
    </w:p>
    <w:p>
      <w:bookmarkStart w:id="46" w:name="h-special-elements"/>
      <w:pPr>
        <w:pStyle w:val="Heading1"/>
        <w:pageBreakBefore w:val="1"/>
      </w:pPr>
      <w:r>
        <w:t>Special Elements</w:t>
      </w:r>
      <w:bookmarkEnd w:id="46"/>
    </w:p>
    <w:p>
      <w:bookmarkStart w:id="47" w:name="h-alert-boxes"/>
      <w:pPr>
        <w:pStyle w:val="Heading2"/>
      </w:pPr>
      <w:r>
        <w:t>Alert Boxes</w:t>
      </w:r>
      <w:bookmarkEnd w:id="47"/>
    </w:p>
    <w:p>
      <w:r>
        <w:t>GitHub-style alerts provide visual emphasis for different message types: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6" w:type="dxa"/>
      </w:tblPr>
      <w:tblGrid>
        <w:gridCol w:w="9360"/>
      </w:tblGrid>
      <w:tr>
        <w:tc>
          <w:tcPr>
            <w:tcW w:type="dxa" w:w="859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left w:val="single" w:sz="24" w:color="2E75B6"/>
              <w:top w:val="nil"/>
              <w:right w:val="nil"/>
              <w:bottom w:val="nil"/>
            </w:tcBorders>
            <w:shd w:val="clear" w:color="auto" w:fill="F5F5F5"/>
          </w:tcPr>
          <w:p>
            <w:pPr>
              <w:spacing w:before="120" w:after="120"/>
            </w:pPr>
            <w:r>
              <w:rPr>
                <w:b/>
                <w:color w:val="2E75B6"/>
              </w:rPr>
              <w:t xml:space="preserve">[NOTE] </w:t>
            </w:r>
            <w:r>
              <w:t>This is an informational note. It provides additional context or helpful information that supplements the main content.</w:t>
            </w:r>
          </w:p>
        </w:tc>
      </w:tr>
    </w:tbl>
    <w:p>
      <w:pPr>
        <w:spacing w:before="0" w:after="160"/>
      </w:pPr>
    </w:p>
    <w:p>
      <w:pPr>
        <w:spacing w:before="0" w:after="160" w:line="2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" w:type="dxa"/>
      </w:tblPr>
      <w:tblGrid>
        <w:gridCol w:w="9360"/>
      </w:tblGrid>
      <w:tr>
        <w:tc>
          <w:tcPr>
            <w:tcW w:type="dxa" w:w="859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left w:val="single" w:sz="24" w:color="28A745"/>
              <w:top w:val="nil"/>
              <w:right w:val="nil"/>
              <w:bottom w:val="nil"/>
            </w:tcBorders>
            <w:shd w:val="clear" w:color="auto" w:fill="F5F5F5"/>
          </w:tcPr>
          <w:p>
            <w:pPr>
              <w:spacing w:before="120" w:after="120"/>
            </w:pPr>
            <w:r>
              <w:rPr>
                <w:b/>
                <w:color w:val="28A745"/>
              </w:rPr>
              <w:t xml:space="preserve">[TIP] </w:t>
            </w:r>
            <w:r>
              <w:t>This is a helpful tip. Tips offer practical advice or shortcuts that can improve workflow efficiency.</w:t>
            </w:r>
          </w:p>
        </w:tc>
      </w:tr>
    </w:tbl>
    <w:p>
      <w:pPr>
        <w:spacing w:before="0" w:after="160"/>
      </w:pPr>
    </w:p>
    <w:p>
      <w:pPr>
        <w:spacing w:before="0" w:after="160" w:line="2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" w:type="dxa"/>
      </w:tblPr>
      <w:tblGrid>
        <w:gridCol w:w="9360"/>
      </w:tblGrid>
      <w:tr>
        <w:tc>
          <w:tcPr>
            <w:tcW w:type="dxa" w:w="859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left w:val="single" w:sz="24" w:color="FFA500"/>
              <w:top w:val="nil"/>
              <w:right w:val="nil"/>
              <w:bottom w:val="nil"/>
            </w:tcBorders>
            <w:shd w:val="clear" w:color="auto" w:fill="F5F5F5"/>
          </w:tcPr>
          <w:p>
            <w:pPr>
              <w:spacing w:before="120" w:after="120"/>
            </w:pPr>
            <w:r>
              <w:rPr>
                <w:b/>
                <w:color w:val="FFA500"/>
              </w:rPr>
              <w:t xml:space="preserve">[WARNING] </w:t>
            </w:r>
            <w:r>
              <w:t>This is a warning message. Warnings indicate potential issues or important considerations that require attention.</w:t>
            </w:r>
          </w:p>
        </w:tc>
      </w:tr>
    </w:tbl>
    <w:p>
      <w:pPr>
        <w:spacing w:before="0" w:after="160"/>
      </w:pPr>
    </w:p>
    <w:p>
      <w:pPr>
        <w:spacing w:before="0" w:after="160" w:line="2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" w:type="dxa"/>
      </w:tblPr>
      <w:tblGrid>
        <w:gridCol w:w="9360"/>
      </w:tblGrid>
      <w:tr>
        <w:tc>
          <w:tcPr>
            <w:tcW w:type="dxa" w:w="859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left w:val="single" w:sz="24" w:color="DC3545"/>
              <w:top w:val="nil"/>
              <w:right w:val="nil"/>
              <w:bottom w:val="nil"/>
            </w:tcBorders>
            <w:shd w:val="clear" w:color="auto" w:fill="F5F5F5"/>
          </w:tcPr>
          <w:p>
            <w:pPr>
              <w:spacing w:before="120" w:after="120"/>
            </w:pPr>
            <w:r>
              <w:rPr>
                <w:b/>
                <w:color w:val="DC3545"/>
              </w:rPr>
              <w:t xml:space="preserve">[CAUTION] </w:t>
            </w:r>
            <w:r>
              <w:t>This is a caution alert. Cautions highlight actions that could cause problems if not handled carefully.</w:t>
            </w:r>
          </w:p>
        </w:tc>
      </w:tr>
    </w:tbl>
    <w:p>
      <w:pPr>
        <w:spacing w:before="0" w:after="160"/>
      </w:pPr>
    </w:p>
    <w:p>
      <w:pPr>
        <w:spacing w:before="0" w:after="160" w:line="2" w:lineRule="exact"/>
      </w:pPr>
    </w:p>
    <w:p>
      <w:bookmarkStart w:id="48" w:name="h-horizontal-rules"/>
      <w:pPr>
        <w:pStyle w:val="Heading2"/>
      </w:pPr>
      <w:r>
        <w:t>Horizontal Rules</w:t>
      </w:r>
      <w:bookmarkEnd w:id="48"/>
    </w:p>
    <w:p>
      <w:r>
        <w:t>Horizontal rules can be used to separate sections visually:</w:t>
      </w:r>
    </w:p>
    <w:p>
      <w:pPr>
        <w:pageBreakBefore w:val="1"/>
      </w:pPr>
      <w:r>
        <w:t>They create a clear break without starting a new page.</w:t>
      </w:r>
    </w:p>
    <w:p>
      <w:bookmarkStart w:id="49" w:name="h-vertical-space"/>
      <w:pPr>
        <w:pStyle w:val="Heading2"/>
        <w:pageBreakBefore w:val="1"/>
      </w:pPr>
      <w:r>
        <w:t>Vertical Space</w:t>
      </w:r>
      <w:bookmarkEnd w:id="49"/>
    </w:p>
    <w:p>
      <w:r>
        <w:t xml:space="preserve">The </w:t>
      </w:r>
      <w:r>
        <w:rPr>
          <w:rFonts w:ascii="Courier New" w:hAnsi="Courier New"/>
          <w:sz w:val="20"/>
        </w:rPr>
        <w:t>:::space</w:t>
      </w:r>
      <w:r>
        <w:t xml:space="preserve"> directive provides precise vertical spacing control, ideal for fine-tuning layout on cover pages and between sections.</w:t>
      </w:r>
    </w:p>
    <w:p>
      <w:r>
        <w:t xml:space="preserve">Use </w:t>
      </w:r>
      <w:r>
        <w:rPr>
          <w:rFonts w:ascii="Courier New" w:hAnsi="Courier New"/>
          <w:sz w:val="20"/>
        </w:rPr>
        <w:t>lines</w:t>
      </w:r>
      <w:r>
        <w:t xml:space="preserve"> to insert space measured in body-text lines (11 pt per line):</w:t>
      </w:r>
    </w:p>
    <w:p>
      <w:pPr>
        <w:spacing w:before="0" w:after="0" w:line="660" w:lineRule="exact"/>
      </w:pPr>
    </w:p>
    <w:p>
      <w:r>
        <w:t xml:space="preserve">Or use </w:t>
      </w:r>
      <w:r>
        <w:rPr>
          <w:rFonts w:ascii="Courier New" w:hAnsi="Courier New"/>
          <w:sz w:val="20"/>
        </w:rPr>
        <w:t>pt</w:t>
      </w:r>
      <w:r>
        <w:t xml:space="preserve"> for an exact point value:</w:t>
      </w:r>
    </w:p>
    <w:p>
      <w:pPr>
        <w:spacing w:before="0" w:after="0" w:line="480" w:lineRule="exact"/>
      </w:pPr>
    </w:p>
    <w:p>
      <w:r>
        <w:t>Both examples above create white space without forcing a page break.</w:t>
      </w:r>
    </w:p>
    <w:p>
      <w:bookmarkStart w:id="50" w:name="h-appendix"/>
      <w:pPr>
        <w:numPr>
          <w:ilvl w:val="0"/>
          <w:numId w:val="0"/>
        </w:numPr>
        <w:pStyle w:val="Heading1"/>
        <w:pageBreakBefore w:val="1"/>
      </w:pPr>
      <w:r>
        <w:t>Appendix</w:t>
      </w:r>
      <w:bookmarkEnd w:id="50"/>
    </w:p>
    <w:p>
      <w:bookmarkStart w:id="51" w:name="h-a-supported-markdown-extensions"/>
      <w:pPr>
        <w:numPr>
          <w:ilvl w:val="0"/>
          <w:numId w:val="0"/>
        </w:numPr>
        <w:pStyle w:val="Heading2"/>
      </w:pPr>
      <w:r>
        <w:t>A. Supported Markdown Extensions</w:t>
      </w:r>
      <w:bookmarkEnd w:id="51"/>
    </w:p>
    <w:p>
      <w:bookmarkStart w:id="52" w:name="h-a1-github-flavored-markdown"/>
      <w:pPr>
        <w:numPr>
          <w:ilvl w:val="0"/>
          <w:numId w:val="0"/>
        </w:numPr>
        <w:pStyle w:val="Heading3"/>
      </w:pPr>
      <w:r>
        <w:t>A.1 GitHub Flavored Markdown</w:t>
      </w:r>
      <w:bookmarkEnd w:id="52"/>
    </w:p>
    <w:p>
      <w:r>
        <w:t>The converter fully supports GFM syntax including:</w:t>
      </w:r>
    </w:p>
    <w:p>
      <w:pPr>
        <w:numPr>
          <w:ilvl w:val="0"/>
          <w:numId w:val="15"/>
        </w:numPr>
        <w:pStyle w:val="ListBullet"/>
      </w:pPr>
      <w:r>
        <w:t>Tables with alignment</w:t>
      </w:r>
    </w:p>
    <w:p>
      <w:pPr>
        <w:numPr>
          <w:ilvl w:val="0"/>
          <w:numId w:val="15"/>
        </w:numPr>
        <w:pStyle w:val="ListBullet"/>
      </w:pPr>
      <w:r>
        <w:t>Task lists (converted to bullet points)</w:t>
      </w:r>
    </w:p>
    <w:p>
      <w:pPr>
        <w:numPr>
          <w:ilvl w:val="0"/>
          <w:numId w:val="15"/>
        </w:numPr>
        <w:pStyle w:val="ListBullet"/>
      </w:pPr>
      <w:r>
        <w:t>Strikethrough text</w:t>
      </w:r>
    </w:p>
    <w:p>
      <w:pPr>
        <w:numPr>
          <w:ilvl w:val="0"/>
          <w:numId w:val="15"/>
        </w:numPr>
        <w:pStyle w:val="ListBullet"/>
      </w:pPr>
      <w:r>
        <w:t>Autolinks</w:t>
      </w:r>
    </w:p>
    <w:p>
      <w:bookmarkStart w:id="53" w:name="h-a11-table-alignment"/>
      <w:pPr>
        <w:pStyle w:val="Heading3"/>
      </w:pPr>
      <w:r>
        <w:t>A.1.1 Table Alignment</w:t>
      </w:r>
      <w:bookmarkEnd w:id="53"/>
    </w:p>
    <w:p>
      <w:r>
        <w:t>Tables support column alignment through colon placement:</w:t>
      </w:r>
    </w:p>
    <w:tbl>
      <w:tblPr>
        <w:tblStyle w:val="MdToDocxDataTable"/>
        <w:tblLook w:firstColumn="0" w:firstRow="1" w:lastColumn="0" w:lastRow="0" w:noHBand="0" w:noVBand="1" w:val="0420"/>
        <w:tblW w:w="5000" w:type="pct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</w:tcPr>
          <w:p>
            <w:r>
              <w:t>Left</w:t>
            </w:r>
          </w:p>
        </w:tc>
        <w:tc>
          <w:tcPr>
            <w:tcW w:type="dxa" w:w="3120"/>
          </w:tcPr>
          <w:p>
            <w:r>
              <w:t>Center</w:t>
            </w:r>
          </w:p>
        </w:tc>
        <w:tc>
          <w:tcPr>
            <w:tcW w:type="dxa" w:w="3120"/>
          </w:tcPr>
          <w:p>
            <w:r>
              <w:t>Right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r>
              <w:t>L1</w:t>
            </w:r>
          </w:p>
        </w:tc>
        <w:tc>
          <w:tcPr>
            <w:tcW w:type="dxa" w:w="3120"/>
          </w:tcPr>
          <w:p>
            <w:r>
              <w:t>C1</w:t>
            </w:r>
          </w:p>
        </w:tc>
        <w:tc>
          <w:tcPr>
            <w:tcW w:type="dxa" w:w="3120"/>
          </w:tcPr>
          <w:p>
            <w:r>
              <w:t>R1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r>
              <w:t>L2</w:t>
            </w:r>
          </w:p>
        </w:tc>
        <w:tc>
          <w:tcPr>
            <w:tcW w:type="dxa" w:w="3120"/>
          </w:tcPr>
          <w:p>
            <w:r>
              <w:t>C2</w:t>
            </w:r>
          </w:p>
        </w:tc>
        <w:tc>
          <w:tcPr>
            <w:tcW w:type="dxa" w:w="3120"/>
          </w:tcPr>
          <w:p>
            <w:r>
              <w:t>R2</w:t>
            </w:r>
          </w:p>
        </w:tc>
      </w:tr>
    </w:tbl>
    <w:p>
      <w:bookmarkStart w:id="54" w:name="h-a2-custom-extensions"/>
      <w:pPr>
        <w:pStyle w:val="Heading3"/>
      </w:pPr>
      <w:r>
        <w:t>A.2 Custom Extensions</w:t>
      </w:r>
      <w:bookmarkEnd w:id="54"/>
    </w:p>
    <w:p>
      <w:r>
        <w:t>Additional features beyond standard Markdown:</w:t>
      </w:r>
    </w:p>
    <w:p>
      <w:pPr>
        <w:numPr>
          <w:ilvl w:val="0"/>
          <w:numId w:val="16"/>
        </w:numPr>
        <w:pStyle w:val="ListBullet"/>
      </w:pPr>
      <w:r>
        <w:t xml:space="preserve">Image sizing with </w:t>
      </w:r>
      <w:r>
        <w:rPr>
          <w:rFonts w:ascii="Courier New" w:hAnsi="Courier New"/>
          <w:sz w:val="20"/>
        </w:rPr>
        <w:t>{.xs}</w:t>
      </w:r>
      <w:r>
        <w:t xml:space="preserve">, </w:t>
      </w:r>
      <w:r>
        <w:rPr>
          <w:rFonts w:ascii="Courier New" w:hAnsi="Courier New"/>
          <w:sz w:val="20"/>
        </w:rPr>
        <w:t>{.small}</w:t>
      </w:r>
      <w:r>
        <w:t xml:space="preserve">, </w:t>
      </w:r>
      <w:r>
        <w:rPr>
          <w:rFonts w:ascii="Courier New" w:hAnsi="Courier New"/>
          <w:sz w:val="20"/>
        </w:rPr>
        <w:t>{.medium}</w:t>
      </w:r>
      <w:r>
        <w:t xml:space="preserve">, </w:t>
      </w:r>
      <w:r>
        <w:rPr>
          <w:rFonts w:ascii="Courier New" w:hAnsi="Courier New"/>
          <w:sz w:val="20"/>
        </w:rPr>
        <w:t>{.large}</w:t>
      </w:r>
      <w:r>
        <w:t xml:space="preserve">, </w:t>
      </w:r>
      <w:r>
        <w:rPr>
          <w:rFonts w:ascii="Courier New" w:hAnsi="Courier New"/>
          <w:sz w:val="20"/>
        </w:rPr>
        <w:t>{.xl}</w:t>
      </w:r>
    </w:p>
    <w:p>
      <w:pPr>
        <w:numPr>
          <w:ilvl w:val="0"/>
          <w:numId w:val="16"/>
        </w:numPr>
        <w:pStyle w:val="ListBullet"/>
      </w:pPr>
      <w:r>
        <w:t xml:space="preserve">Alignment classes: </w:t>
      </w:r>
      <w:r>
        <w:rPr>
          <w:rFonts w:ascii="Courier New" w:hAnsi="Courier New"/>
          <w:sz w:val="20"/>
        </w:rPr>
        <w:t>{.left}</w:t>
      </w:r>
      <w:r>
        <w:t xml:space="preserve">, </w:t>
      </w:r>
      <w:r>
        <w:rPr>
          <w:rFonts w:ascii="Courier New" w:hAnsi="Courier New"/>
          <w:sz w:val="20"/>
        </w:rPr>
        <w:t>{.center}</w:t>
      </w:r>
      <w:r>
        <w:t xml:space="preserve">, </w:t>
      </w:r>
      <w:r>
        <w:rPr>
          <w:rFonts w:ascii="Courier New" w:hAnsi="Courier New"/>
          <w:sz w:val="20"/>
        </w:rPr>
        <w:t>{.right}</w:t>
      </w:r>
    </w:p>
    <w:p>
      <w:pPr>
        <w:numPr>
          <w:ilvl w:val="0"/>
          <w:numId w:val="16"/>
        </w:numPr>
        <w:pStyle w:val="ListBullet"/>
      </w:pPr>
      <w:r>
        <w:t xml:space="preserve">Heading attributes: </w:t>
      </w:r>
      <w:r>
        <w:rPr>
          <w:rFonts w:ascii="Courier New" w:hAnsi="Courier New"/>
          <w:sz w:val="20"/>
        </w:rPr>
        <w:t>{.notoc}</w:t>
      </w:r>
      <w:r>
        <w:t xml:space="preserve">, </w:t>
      </w:r>
      <w:r>
        <w:rPr>
          <w:rFonts w:ascii="Courier New" w:hAnsi="Courier New"/>
          <w:sz w:val="20"/>
        </w:rPr>
        <w:t>{.nonumber}</w:t>
      </w:r>
    </w:p>
    <w:p>
      <w:pPr>
        <w:numPr>
          <w:ilvl w:val="0"/>
          <w:numId w:val="16"/>
        </w:numPr>
        <w:pStyle w:val="ListBullet"/>
      </w:pPr>
      <w:r>
        <w:t xml:space="preserve">Figure groups with </w:t>
      </w:r>
      <w:r>
        <w:rPr>
          <w:rFonts w:ascii="Courier New" w:hAnsi="Courier New"/>
          <w:sz w:val="20"/>
        </w:rPr>
        <w:t>:::figures</w:t>
      </w:r>
      <w:r>
        <w:t xml:space="preserve"> blocks</w:t>
      </w:r>
    </w:p>
    <w:p>
      <w:pPr>
        <w:numPr>
          <w:ilvl w:val="0"/>
          <w:numId w:val="16"/>
        </w:numPr>
        <w:pStyle w:val="ListBullet"/>
      </w:pPr>
      <w:r>
        <w:t xml:space="preserve">Custom column widths: </w:t>
      </w:r>
      <w:r>
        <w:rPr>
          <w:rFonts w:ascii="Courier New" w:hAnsi="Courier New"/>
          <w:sz w:val="20"/>
        </w:rPr>
        <w:t>{col-widths="20%,30%,50%"}</w:t>
      </w:r>
    </w:p>
    <w:p>
      <w:bookmarkStart w:id="55" w:name="h-b-configuration-options"/>
      <w:pPr>
        <w:numPr>
          <w:ilvl w:val="0"/>
          <w:numId w:val="0"/>
        </w:numPr>
        <w:pStyle w:val="Heading2"/>
      </w:pPr>
      <w:r>
        <w:t>B. Configuration Options</w:t>
      </w:r>
      <w:bookmarkEnd w:id="55"/>
    </w:p>
    <w:p>
      <w:bookmarkStart w:id="56" w:name="h-b1-document-metadata"/>
      <w:pPr>
        <w:numPr>
          <w:ilvl w:val="0"/>
          <w:numId w:val="0"/>
        </w:numPr>
        <w:pStyle w:val="Heading3"/>
      </w:pPr>
      <w:r>
        <w:t>B.1 Document Metadata</w:t>
      </w:r>
      <w:bookmarkEnd w:id="56"/>
    </w:p>
    <w:p>
      <w:r>
        <w:t xml:space="preserve">Controlled via </w:t>
      </w:r>
      <w:r>
        <w:rPr>
          <w:rFonts w:ascii="Courier New" w:hAnsi="Courier New"/>
          <w:sz w:val="20"/>
        </w:rPr>
        <w:t>config.yaml</w:t>
      </w:r>
      <w:r>
        <w:t>:</w:t>
      </w:r>
    </w:p>
    <w:p>
      <w:pPr>
        <w:numPr>
          <w:ilvl w:val="0"/>
          <w:numId w:val="17"/>
        </w:numPr>
        <w:pStyle w:val="ListNumber"/>
      </w:pPr>
      <w:r>
        <w:rPr>
          <w:b/>
        </w:rPr>
        <w:t>Document properties</w:t>
      </w:r>
      <w:r>
        <w:t>: title, author, date, version</w:t>
      </w:r>
    </w:p>
    <w:p>
      <w:pPr>
        <w:numPr>
          <w:ilvl w:val="0"/>
          <w:numId w:val="17"/>
        </w:numPr>
        <w:pStyle w:val="ListNumber"/>
      </w:pPr>
      <w:r>
        <w:rPr>
          <w:b/>
        </w:rPr>
        <w:t>Page layout</w:t>
      </w:r>
      <w:r>
        <w:t>: margins, paper size, orientation</w:t>
      </w:r>
    </w:p>
    <w:p>
      <w:pPr>
        <w:numPr>
          <w:ilvl w:val="0"/>
          <w:numId w:val="17"/>
        </w:numPr>
        <w:pStyle w:val="ListNumber"/>
      </w:pPr>
      <w:r>
        <w:rPr>
          <w:b/>
        </w:rPr>
        <w:t>Headers and footers</w:t>
      </w:r>
      <w:r>
        <w:t>: content, alignment, dynamic fields</w:t>
      </w:r>
    </w:p>
    <w:p>
      <w:bookmarkStart w:id="57" w:name="h-b11-dynamic-fields"/>
      <w:pPr>
        <w:numPr>
          <w:ilvl w:val="0"/>
          <w:numId w:val="0"/>
        </w:numPr>
        <w:pStyle w:val="Heading3"/>
      </w:pPr>
      <w:r>
        <w:t>B.1.1 Dynamic Fields</w:t>
      </w:r>
      <w:bookmarkEnd w:id="57"/>
    </w:p>
    <w:p>
      <w:r>
        <w:t>Headers and footers support placeholder substitution:</w:t>
      </w:r>
    </w:p>
    <w:p>
      <w:pPr>
        <w:numPr>
          <w:ilvl w:val="0"/>
          <w:numId w:val="18"/>
        </w:numPr>
        <w:pStyle w:val="ListBullet"/>
      </w:pPr>
      <w:r>
        <w:rPr>
          <w:rFonts w:ascii="Courier New" w:hAnsi="Courier New"/>
          <w:sz w:val="20"/>
        </w:rPr>
        <w:t>{title}</w:t>
      </w:r>
      <w:r>
        <w:t xml:space="preserve"> - Document title from config</w:t>
      </w:r>
    </w:p>
    <w:p>
      <w:pPr>
        <w:numPr>
          <w:ilvl w:val="0"/>
          <w:numId w:val="18"/>
        </w:numPr>
        <w:pStyle w:val="ListBullet"/>
      </w:pPr>
      <w:r>
        <w:rPr>
          <w:rFonts w:ascii="Courier New" w:hAnsi="Courier New"/>
          <w:sz w:val="20"/>
        </w:rPr>
        <w:t>{author}</w:t>
      </w:r>
      <w:r>
        <w:t xml:space="preserve"> - Author name from config</w:t>
      </w:r>
    </w:p>
    <w:p>
      <w:pPr>
        <w:numPr>
          <w:ilvl w:val="0"/>
          <w:numId w:val="18"/>
        </w:numPr>
        <w:pStyle w:val="ListBullet"/>
      </w:pPr>
      <w:r>
        <w:rPr>
          <w:rFonts w:ascii="Courier New" w:hAnsi="Courier New"/>
          <w:sz w:val="20"/>
        </w:rPr>
        <w:t>{date}</w:t>
      </w:r>
      <w:r>
        <w:t xml:space="preserve"> - Document date from config</w:t>
      </w:r>
    </w:p>
    <w:p>
      <w:pPr>
        <w:numPr>
          <w:ilvl w:val="0"/>
          <w:numId w:val="18"/>
        </w:numPr>
        <w:pStyle w:val="ListBullet"/>
      </w:pPr>
      <w:r>
        <w:rPr>
          <w:rFonts w:ascii="Courier New" w:hAnsi="Courier New"/>
          <w:sz w:val="20"/>
        </w:rPr>
        <w:t>{page}</w:t>
      </w:r>
      <w:r>
        <w:t xml:space="preserve"> - Current page number</w:t>
      </w:r>
    </w:p>
    <w:p>
      <w:pPr>
        <w:numPr>
          <w:ilvl w:val="0"/>
          <w:numId w:val="18"/>
        </w:numPr>
        <w:pStyle w:val="ListBullet"/>
      </w:pPr>
      <w:r>
        <w:rPr>
          <w:rFonts w:ascii="Courier New" w:hAnsi="Courier New"/>
          <w:sz w:val="20"/>
        </w:rPr>
        <w:t>{total}</w:t>
      </w:r>
      <w:r>
        <w:t xml:space="preserve"> - Total page count</w:t>
      </w:r>
    </w:p>
    <w:p>
      <w:bookmarkStart w:id="58" w:name="h-b2-styling-options"/>
      <w:pPr>
        <w:numPr>
          <w:ilvl w:val="0"/>
          <w:numId w:val="0"/>
        </w:numPr>
        <w:pStyle w:val="Heading3"/>
      </w:pPr>
      <w:r>
        <w:t>B.2 Styling Options</w:t>
      </w:r>
      <w:bookmarkEnd w:id="58"/>
    </w:p>
    <w:p>
      <w:r>
        <w:t>Visual presentation controlled through:</w:t>
      </w:r>
    </w:p>
    <w:p>
      <w:pPr>
        <w:numPr>
          <w:ilvl w:val="0"/>
          <w:numId w:val="19"/>
        </w:numPr>
        <w:pStyle w:val="ListBullet"/>
      </w:pPr>
      <w:r>
        <w:rPr>
          <w:b/>
        </w:rPr>
        <w:t>Heading colors</w:t>
      </w:r>
      <w:r>
        <w:t>: Alternating dark blue and medium blue</w:t>
      </w:r>
    </w:p>
    <w:p>
      <w:pPr>
        <w:numPr>
          <w:ilvl w:val="0"/>
          <w:numId w:val="19"/>
        </w:numPr>
        <w:pStyle w:val="ListBullet"/>
      </w:pPr>
      <w:r>
        <w:rPr>
          <w:b/>
        </w:rPr>
        <w:t>Numbered headings</w:t>
      </w:r>
      <w:r>
        <w:t>: Optional sequential numbering</w:t>
      </w:r>
    </w:p>
    <w:p>
      <w:pPr>
        <w:numPr>
          <w:ilvl w:val="0"/>
          <w:numId w:val="19"/>
        </w:numPr>
        <w:pStyle w:val="ListBullet"/>
      </w:pPr>
      <w:r>
        <w:rPr>
          <w:b/>
        </w:rPr>
        <w:t>Code formatting</w:t>
      </w:r>
      <w:r>
        <w:t>: Grey background with monospace font</w:t>
      </w:r>
    </w:p>
    <w:p>
      <w:pPr>
        <w:numPr>
          <w:ilvl w:val="0"/>
          <w:numId w:val="19"/>
        </w:numPr>
        <w:pStyle w:val="ListBullet"/>
      </w:pPr>
      <w:r>
        <w:rPr>
          <w:b/>
        </w:rPr>
        <w:t>Table styling</w:t>
      </w:r>
      <w:r>
        <w:t>: Alternating row shading, header formatting</w:t>
      </w:r>
    </w:p>
    <w:p>
      <w:bookmarkStart w:id="59" w:name="h-c-property-substitution"/>
      <w:pPr>
        <w:numPr>
          <w:ilvl w:val="0"/>
          <w:numId w:val="0"/>
        </w:numPr>
        <w:pStyle w:val="Heading2"/>
      </w:pPr>
      <w:r>
        <w:t>C. Property Substitution</w:t>
      </w:r>
      <w:bookmarkEnd w:id="59"/>
    </w:p>
    <w:p>
      <w:r>
        <w:t xml:space="preserve">Dynamic values can be inserted using </w:t>
      </w:r>
      <w:r>
        <w:rPr>
          <w:rFonts w:ascii="Courier New" w:hAnsi="Courier New"/>
          <w:sz w:val="20"/>
        </w:rPr>
        <w:t>{{property}}</w:t>
      </w:r>
      <w:r>
        <w:t xml:space="preserve"> syntax from </w:t>
      </w:r>
      <w:r>
        <w:rPr>
          <w:rFonts w:ascii="Courier New" w:hAnsi="Courier New"/>
          <w:sz w:val="20"/>
        </w:rPr>
        <w:t>properties.yaml</w:t>
      </w:r>
      <w:r>
        <w:t>. This enables template-based document generation where specific values are populated at build time.</w:t>
      </w:r>
    </w:p>
    <w:p>
      <w:bookmarkStart w:id="60" w:name="h-c1-usage-examples"/>
      <w:pPr>
        <w:numPr>
          <w:ilvl w:val="0"/>
          <w:numId w:val="0"/>
        </w:numPr>
        <w:pStyle w:val="Heading3"/>
      </w:pPr>
      <w:r>
        <w:t>C.1 Usage Examples</w:t>
      </w:r>
      <w:bookmarkEnd w:id="60"/>
    </w:p>
    <w:p>
      <w:r>
        <w:t xml:space="preserve">The converter supports </w:t>
      </w:r>
      <w:r>
        <w:rPr>
          <w:b/>
        </w:rPr>
        <w:t>6 levels</w:t>
      </w:r>
      <w:r>
        <w:t xml:space="preserve"> heading levels and </w:t>
      </w:r>
      <w:r>
        <w:rPr>
          <w:b/>
        </w:rPr>
        <w:t>3 styles</w:t>
      </w:r>
      <w:r>
        <w:t xml:space="preserve"> table styles. The </w:t>
      </w:r>
      <w:r>
        <w:rPr>
          <w:b/>
        </w:rPr>
        <w:t>md_to_docx</w:t>
      </w:r>
      <w:r>
        <w:t xml:space="preserve"> project is currently at version </w:t>
      </w:r>
      <w:r>
        <w:rPr>
          <w:b/>
        </w:rPr>
        <w:t>2.0</w:t>
      </w:r>
      <w:r>
        <w:t xml:space="preserve"> and has processed over </w:t>
      </w:r>
      <w:r>
        <w:rPr>
          <w:b/>
        </w:rPr>
        <w:t>1,250+</w:t>
      </w:r>
      <w:r>
        <w:t xml:space="preserve"> files.</w:t>
      </w:r>
    </w:p>
    <w:p>
      <w:bookmarkStart w:id="61" w:name="h-c2-configuration-data"/>
      <w:pPr>
        <w:numPr>
          <w:ilvl w:val="0"/>
          <w:numId w:val="0"/>
        </w:numPr>
        <w:pStyle w:val="Heading3"/>
      </w:pPr>
      <w:r>
        <w:t>C.2 Configuration Data</w:t>
      </w:r>
      <w:bookmarkEnd w:id="61"/>
    </w:p>
    <w:p>
      <w:r>
        <w:t>Based on the configuration:</w:t>
      </w:r>
    </w:p>
    <w:p>
      <w:pPr>
        <w:numPr>
          <w:ilvl w:val="0"/>
          <w:numId w:val="20"/>
        </w:numPr>
        <w:pStyle w:val="ListBullet"/>
      </w:pPr>
      <w:r>
        <w:rPr>
          <w:b/>
        </w:rPr>
        <w:t>Supported formats</w:t>
      </w:r>
      <w:r>
        <w:t>: Markdown to Word (.docx)</w:t>
      </w:r>
    </w:p>
    <w:p>
      <w:pPr>
        <w:numPr>
          <w:ilvl w:val="0"/>
          <w:numId w:val="20"/>
        </w:numPr>
        <w:pStyle w:val="ListBullet"/>
      </w:pPr>
      <w:r>
        <w:rPr>
          <w:b/>
        </w:rPr>
        <w:t>Parser engine</w:t>
      </w:r>
      <w:r>
        <w:t>: Marko with GFM extensions</w:t>
      </w:r>
    </w:p>
    <w:p>
      <w:pPr>
        <w:numPr>
          <w:ilvl w:val="0"/>
          <w:numId w:val="20"/>
        </w:numPr>
        <w:pStyle w:val="ListBullet"/>
      </w:pPr>
      <w:r>
        <w:rPr>
          <w:b/>
        </w:rPr>
        <w:t>Maximum heading depth</w:t>
      </w:r>
      <w:r>
        <w:t>: 6 levels</w:t>
      </w:r>
    </w:p>
    <w:p>
      <w:pPr>
        <w:numPr>
          <w:ilvl w:val="0"/>
          <w:numId w:val="20"/>
        </w:numPr>
        <w:pStyle w:val="ListBullet"/>
      </w:pPr>
      <w:r>
        <w:rPr>
          <w:b/>
        </w:rPr>
        <w:t>Available image sizes</w:t>
      </w:r>
      <w:r>
        <w:t>: 5 classes (xs, small, medium, large, xl)</w:t>
      </w:r>
    </w:p>
    <w:p>
      <w:pPr>
        <w:numPr>
          <w:ilvl w:val="0"/>
          <w:numId w:val="20"/>
        </w:numPr>
        <w:pStyle w:val="ListBullet"/>
      </w:pPr>
      <w:r>
        <w:rPr>
          <w:b/>
        </w:rPr>
        <w:t>Alert types</w:t>
      </w:r>
      <w:r>
        <w:t>: 4 types (note, tip, warning, caution)</w:t>
      </w:r>
    </w:p>
    <w:p>
      <w:pPr>
        <w:numPr>
          <w:ilvl w:val="0"/>
          <w:numId w:val="20"/>
        </w:numPr>
        <w:pStyle w:val="ListBullet"/>
      </w:pPr>
      <w:r>
        <w:rPr>
          <w:b/>
        </w:rPr>
        <w:t>Code language support</w:t>
      </w:r>
      <w:r>
        <w:t>: Python, JavaScript, and any code</w:t>
      </w:r>
    </w:p>
    <w:p>
      <w:r>
        <w:t>These values demonstrate how properties from YAML files are dynamically inserted into the document content at conversion time.</w:t>
      </w:r>
    </w:p>
    <w:p>
      <w:pPr>
        <w:pageBreakBefore w:val="1"/>
      </w:pPr>
      <w:r>
        <w:rPr>
          <w:b w:val="0"/>
          <w:i/>
        </w:rPr>
        <w:t>End of Document</w:t>
      </w:r>
    </w:p>
    <w:p>
      <w:bookmarkStart w:id="62" w:name="h-introduction"/>
      <w:pPr>
        <w:pStyle w:val="Heading1"/>
      </w:pPr>
      <w:r>
        <w:t>Introduction</w:t>
      </w:r>
      <w:bookmarkEnd w:id="62"/>
    </w:p>
    <w:p>
      <w:r>
        <w:t>This document serves as a comprehensive demonstration of the md_to_docx converter capabilities. It showcases the various formatting features and document elements that can be automatically converted from Markdown syntax to professional Microsoft Word documents.</w:t>
      </w:r>
    </w:p>
    <w:p>
      <w:bookmarkStart w:id="63" w:name="h-purpose-and-scope"/>
      <w:pPr>
        <w:pStyle w:val="Heading2"/>
      </w:pPr>
      <w:r>
        <w:t>Purpose and Scope</w:t>
      </w:r>
      <w:bookmarkEnd w:id="63"/>
    </w:p>
    <w:p>
      <w:r>
        <w:t>The primary objectives of this showcase are to:</w:t>
      </w:r>
    </w:p>
    <w:p>
      <w:pPr>
        <w:numPr>
          <w:ilvl w:val="0"/>
          <w:numId w:val="21"/>
        </w:numPr>
        <w:pStyle w:val="ListNumber"/>
      </w:pPr>
      <w:r>
        <w:rPr>
          <w:b/>
        </w:rPr>
        <w:t>Demonstrate document structure capabilities</w:t>
      </w:r>
      <w:r>
        <w:t xml:space="preserve"> including multi-level headings, automatic table of contents generation, and section organization</w:t>
      </w:r>
    </w:p>
    <w:p>
      <w:pPr>
        <w:numPr>
          <w:ilvl w:val="0"/>
          <w:numId w:val="21"/>
        </w:numPr>
        <w:pStyle w:val="ListNumber"/>
      </w:pPr>
      <w:r>
        <w:rPr>
          <w:b/>
        </w:rPr>
        <w:t>Present text formatting features</w:t>
      </w:r>
      <w:r>
        <w:t xml:space="preserve"> such as emphasis, inline code, and paragraph styling</w:t>
      </w:r>
    </w:p>
    <w:p>
      <w:pPr>
        <w:numPr>
          <w:ilvl w:val="0"/>
          <w:numId w:val="21"/>
        </w:numPr>
        <w:pStyle w:val="ListNumber"/>
      </w:pPr>
      <w:r>
        <w:rPr>
          <w:b/>
        </w:rPr>
        <w:t>Illustrate list functionality</w:t>
      </w:r>
      <w:r>
        <w:t xml:space="preserve"> including ordered, unordered, and nested list structures</w:t>
      </w:r>
    </w:p>
    <w:p>
      <w:pPr>
        <w:numPr>
          <w:ilvl w:val="0"/>
          <w:numId w:val="21"/>
        </w:numPr>
        <w:pStyle w:val="ListNumber"/>
      </w:pPr>
      <w:r>
        <w:rPr>
          <w:b/>
        </w:rPr>
        <w:t>Exhibit table generation</w:t>
      </w:r>
      <w:r>
        <w:t xml:space="preserve"> with various formatting options and column width controls</w:t>
      </w:r>
    </w:p>
    <w:p>
      <w:pPr>
        <w:numPr>
          <w:ilvl w:val="0"/>
          <w:numId w:val="21"/>
        </w:numPr>
        <w:pStyle w:val="ListNumber"/>
      </w:pPr>
      <w:r>
        <w:rPr>
          <w:b/>
        </w:rPr>
        <w:t>Showcase image handling</w:t>
      </w:r>
      <w:r>
        <w:t xml:space="preserve"> including standalone images, figure groups, and size controls</w:t>
      </w:r>
    </w:p>
    <w:p>
      <w:pPr>
        <w:numPr>
          <w:ilvl w:val="0"/>
          <w:numId w:val="21"/>
        </w:numPr>
        <w:pStyle w:val="ListNumber"/>
      </w:pPr>
      <w:r>
        <w:rPr>
          <w:b/>
        </w:rPr>
        <w:t>Highlight cross-referencing</w:t>
      </w:r>
      <w:r>
        <w:t xml:space="preserve"> capabilities for figures, tables, and sections</w:t>
      </w:r>
    </w:p>
    <w:p>
      <w:bookmarkStart w:id="64" w:name="h-document-structure"/>
      <w:pPr>
        <w:pStyle w:val="Heading1"/>
        <w:pageBreakBefore w:val="1"/>
      </w:pPr>
      <w:r>
        <w:t>Document Structure</w:t>
      </w:r>
      <w:bookmarkEnd w:id="64"/>
    </w:p>
    <w:p>
      <w:bookmarkStart w:id="65" w:name="h-heading-hierarchy"/>
      <w:pPr>
        <w:pStyle w:val="Heading2"/>
      </w:pPr>
      <w:r>
        <w:t>Heading Hierarchy</w:t>
      </w:r>
      <w:bookmarkEnd w:id="65"/>
    </w:p>
    <w:p>
      <w:r>
        <w:t>The converter supports six levels of headings, automatically numbered and styled with a professional color scheme:</w:t>
      </w:r>
    </w:p>
    <w:p>
      <w:bookmarkStart w:id="66" w:name="h-level-3-heading"/>
      <w:pPr>
        <w:pStyle w:val="Heading3"/>
      </w:pPr>
      <w:r>
        <w:t>Level 3 Heading</w:t>
      </w:r>
      <w:bookmarkEnd w:id="66"/>
    </w:p>
    <w:p>
      <w:r>
        <w:t>This demonstrates the third level of the document hierarchy.</w:t>
      </w:r>
    </w:p>
    <w:p>
      <w:bookmarkStart w:id="67" w:name="h-level-4-heading"/>
      <w:pPr>
        <w:pStyle w:val="Heading4"/>
      </w:pPr>
      <w:r>
        <w:t>Level 4 Heading</w:t>
      </w:r>
      <w:bookmarkEnd w:id="67"/>
    </w:p>
    <w:p>
      <w:r>
        <w:t>Fourth level headings provide additional granularity for complex documents.</w:t>
      </w:r>
    </w:p>
    <w:p>
      <w:bookmarkStart w:id="68" w:name="h-level-5-heading"/>
      <w:pPr>
        <w:pStyle w:val="Heading5"/>
      </w:pPr>
      <w:r>
        <w:t>Level 5 Heading</w:t>
      </w:r>
      <w:bookmarkEnd w:id="68"/>
    </w:p>
    <w:p>
      <w:r>
        <w:t>Fifth level headings for detailed subsections.</w:t>
      </w:r>
    </w:p>
    <w:p>
      <w:bookmarkStart w:id="69" w:name="h-level-6-heading"/>
      <w:pPr>
        <w:pStyle w:val="Heading6"/>
      </w:pPr>
      <w:r>
        <w:t>Level 6 Heading</w:t>
      </w:r>
      <w:bookmarkEnd w:id="69"/>
    </w:p>
    <w:p>
      <w:r>
        <w:t>The deepest level of heading hierarchy available.</w:t>
      </w:r>
    </w:p>
    <w:p>
      <w:bookmarkStart w:id="70" w:name="h-heading-customization"/>
      <w:pPr>
        <w:pStyle w:val="Heading2"/>
      </w:pPr>
      <w:r>
        <w:t>Heading Customization</w:t>
      </w:r>
      <w:bookmarkEnd w:id="70"/>
    </w:p>
    <w:p>
      <w:r>
        <w:t xml:space="preserve">Headings can be excluded from the table of contents using the </w:t>
      </w:r>
      <w:r>
        <w:rPr>
          <w:rFonts w:ascii="Courier New" w:hAnsi="Courier New"/>
          <w:sz w:val="20"/>
        </w:rPr>
        <w:t>{.notoc}</w:t>
      </w:r>
      <w:r>
        <w:t xml:space="preserve"> attribute, or numbering can be suppressed with </w:t>
      </w:r>
      <w:r>
        <w:rPr>
          <w:rFonts w:ascii="Courier New" w:hAnsi="Courier New"/>
          <w:sz w:val="20"/>
        </w:rPr>
        <w:t>{.nonumber}</w:t>
      </w:r>
      <w:r>
        <w:t>.</w:t>
      </w:r>
    </w:p>
    <w:p>
      <w:bookmarkStart w:id="71" w:name="h-typography-and-text-formatting"/>
      <w:pPr>
        <w:pStyle w:val="Heading1"/>
        <w:pageBreakBefore w:val="1"/>
      </w:pPr>
      <w:r>
        <w:t>Typography and Text Formatting</w:t>
      </w:r>
      <w:bookmarkEnd w:id="71"/>
    </w:p>
    <w:p>
      <w:bookmarkStart w:id="72" w:name="h-basic-text-styles"/>
      <w:pPr>
        <w:pStyle w:val="Heading2"/>
      </w:pPr>
      <w:r>
        <w:t>Basic Text Styles</w:t>
      </w:r>
      <w:bookmarkEnd w:id="72"/>
    </w:p>
    <w:p>
      <w:r>
        <w:t>The converter supports standard Markdown text formatting:</w:t>
      </w:r>
    </w:p>
    <w:p>
      <w:r>
        <w:rPr>
          <w:b w:val="0"/>
          <w:i/>
        </w:rPr>
        <w:t>Italic text</w:t>
      </w:r>
      <w:r>
        <w:t xml:space="preserve"> is used for emphasis or citations.</w:t>
      </w:r>
    </w:p>
    <w:p>
      <w:r>
        <w:rPr>
          <w:b/>
        </w:rPr>
        <w:t>Bold text</w:t>
      </w:r>
      <w:r>
        <w:t xml:space="preserve"> draws attention to important information.</w:t>
      </w:r>
    </w:p>
    <w:p>
      <w:r>
        <w:rPr>
          <w:b/>
          <w:i/>
        </w:rPr>
        <w:t>Bold and italic combined</w:t>
      </w:r>
      <w:r>
        <w:t xml:space="preserve"> creates strong emphasis.</w:t>
      </w:r>
    </w:p>
    <w:p>
      <w:r>
        <w:rPr>
          <w:strike/>
        </w:rPr>
        <w:t>Strikethrough</w:t>
      </w:r>
      <w:r>
        <w:t xml:space="preserve"> indicates removed or deprecated content.</w:t>
      </w:r>
    </w:p>
    <w:p>
      <w:bookmarkStart w:id="73" w:name="h-inline-code"/>
      <w:pPr>
        <w:pStyle w:val="Heading2"/>
      </w:pPr>
      <w:r>
        <w:t>Inline Code</w:t>
      </w:r>
      <w:bookmarkEnd w:id="73"/>
    </w:p>
    <w:p>
      <w:r>
        <w:t xml:space="preserve">Technical terms and code snippets can be displayed inline using backticks: </w:t>
      </w:r>
      <w:r>
        <w:rPr>
          <w:rFonts w:ascii="Courier New" w:hAnsi="Courier New"/>
          <w:sz w:val="20"/>
        </w:rPr>
        <w:t>function_name()</w:t>
      </w:r>
      <w:r>
        <w:t xml:space="preserve">, </w:t>
      </w:r>
      <w:r>
        <w:rPr>
          <w:rFonts w:ascii="Courier New" w:hAnsi="Courier New"/>
          <w:sz w:val="20"/>
        </w:rPr>
        <w:t>variable_value</w:t>
      </w:r>
      <w:r>
        <w:t xml:space="preserve">, or </w:t>
      </w:r>
      <w:r>
        <w:rPr>
          <w:rFonts w:ascii="Courier New" w:hAnsi="Courier New"/>
          <w:sz w:val="20"/>
        </w:rPr>
        <w:t>CSS_property</w:t>
      </w:r>
      <w:r>
        <w:t>.</w:t>
      </w:r>
    </w:p>
    <w:p>
      <w:bookmarkStart w:id="74" w:name="h-blockquotes"/>
      <w:pPr>
        <w:pStyle w:val="Heading2"/>
      </w:pPr>
      <w:r>
        <w:t>Blockquotes</w:t>
      </w:r>
      <w:bookmarkEnd w:id="74"/>
    </w:p>
    <w:p>
      <w:pPr>
        <w:pStyle w:val="BlockQuote"/>
        <w:spacing w:after="0"/>
      </w:pPr>
      <w:r>
        <w:t>This is a standard blockquote. It can be used for important notes, citations, or highlighted information that stands out from the main text flow.</w:t>
      </w:r>
    </w:p>
    <w:p>
      <w:pPr>
        <w:spacing w:before="0" w:after="160" w:line="2" w:lineRule="exact"/>
      </w:pPr>
    </w:p>
    <w:p>
      <w:pPr>
        <w:spacing w:before="0" w:after="160" w:line="2" w:lineRule="exact"/>
      </w:pPr>
    </w:p>
    <w:p>
      <w:r>
        <w:t>Blockquotes feature a distinctive left border and italicized text for visual differentiation.</w:t>
      </w:r>
    </w:p>
    <w:p>
      <w:bookmarkStart w:id="75" w:name="h-lists-and-enumeration"/>
      <w:pPr>
        <w:pStyle w:val="Heading1"/>
        <w:pageBreakBefore w:val="1"/>
      </w:pPr>
      <w:r>
        <w:t>Lists and Enumeration</w:t>
      </w:r>
      <w:bookmarkEnd w:id="75"/>
    </w:p>
    <w:p>
      <w:bookmarkStart w:id="76" w:name="h-unordered-lists"/>
      <w:pPr>
        <w:pStyle w:val="Heading2"/>
      </w:pPr>
      <w:r>
        <w:t>Unordered Lists</w:t>
      </w:r>
      <w:bookmarkEnd w:id="76"/>
    </w:p>
    <w:p>
      <w:r>
        <w:t>Simple bullet points for itemized information:</w:t>
      </w:r>
    </w:p>
    <w:p>
      <w:pPr>
        <w:numPr>
          <w:ilvl w:val="0"/>
          <w:numId w:val="22"/>
        </w:numPr>
        <w:pStyle w:val="ListBullet"/>
      </w:pPr>
      <w:r>
        <w:t>First item in the list</w:t>
      </w:r>
    </w:p>
    <w:p>
      <w:pPr>
        <w:numPr>
          <w:ilvl w:val="0"/>
          <w:numId w:val="22"/>
        </w:numPr>
        <w:pStyle w:val="ListBullet"/>
      </w:pPr>
      <w:r>
        <w:t>Second item with additional context</w:t>
      </w:r>
    </w:p>
    <w:p>
      <w:pPr>
        <w:numPr>
          <w:ilvl w:val="0"/>
          <w:numId w:val="22"/>
        </w:numPr>
        <w:pStyle w:val="ListBullet"/>
      </w:pPr>
      <w:r>
        <w:t>Third item demonstrating the format</w:t>
      </w:r>
    </w:p>
    <w:p>
      <w:bookmarkStart w:id="77" w:name="h-ordered-lists"/>
      <w:pPr>
        <w:pStyle w:val="Heading2"/>
      </w:pPr>
      <w:r>
        <w:t>Ordered Lists</w:t>
      </w:r>
      <w:bookmarkEnd w:id="77"/>
    </w:p>
    <w:p>
      <w:r>
        <w:t>Numbered sequences for procedural documentation:</w:t>
      </w:r>
    </w:p>
    <w:p>
      <w:pPr>
        <w:numPr>
          <w:ilvl w:val="0"/>
          <w:numId w:val="23"/>
        </w:numPr>
        <w:pStyle w:val="ListNumber"/>
      </w:pPr>
      <w:r>
        <w:t>First step in the process</w:t>
      </w:r>
    </w:p>
    <w:p>
      <w:pPr>
        <w:numPr>
          <w:ilvl w:val="0"/>
          <w:numId w:val="23"/>
        </w:numPr>
        <w:pStyle w:val="ListNumber"/>
      </w:pPr>
      <w:r>
        <w:t>Second step with specific details</w:t>
      </w:r>
    </w:p>
    <w:p>
      <w:pPr>
        <w:numPr>
          <w:ilvl w:val="0"/>
          <w:numId w:val="23"/>
        </w:numPr>
        <w:pStyle w:val="ListNumber"/>
      </w:pPr>
      <w:r>
        <w:t>Third step completing the sequence</w:t>
      </w:r>
    </w:p>
    <w:p>
      <w:bookmarkStart w:id="78" w:name="h-nested-lists"/>
      <w:pPr>
        <w:pStyle w:val="Heading2"/>
      </w:pPr>
      <w:r>
        <w:t>Nested Lists</w:t>
      </w:r>
      <w:bookmarkEnd w:id="78"/>
    </w:p>
    <w:p>
      <w:r>
        <w:t>Lists can be nested to show hierarchical relationships:</w:t>
      </w:r>
    </w:p>
    <w:p>
      <w:pPr>
        <w:numPr>
          <w:ilvl w:val="0"/>
          <w:numId w:val="24"/>
        </w:numPr>
        <w:pStyle w:val="ListNumber"/>
      </w:pPr>
      <w:r>
        <w:rPr>
          <w:b/>
        </w:rPr>
        <w:t>Main category A</w:t>
      </w:r>
    </w:p>
    <w:p>
      <w:pPr>
        <w:numPr>
          <w:ilvl w:val="1"/>
          <w:numId w:val="24"/>
        </w:numPr>
        <w:pStyle w:val="ListBullet2"/>
      </w:pPr>
      <w:r>
        <w:t>Sub-item A.1</w:t>
      </w:r>
    </w:p>
    <w:p>
      <w:pPr>
        <w:numPr>
          <w:ilvl w:val="1"/>
          <w:numId w:val="24"/>
        </w:numPr>
        <w:pStyle w:val="ListBullet2"/>
      </w:pPr>
      <w:r>
        <w:t>Sub-item A.2</w:t>
      </w:r>
    </w:p>
    <w:p>
      <w:pPr>
        <w:numPr>
          <w:ilvl w:val="2"/>
          <w:numId w:val="24"/>
        </w:numPr>
        <w:pStyle w:val="ListBullet3"/>
      </w:pPr>
      <w:r>
        <w:t>Detail A.2.1</w:t>
      </w:r>
    </w:p>
    <w:p>
      <w:pPr>
        <w:numPr>
          <w:ilvl w:val="2"/>
          <w:numId w:val="24"/>
        </w:numPr>
        <w:pStyle w:val="ListBullet3"/>
      </w:pPr>
      <w:r>
        <w:t>Detail A.2.2</w:t>
      </w:r>
    </w:p>
    <w:p>
      <w:pPr>
        <w:numPr>
          <w:ilvl w:val="1"/>
          <w:numId w:val="24"/>
        </w:numPr>
        <w:pStyle w:val="ListBullet2"/>
      </w:pPr>
      <w:r>
        <w:t>Sub-item A.3</w:t>
      </w:r>
    </w:p>
    <w:p>
      <w:pPr>
        <w:numPr>
          <w:ilvl w:val="0"/>
          <w:numId w:val="24"/>
        </w:numPr>
        <w:pStyle w:val="ListNumber"/>
      </w:pPr>
      <w:r>
        <w:rPr>
          <w:b/>
        </w:rPr>
        <w:t>Main category B</w:t>
      </w:r>
    </w:p>
    <w:p>
      <w:pPr>
        <w:numPr>
          <w:ilvl w:val="1"/>
          <w:numId w:val="24"/>
        </w:numPr>
        <w:pStyle w:val="ListBullet2"/>
      </w:pPr>
      <w:r>
        <w:t>Sub-item B.1</w:t>
      </w:r>
    </w:p>
    <w:p>
      <w:pPr>
        <w:numPr>
          <w:ilvl w:val="1"/>
          <w:numId w:val="24"/>
        </w:numPr>
        <w:pStyle w:val="ListBullet2"/>
      </w:pPr>
      <w:r>
        <w:t>Sub-item B.2</w:t>
      </w:r>
    </w:p>
    <w:p>
      <w:pPr>
        <w:numPr>
          <w:ilvl w:val="0"/>
          <w:numId w:val="24"/>
        </w:numPr>
        <w:pStyle w:val="ListNumber"/>
      </w:pPr>
      <w:r>
        <w:rPr>
          <w:b/>
        </w:rPr>
        <w:t>Main category C</w:t>
      </w:r>
    </w:p>
    <w:p>
      <w:pPr>
        <w:numPr>
          <w:ilvl w:val="1"/>
          <w:numId w:val="24"/>
        </w:numPr>
        <w:pStyle w:val="ListBullet2"/>
      </w:pPr>
      <w:r>
        <w:t>Sub-item C.1</w:t>
      </w:r>
    </w:p>
    <w:p>
      <w:r>
        <w:t>This demonstrates the converter's ability to handle complex list structures with proper indentation and formatting.</w:t>
      </w:r>
    </w:p>
    <w:p>
      <w:bookmarkStart w:id="79" w:name="h-tables"/>
      <w:pPr>
        <w:pStyle w:val="Heading1"/>
        <w:pageBreakBefore w:val="1"/>
      </w:pPr>
      <w:r>
        <w:t>Tables</w:t>
      </w:r>
      <w:bookmarkEnd w:id="79"/>
    </w:p>
    <w:p>
      <w:bookmarkStart w:id="80" w:name="h-standard-data-table"/>
      <w:pPr>
        <w:pStyle w:val="Heading2"/>
      </w:pPr>
      <w:r>
        <w:t>Standard Data Table</w:t>
      </w:r>
      <w:bookmarkEnd w:id="80"/>
    </w:p>
    <w:p>
      <w:r>
        <w:t>Tables support headers, alternating row shading, and full-width formatting:</w:t>
      </w:r>
    </w:p>
    <w:tbl>
      <w:tblPr>
        <w:tblStyle w:val="MdToDocxDataTable"/>
        <w:tblLook w:firstColumn="0" w:firstRow="1" w:lastColumn="0" w:lastRow="0" w:noHBand="0" w:noVBand="1" w:val="0420"/>
        <w:tblW w:w="5000" w:type="pct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</w:tcPr>
          <w:p>
            <w:r>
              <w:t>Feature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Priority</w:t>
            </w:r>
          </w:p>
        </w:tc>
        <w:tc>
          <w:tcPr>
            <w:tcW w:type="dxa" w:w="2340"/>
          </w:tcPr>
          <w:p>
            <w:r>
              <w:t>Notes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Heading Numbering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Configurable via YAML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Cross-references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Bold + Italic style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Image Resizing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Size classes supported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Table Styling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Auto-formatting applied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Code Blocks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Syntax highlighting</w:t>
            </w:r>
          </w:p>
        </w:tc>
      </w:tr>
    </w:tbl>
    <w:p>
      <w:bookmarkStart w:id="81" w:name="tbl-feature-status"/>
      <w:pPr>
        <w:pStyle w:val="Caption"/>
        <w:jc w:val="center"/>
      </w:pPr>
      <w:r>
        <w:rPr>
          <w:b/>
          <w:i/>
        </w:rPr>
        <w:t>Table 4:</w:t>
      </w:r>
      <w:r>
        <w:rPr>
          <w:b w:val="0"/>
          <w:i/>
        </w:rPr>
        <w:t xml:space="preserve"> Feature implementation status and priorities.</w:t>
      </w:r>
      <w:bookmarkEnd w:id="81"/>
    </w:p>
    <w:p>
      <w:r>
        <w:t xml:space="preserve">As shown in </w:t>
      </w:r>
      <w:hyperlink w:anchor="tbl-feature-status">
        <w:r>
          <w:rPr>
            <w:rStyle w:val="Hyperlink"/>
            <w:color w:val="0563C1"/>
            <w:u w:val="single"/>
          </w:rPr>
          <w:t xml:space="preserve">Table 4</w:t>
        </w:r>
      </w:hyperlink>
      <w:r>
        <w:t>, all major features have been successfully implemented with appropriate priority levels assigned.</w:t>
      </w:r>
    </w:p>
    <w:p>
      <w:bookmarkStart w:id="82" w:name="h-table-without-header"/>
      <w:pPr>
        <w:pStyle w:val="Heading2"/>
      </w:pPr>
      <w:r>
        <w:t>Table Without Header</w:t>
      </w:r>
      <w:bookmarkEnd w:id="82"/>
    </w:p>
    <w:p>
      <w:r>
        <w:t>Simple tables without headers are also supported:</w:t>
      </w:r>
    </w:p>
    <w:tbl>
      <w:tblPr>
        <w:tblStyle w:val="MdToDocxDataTable"/>
        <w:tblLook w:firstColumn="0" w:firstRow="0" w:lastColumn="0" w:lastRow="0" w:noHBand="0" w:noVBand="1" w:val="0400"/>
        <w:tblW w:w="5000" w:type="pct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</w:tcPr>
          <w:p>
            <w:r>
              <w:t>Row 1, Cell 1</w:t>
            </w:r>
          </w:p>
        </w:tc>
        <w:tc>
          <w:tcPr>
            <w:tcW w:type="dxa" w:w="2340"/>
          </w:tcPr>
          <w:p>
            <w:r>
              <w:t>Row 1, Cell 2</w:t>
            </w:r>
          </w:p>
        </w:tc>
        <w:tc>
          <w:tcPr>
            <w:tcW w:type="dxa" w:w="2340"/>
          </w:tcPr>
          <w:p>
            <w:r>
              <w:t>Row 1, Cell 3</w:t>
            </w:r>
          </w:p>
        </w:tc>
        <w:tc>
          <w:tcPr>
            <w:tcW w:type="dxa" w:w="2340"/>
          </w:tcPr>
          <w:p>
            <w:r>
              <w:t>Row 1, Cell 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Row 2, Cell 1</w:t>
            </w:r>
          </w:p>
        </w:tc>
        <w:tc>
          <w:tcPr>
            <w:tcW w:type="dxa" w:w="2340"/>
          </w:tcPr>
          <w:p>
            <w:r>
              <w:t>Row 2, Cell 2</w:t>
            </w:r>
          </w:p>
        </w:tc>
        <w:tc>
          <w:tcPr>
            <w:tcW w:type="dxa" w:w="2340"/>
          </w:tcPr>
          <w:p>
            <w:r>
              <w:t>Row 2, Cell 3</w:t>
            </w:r>
          </w:p>
        </w:tc>
        <w:tc>
          <w:tcPr>
            <w:tcW w:type="dxa" w:w="2340"/>
          </w:tcPr>
          <w:p>
            <w:r>
              <w:t>Row 2, Cell 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Row 3, Cell 1</w:t>
            </w:r>
          </w:p>
        </w:tc>
        <w:tc>
          <w:tcPr>
            <w:tcW w:type="dxa" w:w="2340"/>
          </w:tcPr>
          <w:p>
            <w:r>
              <w:t>Row 3, Cell 2</w:t>
            </w:r>
          </w:p>
        </w:tc>
        <w:tc>
          <w:tcPr>
            <w:tcW w:type="dxa" w:w="2340"/>
          </w:tcPr>
          <w:p>
            <w:r>
              <w:t>Row 3, Cell 3</w:t>
            </w:r>
          </w:p>
        </w:tc>
        <w:tc>
          <w:tcPr>
            <w:tcW w:type="dxa" w:w="2340"/>
          </w:tcPr>
          <w:p>
            <w:r>
              <w:t>Row 3, Cell 4</w:t>
            </w:r>
          </w:p>
        </w:tc>
      </w:tr>
    </w:tbl>
    <w:p>
      <w:bookmarkStart w:id="83" w:name="tbl-9"/>
      <w:pPr>
        <w:pStyle w:val="Caption"/>
        <w:jc w:val="center"/>
      </w:pPr>
      <w:r>
        <w:rPr>
          <w:b/>
          <w:i/>
        </w:rPr>
        <w:t>Table 9:</w:t>
      </w:r>
      <w:r>
        <w:rPr>
          <w:b w:val="0"/>
          <w:i/>
        </w:rPr>
        <w:t xml:space="preserve"> Data visualization example without headers.</w:t>
      </w:r>
      <w:bookmarkEnd w:id="83"/>
    </w:p>
    <w:p>
      <w:bookmarkStart w:id="84" w:name="h-wide-table-with-text-wrapping"/>
      <w:pPr>
        <w:pStyle w:val="Heading2"/>
      </w:pPr>
      <w:r>
        <w:t>Wide Table with Text Wrapping</w:t>
      </w:r>
      <w:bookmarkEnd w:id="84"/>
    </w:p>
    <w:p>
      <w:r>
        <w:t>Tables automatically handle text wrapping for content that exceeds column widths:</w:t>
      </w:r>
    </w:p>
    <w:tbl>
      <w:tblPr>
        <w:tblStyle w:val="MdToDocxDataTable"/>
        <w:tblLook w:firstColumn="0" w:firstRow="1" w:lastColumn="0" w:lastRow="0" w:noHBand="0" w:noVBand="1" w:val="0420"/>
        <w:tblW w:w="5000" w:type="pct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</w:tcPr>
          <w:p>
            <w:r>
              <w:t>Component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Implementation Details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Parser</w:t>
            </w:r>
          </w:p>
        </w:tc>
        <w:tc>
          <w:tcPr>
            <w:tcW w:type="dxa" w:w="2340"/>
          </w:tcPr>
          <w:p>
            <w:r>
              <w:t>Marko library with GFM extensions</w:t>
            </w:r>
          </w:p>
        </w:tc>
        <w:tc>
          <w:tcPr>
            <w:tcW w:type="dxa" w:w="2340"/>
          </w:tcPr>
          <w:p>
            <w:r>
              <w:t>Handles all standard Markdown plus GitHub-style alerts and tables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Builder</w:t>
            </w:r>
          </w:p>
        </w:tc>
        <w:tc>
          <w:tcPr>
            <w:tcW w:type="dxa" w:w="2340"/>
          </w:tcPr>
          <w:p>
            <w:r>
              <w:t>Document assembly engine</w:t>
            </w:r>
          </w:p>
        </w:tc>
        <w:tc>
          <w:tcPr>
            <w:tcW w:type="dxa" w:w="2340"/>
          </w:tcPr>
          <w:p>
            <w:r>
              <w:t>Manages section breaks, page numbering, and TOC generation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Styles</w:t>
            </w:r>
          </w:p>
        </w:tc>
        <w:tc>
          <w:tcPr>
            <w:tcW w:type="dxa" w:w="2340"/>
          </w:tcPr>
          <w:p>
            <w:r>
              <w:t>Custom style definitions</w:t>
            </w:r>
          </w:p>
        </w:tc>
        <w:tc>
          <w:tcPr>
            <w:tcW w:type="dxa" w:w="2340"/>
          </w:tcPr>
          <w:p>
            <w:r>
              <w:t>Heading hierarchy, code blocks, captions, and alerts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Images</w:t>
            </w:r>
          </w:p>
        </w:tc>
        <w:tc>
          <w:tcPr>
            <w:tcW w:type="dxa" w:w="2340"/>
          </w:tcPr>
          <w:p>
            <w:r>
              <w:t>Processing pipeline</w:t>
            </w:r>
          </w:p>
        </w:tc>
        <w:tc>
          <w:tcPr>
            <w:tcW w:type="dxa" w:w="2340"/>
          </w:tcPr>
          <w:p>
            <w:r>
              <w:t>Size calculation, aspect ratio preservation, placement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</w:tr>
    </w:tbl>
    <w:p>
      <w:bookmarkStart w:id="85" w:name="tbl-architecture"/>
      <w:pPr>
        <w:pStyle w:val="Caption"/>
        <w:jc w:val="center"/>
      </w:pPr>
      <w:r>
        <w:rPr>
          <w:b/>
          <w:i/>
        </w:rPr>
        <w:t>Table 5:</w:t>
      </w:r>
      <w:r>
        <w:rPr>
          <w:b w:val="0"/>
          <w:i/>
        </w:rPr>
        <w:t xml:space="preserve"> System architecture components with detailed descriptions.</w:t>
      </w:r>
      <w:bookmarkEnd w:id="85"/>
    </w:p>
    <w:p>
      <w:r>
        <w:t xml:space="preserve">Refer to </w:t>
      </w:r>
      <w:hyperlink w:anchor="tbl-architecture">
        <w:r>
          <w:rPr>
            <w:rStyle w:val="Hyperlink"/>
            <w:color w:val="0563C1"/>
            <w:u w:val="single"/>
          </w:rPr>
          <w:t xml:space="preserve">Table 5</w:t>
        </w:r>
      </w:hyperlink>
      <w:r>
        <w:t xml:space="preserve"> for a complete overview of the system architecture.</w:t>
      </w:r>
    </w:p>
    <w:p>
      <w:bookmarkStart w:id="86" w:name="h-table-with-custom-column-widths"/>
      <w:pPr>
        <w:pStyle w:val="Heading2"/>
      </w:pPr>
      <w:r>
        <w:t>Table with Custom Column Widths</w:t>
      </w:r>
      <w:bookmarkEnd w:id="86"/>
    </w:p>
    <w:p>
      <w:r>
        <w:t xml:space="preserve">Tables can have custom column widths specified as percentages using the </w:t>
      </w:r>
      <w:r>
        <w:rPr>
          <w:rFonts w:ascii="Courier New" w:hAnsi="Courier New"/>
          <w:sz w:val="20"/>
        </w:rPr>
        <w:t>{col-widths="..."}</w:t>
      </w:r>
      <w:r>
        <w:t xml:space="preserve"> directive placed immediately after the table:</w:t>
      </w:r>
    </w:p>
    <w:tbl>
      <w:tblPr>
        <w:tblStyle w:val="MdToDocxDataTable"/>
        <w:tblLook w:firstColumn="0" w:firstRow="1" w:lastColumn="0" w:lastRow="0" w:noHBand="0" w:noVBand="1" w:val="0420"/>
        <w:tblW w:w="9360" w:type="dxa"/>
      </w:tblPr>
      <w:tblGrid>
        <w:gridCol w:w="1404"/>
        <w:gridCol w:w="2340"/>
        <w:gridCol w:w="5616"/>
      </w:tblGrid>
      <w:tr>
        <w:trPr>
          <w:cantSplit w:val="1"/>
        </w:trPr>
        <w:tc>
          <w:tcPr>
            <w:tcW w:w="1404" w:type="dxa"/>
          </w:tcPr>
          <w:p>
            <w:r>
              <w:t>Short</w:t>
            </w:r>
          </w:p>
        </w:tc>
        <w:tc>
          <w:tcPr>
            <w:tcW w:w="2340" w:type="dxa"/>
          </w:tcPr>
          <w:p>
            <w:r>
              <w:t>Medium</w:t>
            </w:r>
          </w:p>
        </w:tc>
        <w:tc>
          <w:tcPr>
            <w:tcW w:w="5616" w:type="dxa"/>
          </w:tcPr>
          <w:p>
            <w:r>
              <w:t>Long Description</w:t>
            </w:r>
          </w:p>
        </w:tc>
      </w:tr>
      <w:tr>
        <w:trPr>
          <w:cantSplit w:val="1"/>
        </w:trPr>
        <w:tc>
          <w:tcPr>
            <w:tcW w:w="1404" w:type="dxa"/>
          </w:tcPr>
          <w:p>
            <w:r>
              <w:t>ID</w:t>
            </w:r>
          </w:p>
        </w:tc>
        <w:tc>
          <w:tcPr>
            <w:tcW w:w="2340" w:type="dxa"/>
          </w:tcPr>
          <w:p>
            <w:r>
              <w:t>Category</w:t>
            </w:r>
          </w:p>
        </w:tc>
        <w:tc>
          <w:tcPr>
            <w:tcW w:w="5616" w:type="dxa"/>
          </w:tcPr>
          <w:p>
            <w:r>
              <w:t>Detailed explanation of the feature or component</w:t>
            </w:r>
          </w:p>
        </w:tc>
      </w:tr>
      <w:tr>
        <w:trPr>
          <w:cantSplit w:val="1"/>
        </w:trPr>
        <w:tc>
          <w:tcPr>
            <w:tcW w:w="1404" w:type="dxa"/>
          </w:tcPr>
          <w:p>
            <w:r>
              <w:t>001</w:t>
            </w:r>
          </w:p>
        </w:tc>
        <w:tc>
          <w:tcPr>
            <w:tcW w:w="2340" w:type="dxa"/>
          </w:tcPr>
          <w:p>
            <w:r>
              <w:t>Parser</w:t>
            </w:r>
          </w:p>
        </w:tc>
        <w:tc>
          <w:tcPr>
            <w:tcW w:w="5616" w:type="dxa"/>
          </w:tcPr>
          <w:p>
            <w:r>
              <w:t>Handles Markdown syntax parsing with GFM extensions</w:t>
            </w:r>
          </w:p>
        </w:tc>
      </w:tr>
      <w:tr>
        <w:trPr>
          <w:cantSplit w:val="1"/>
        </w:trPr>
        <w:tc>
          <w:tcPr>
            <w:tcW w:w="1404" w:type="dxa"/>
          </w:tcPr>
          <w:p>
            <w:r>
              <w:t>002</w:t>
            </w:r>
          </w:p>
        </w:tc>
        <w:tc>
          <w:tcPr>
            <w:tcW w:w="2340" w:type="dxa"/>
          </w:tcPr>
          <w:p>
            <w:r>
              <w:t>Builder</w:t>
            </w:r>
          </w:p>
        </w:tc>
        <w:tc>
          <w:tcPr>
            <w:tcW w:w="5616" w:type="dxa"/>
          </w:tcPr>
          <w:p>
            <w:r>
              <w:t>Assembles the document structure and applies formatting</w:t>
            </w:r>
          </w:p>
        </w:tc>
      </w:tr>
    </w:tbl>
    <w:p>
      <w:bookmarkStart w:id="87" w:name="tbl-col-widths-example"/>
      <w:pPr>
        <w:pStyle w:val="Caption"/>
        <w:jc w:val="center"/>
      </w:pPr>
      <w:r>
        <w:rPr>
          <w:b/>
          <w:i/>
        </w:rPr>
        <w:t>Table 6:</w:t>
      </w:r>
      <w:r>
        <w:rPr>
          <w:b w:val="0"/>
          <w:i/>
        </w:rPr>
        <w:t xml:space="preserve"> Example table with custom column width distribution.</w:t>
      </w:r>
      <w:bookmarkEnd w:id="87"/>
    </w:p>
    <w:p>
      <w:r>
        <w:t>In this example, the first column occupies 15% of the table width, the second column 25%, and the third column (containing longer descriptions) occupies 60% of the available space.</w:t>
      </w:r>
    </w:p>
    <w:p>
      <w:bookmarkStart w:id="88" w:name="h-images-and-figures"/>
      <w:pPr>
        <w:pStyle w:val="Heading1"/>
        <w:pageBreakBefore w:val="1"/>
      </w:pPr>
      <w:r>
        <w:t>Images and Figures</w:t>
      </w:r>
      <w:bookmarkEnd w:id="88"/>
    </w:p>
    <w:p>
      <w:bookmarkStart w:id="89" w:name="h-standalone-images"/>
      <w:pPr>
        <w:pStyle w:val="Heading2"/>
      </w:pPr>
      <w:r>
        <w:t>Standalone Images</w:t>
      </w:r>
      <w:bookmarkEnd w:id="89"/>
    </w:p>
    <w:p>
      <w:bookmarkStart w:id="90" w:name="h-full-width-image"/>
      <w:pPr>
        <w:pStyle w:val="Heading3"/>
      </w:pPr>
      <w:r>
        <w:t>Full-Width Image</w:t>
      </w:r>
      <w:bookmarkEnd w:id="90"/>
    </w:p>
    <w:p>
      <w:r>
        <w:t>Large images can be displayed at full content width for maximum impact: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10192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019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91" w:name="fig-system-overview"/>
      <w:pPr>
        <w:pStyle w:val="Caption"/>
        <w:jc w:val="center"/>
      </w:pPr>
      <w:r>
        <w:rPr>
          <w:b/>
          <w:i/>
        </w:rPr>
        <w:t>Figure 4:</w:t>
      </w:r>
      <w:r>
        <w:rPr>
          <w:b w:val="0"/>
          <w:i/>
        </w:rPr>
        <w:t xml:space="preserve"> Complete system overview diagram showing all major components and their relationships.</w:t>
      </w:r>
      <w:bookmarkEnd w:id="91"/>
    </w:p>
    <w:p>
      <w:r>
        <w:t xml:space="preserve">As illustrated in </w:t>
      </w:r>
      <w:hyperlink w:anchor="fig-system-overview">
        <w:r>
          <w:rPr>
            <w:rStyle w:val="Hyperlink"/>
            <w:color w:val="0563C1"/>
            <w:u w:val="single"/>
          </w:rPr>
          <w:t xml:space="preserve">Figure 4</w:t>
        </w:r>
      </w:hyperlink>
      <w:r>
        <w:t>, the system architecture consists of four primary modules working in concert.</w:t>
      </w:r>
    </w:p>
    <w:p>
      <w:bookmarkStart w:id="92" w:name="h-left-aligned-image"/>
      <w:pPr>
        <w:pStyle w:val="Heading3"/>
      </w:pPr>
      <w:r>
        <w:t>Left-Aligned Image</w:t>
      </w:r>
      <w:bookmarkEnd w:id="92"/>
    </w:p>
    <w:p>
      <w:r>
        <w:t>Images can be positioned on the left side with text flowing alongside: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1719986" cy="17199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9986" cy="1719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93" w:name="fig-2"/>
      <w:pPr>
        <w:pStyle w:val="Caption"/>
        <w:jc w:val="left"/>
      </w:pPr>
      <w:r>
        <w:rPr>
          <w:b/>
          <w:i/>
        </w:rPr>
        <w:t>Figure 2:</w:t>
      </w:r>
      <w:r>
        <w:rPr>
          <w:b w:val="0"/>
          <w:i/>
        </w:rPr>
        <w:t xml:space="preserve"> Individual module icon representing the parsing engine.</w:t>
      </w:r>
      <w:bookmarkEnd w:id="93"/>
    </w:p>
    <w:p>
      <w:r>
        <w:t>This layout demonstrates how content wraps around left-aligned images. The parsing module serves as the foundation of the conversion pipeline, responsible for transforming raw Markdown syntax into an abstract syntax tree (AST) that the builder can process.</w:t>
      </w:r>
    </w:p>
    <w:p>
      <w:bookmarkStart w:id="94" w:name="h-centered-medium-image"/>
      <w:pPr>
        <w:pStyle w:val="Heading3"/>
      </w:pPr>
      <w:r>
        <w:t>Centered Medium Image</w:t>
      </w:r>
      <w:bookmarkEnd w:id="94"/>
    </w:p>
    <w:p>
      <w:r>
        <w:t>The default presentation centers images within the content area: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66644" cy="17199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6644" cy="1719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95" w:name="fig-data-flow"/>
      <w:pPr>
        <w:pStyle w:val="Caption"/>
        <w:jc w:val="center"/>
      </w:pPr>
      <w:r>
        <w:rPr>
          <w:b/>
          <w:i/>
        </w:rPr>
        <w:t>Figure 5:</w:t>
      </w:r>
      <w:r>
        <w:rPr>
          <w:b w:val="0"/>
          <w:i/>
        </w:rPr>
        <w:t xml:space="preserve"> Data flow diagram showing information pathways through the system.</w:t>
      </w:r>
      <w:bookmarkEnd w:id="95"/>
    </w:p>
    <w:p>
      <w:bookmarkStart w:id="96" w:name="h-figure-groups"/>
      <w:pPr>
        <w:pStyle w:val="Heading2"/>
      </w:pPr>
      <w:r>
        <w:t>Figure Groups</w:t>
      </w:r>
      <w:bookmarkEnd w:id="96"/>
    </w:p>
    <w:p>
      <w:r>
        <w:t>Multiple images can be displayed side-by-side for comparison purposes: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3120"/>
        <w:gridCol w:w="3120"/>
        <w:gridCol w:w="3120"/>
      </w:tblGrid>
      <w:tr>
        <w:tc>
          <w:tcPr>
            <w:tcBdr>
              <w:top w:val="none"/>
              <w:left w:val="none"/>
              <w:bottom w:val="none"/>
              <w:right w:val="none"/>
            </w:tcBdr>
            <w:tcMar>
              <w:top w:w="40" w:type="dxa"/>
              <w:bottom w:w="40" w:type="dxa"/>
              <w:left w:w="60" w:type="dxa"/>
              <w:right w:w="60" w:type="dxa"/>
            </w:tcMar>
            <w:tcW w:w="2916" w:type="dxa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4896" cy="13761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diagra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896" cy="1376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jc w:val="center"/>
            </w:pPr>
            <w:r>
              <w:rPr>
                <w:i/>
                <w:color w:val="555555"/>
                <w:sz w:val="18"/>
              </w:rPr>
              <w:t>a) Input Processing</w:t>
            </w:r>
          </w:p>
        </w:tc>
        <w:tc>
          <w:tcPr>
            <w:tcBdr>
              <w:top w:val="none"/>
              <w:left w:val="none"/>
              <w:bottom w:val="none"/>
              <w:right w:val="none"/>
            </w:tcBdr>
            <w:tcMar>
              <w:top w:w="40" w:type="dxa"/>
              <w:bottom w:w="40" w:type="dxa"/>
              <w:left w:w="60" w:type="dxa"/>
              <w:right w:w="60" w:type="dxa"/>
            </w:tcMar>
            <w:tcW w:w="2916" w:type="dxa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4896" cy="137617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896" cy="1376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jc w:val="center"/>
            </w:pPr>
            <w:r>
              <w:rPr>
                <w:i/>
                <w:color w:val="555555"/>
                <w:sz w:val="18"/>
              </w:rPr>
              <w:t>b) Output Generation</w:t>
            </w:r>
          </w:p>
        </w:tc>
        <w:tc>
          <w:tcPr>
            <w:tcBdr>
              <w:top w:val="none"/>
              <w:left w:val="none"/>
              <w:bottom w:val="none"/>
              <w:right w:val="none"/>
            </w:tcBdr>
            <w:tcMar>
              <w:top w:w="40" w:type="dxa"/>
              <w:bottom w:w="40" w:type="dxa"/>
              <w:left w:w="60" w:type="dxa"/>
              <w:right w:w="60" w:type="dxa"/>
            </w:tcMar>
            <w:tcW w:w="2916" w:type="dxa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4896" cy="137617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parison_char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896" cy="1376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jc w:val="center"/>
            </w:pPr>
            <w:r>
              <w:rPr>
                <w:i/>
                <w:color w:val="555555"/>
                <w:sz w:val="18"/>
              </w:rPr>
              <w:t>c) Quality Control</w:t>
            </w:r>
          </w:p>
        </w:tc>
      </w:tr>
    </w:tbl>
    <w:p>
      <w:bookmarkStart w:id="97" w:name="fig-pipeline"/>
      <w:pPr>
        <w:pStyle w:val="Caption"/>
        <w:jc w:val="center"/>
      </w:pPr>
      <w:r>
        <w:rPr>
          <w:b/>
          <w:i/>
        </w:rPr>
        <w:t>Figure 6:</w:t>
      </w:r>
      <w:r>
        <w:rPr>
          <w:b w:val="0"/>
          <w:i/>
        </w:rPr>
        <w:t xml:space="preserve"> Three-phase processing pipeline: input parsing, document building, and quality validation.</w:t>
      </w:r>
      <w:bookmarkEnd w:id="97"/>
    </w:p>
    <w:p>
      <w:r>
        <w:t xml:space="preserve">The figure group above, referenced as </w:t>
      </w:r>
      <w:hyperlink w:anchor="fig-pipeline">
        <w:r>
          <w:rPr>
            <w:rStyle w:val="Hyperlink"/>
            <w:color w:val="0563C1"/>
            <w:u w:val="single"/>
          </w:rPr>
          <w:t xml:space="preserve">Figure 6</w:t>
        </w:r>
      </w:hyperlink>
      <w:r>
        <w:t>, demonstrates how multiple related images can be presented together with individual sub-captions (a, b, c) and an overall group caption.</w:t>
      </w:r>
    </w:p>
    <w:p>
      <w:bookmarkStart w:id="98" w:name="h-cross-references-and-linking"/>
      <w:pPr>
        <w:pStyle w:val="Heading1"/>
        <w:pageBreakBefore w:val="1"/>
      </w:pPr>
      <w:r>
        <w:t>Cross-References and Linking</w:t>
      </w:r>
      <w:bookmarkEnd w:id="98"/>
    </w:p>
    <w:p>
      <w:bookmarkStart w:id="99" w:name="h-internal-references"/>
      <w:pPr>
        <w:pStyle w:val="Heading2"/>
      </w:pPr>
      <w:r>
        <w:t>Internal References</w:t>
      </w:r>
      <w:bookmarkEnd w:id="99"/>
    </w:p>
    <w:p>
      <w:r>
        <w:t>The document supports cross-referencing to:</w:t>
      </w:r>
    </w:p>
    <w:p>
      <w:r>
        <w:t xml:space="preserve">Sections (e.g., </w:t>
      </w:r>
      <w:hyperlink w:anchor="h-lists-and-enumeration">
        <w:r>
          <w:rPr>
            <w:rStyle w:val="Hyperlink"/>
            <w:color w:val="0563C1"/>
            <w:u w:val="single"/>
          </w:rPr>
          <w:t xml:space="preserve">Section 4.2</w:t>
        </w:r>
      </w:hyperlink>
      <w:r>
        <w:t xml:space="preserve"> covers list functionality)</w:t>
      </w:r>
    </w:p>
    <w:p>
      <w:bookmarkStart w:id="100" w:name="h-external-hyperlinks"/>
      <w:pPr>
        <w:pStyle w:val="Heading2"/>
      </w:pPr>
      <w:r>
        <w:t>External Hyperlinks</w:t>
      </w:r>
      <w:bookmarkEnd w:id="100"/>
    </w:p>
    <w:p>
      <w:r>
        <w:t xml:space="preserve">External resources can be linked directly: </w:t>
      </w:r>
      <w:hyperlink r:id="rId17">
        <w:r>
          <w:rPr>
            <w:rStyle w:val="Hyperlink"/>
            <w:color w:val="0563C1"/>
            <w:u w:val="single"/>
          </w:rPr>
          <w:t xml:space="preserve">Markdown Specification</w:t>
        </w:r>
      </w:hyperlink>
      <w:r>
        <w:t xml:space="preserve"> or </w:t>
      </w:r>
      <w:hyperlink r:id="rId18">
        <w:r>
          <w:rPr>
            <w:rStyle w:val="Hyperlink"/>
            <w:color w:val="0563C1"/>
            <w:u w:val="single"/>
          </w:rPr>
          <w:t xml:space="preserve">Microsoft Word Documentation</w:t>
        </w:r>
      </w:hyperlink>
      <w:r>
        <w:t>.</w:t>
      </w:r>
    </w:p>
    <w:p>
      <w:bookmarkStart w:id="101" w:name="h-code-examples"/>
      <w:pPr>
        <w:pStyle w:val="Heading1"/>
        <w:pageBreakBefore w:val="1"/>
      </w:pPr>
      <w:r>
        <w:t>Code Examples</w:t>
      </w:r>
      <w:bookmarkEnd w:id="101"/>
    </w:p>
    <w:p>
      <w:bookmarkStart w:id="102" w:name="h-python-code-block"/>
      <w:pPr>
        <w:pStyle w:val="Heading2"/>
      </w:pPr>
      <w:r>
        <w:t>Python Code Block</w:t>
      </w:r>
      <w:bookmarkEnd w:id="102"/>
    </w:p>
    <w:p>
      <w:pPr>
        <w:pStyle w:val="Code"/>
      </w:pPr>
      <w:r>
        <w:rPr>
          <w:rFonts w:ascii="Courier New" w:hAnsi="Courier New"/>
          <w:sz w:val="18"/>
        </w:rPr>
        <w:t>def process_markdown(source_file, config):</w:t>
        <w:br/>
        <w:t xml:space="preserve">    """</w:t>
        <w:br/>
        <w:t xml:space="preserve">    Main entry point for markdown processing.</w:t>
        <w:br/>
        <w:t xml:space="preserve">    </w:t>
        <w:br/>
        <w:t xml:space="preserve">    Args:</w:t>
        <w:br/>
        <w:t xml:space="preserve">        source_file: Path to markdown input</w:t>
        <w:br/>
        <w:t xml:space="preserve">        config: Dictionary of configuration options</w:t>
        <w:br/>
        <w:t xml:space="preserve">        </w:t>
        <w:br/>
        <w:t xml:space="preserve">    Returns:</w:t>
        <w:br/>
        <w:t xml:space="preserve">        Document: Generated Word document object</w:t>
        <w:br/>
        <w:t xml:space="preserve">    """</w:t>
        <w:br/>
        <w:t xml:space="preserve">    builder = DocumentBuilder(config)</w:t>
        <w:br/>
        <w:t xml:space="preserve">    builder.setup()</w:t>
        <w:br/>
        <w:t xml:space="preserve">    </w:t>
        <w:br/>
        <w:t xml:space="preserve">    with open(source_file, 'r') as f:</w:t>
        <w:br/>
        <w:t xml:space="preserve">        content = f.read()</w:t>
        <w:br/>
        <w:t xml:space="preserve">    </w:t>
        <w:br/>
        <w:t xml:space="preserve">    builder.add_content(content)</w:t>
        <w:br/>
        <w:t xml:space="preserve">    return builder.doc</w:t>
      </w:r>
    </w:p>
    <w:p>
      <w:r>
        <w:rPr>
          <w:b w:val="0"/>
          <w:i/>
        </w:rPr>
        <w:t>Code Block 1: Python implementation of the main processing function.</w:t>
      </w:r>
    </w:p>
    <w:p>
      <w:bookmarkStart w:id="103" w:name="h-javascript-code-block"/>
      <w:pPr>
        <w:pStyle w:val="Heading2"/>
      </w:pPr>
      <w:r>
        <w:t>JavaScript Code Block</w:t>
      </w:r>
      <w:bookmarkEnd w:id="103"/>
    </w:p>
    <w:p>
      <w:pPr>
        <w:pStyle w:val="Code"/>
      </w:pPr>
      <w:r>
        <w:rPr>
          <w:rFonts w:ascii="Courier New" w:hAnsi="Courier New"/>
          <w:sz w:val="18"/>
        </w:rPr>
        <w:t>// Configuration parser for document settings</w:t>
        <w:br/>
        <w:t>function parseConfig(configPath) {</w:t>
        <w:br/>
        <w:t xml:space="preserve">  const fs = require('fs');</w:t>
        <w:br/>
        <w:t xml:space="preserve">  const yaml = require('js-yaml');</w:t>
        <w:br/>
        <w:t xml:space="preserve">  </w:t>
        <w:br/>
        <w:t xml:space="preserve">  try {</w:t>
        <w:br/>
        <w:t xml:space="preserve">    const config = yaml.load(fs.readFileSync(configPath, 'utf8'));</w:t>
        <w:br/>
        <w:t xml:space="preserve">    return {</w:t>
        <w:br/>
        <w:t xml:space="preserve">      margins: config.page || {},</w:t>
        <w:br/>
        <w:t xml:space="preserve">      header: config.header || {},</w:t>
        <w:br/>
        <w:t xml:space="preserve">      footer: config.footer || {},</w:t>
        <w:br/>
        <w:t xml:space="preserve">      document: config.document || {}</w:t>
        <w:br/>
        <w:t xml:space="preserve">    };</w:t>
        <w:br/>
        <w:t xml:space="preserve">  } catch (error) {</w:t>
        <w:br/>
        <w:t xml:space="preserve">    console.error('Configuration error:', error);</w:t>
        <w:br/>
        <w:t xml:space="preserve">    return {};</w:t>
        <w:br/>
        <w:t xml:space="preserve">  }</w:t>
        <w:br/>
        <w:t>}</w:t>
      </w:r>
    </w:p>
    <w:p>
      <w:r>
        <w:rPr>
          <w:b w:val="0"/>
          <w:i/>
        </w:rPr>
        <w:t>Code Block 2: JavaScript configuration parser implementation.</w:t>
      </w:r>
    </w:p>
    <w:p>
      <w:bookmarkStart w:id="104" w:name="h-special-elements"/>
      <w:pPr>
        <w:pStyle w:val="Heading1"/>
        <w:pageBreakBefore w:val="1"/>
      </w:pPr>
      <w:r>
        <w:t>Special Elements</w:t>
      </w:r>
      <w:bookmarkEnd w:id="104"/>
    </w:p>
    <w:p>
      <w:bookmarkStart w:id="105" w:name="h-alert-boxes"/>
      <w:pPr>
        <w:pStyle w:val="Heading2"/>
      </w:pPr>
      <w:r>
        <w:t>Alert Boxes</w:t>
      </w:r>
      <w:bookmarkEnd w:id="105"/>
    </w:p>
    <w:p>
      <w:r>
        <w:t>GitHub-style alerts provide visual emphasis for different message types: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6" w:type="dxa"/>
      </w:tblPr>
      <w:tblGrid>
        <w:gridCol w:w="9360"/>
      </w:tblGrid>
      <w:tr>
        <w:tc>
          <w:tcPr>
            <w:tcW w:type="dxa" w:w="859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left w:val="single" w:sz="24" w:color="2E75B6"/>
              <w:top w:val="nil"/>
              <w:right w:val="nil"/>
              <w:bottom w:val="nil"/>
            </w:tcBorders>
            <w:shd w:val="clear" w:color="auto" w:fill="F5F5F5"/>
          </w:tcPr>
          <w:p>
            <w:pPr>
              <w:spacing w:before="120" w:after="120"/>
            </w:pPr>
            <w:r>
              <w:rPr>
                <w:b/>
                <w:color w:val="2E75B6"/>
              </w:rPr>
              <w:t xml:space="preserve">[NOTE] </w:t>
            </w:r>
            <w:r>
              <w:t>This is an informational note. It provides additional context or helpful information that supplements the main content.</w:t>
            </w:r>
          </w:p>
        </w:tc>
      </w:tr>
    </w:tbl>
    <w:p>
      <w:pPr>
        <w:spacing w:before="0" w:after="160"/>
      </w:pPr>
    </w:p>
    <w:p>
      <w:pPr>
        <w:spacing w:before="0" w:after="160" w:line="2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" w:type="dxa"/>
      </w:tblPr>
      <w:tblGrid>
        <w:gridCol w:w="9360"/>
      </w:tblGrid>
      <w:tr>
        <w:tc>
          <w:tcPr>
            <w:tcW w:type="dxa" w:w="859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left w:val="single" w:sz="24" w:color="28A745"/>
              <w:top w:val="nil"/>
              <w:right w:val="nil"/>
              <w:bottom w:val="nil"/>
            </w:tcBorders>
            <w:shd w:val="clear" w:color="auto" w:fill="F5F5F5"/>
          </w:tcPr>
          <w:p>
            <w:pPr>
              <w:spacing w:before="120" w:after="120"/>
            </w:pPr>
            <w:r>
              <w:rPr>
                <w:b/>
                <w:color w:val="28A745"/>
              </w:rPr>
              <w:t xml:space="preserve">[TIP] </w:t>
            </w:r>
            <w:r>
              <w:t>This is a helpful tip. Tips offer practical advice or shortcuts that can improve workflow efficiency.</w:t>
            </w:r>
          </w:p>
        </w:tc>
      </w:tr>
    </w:tbl>
    <w:p>
      <w:pPr>
        <w:spacing w:before="0" w:after="160"/>
      </w:pPr>
    </w:p>
    <w:p>
      <w:pPr>
        <w:spacing w:before="0" w:after="160" w:line="2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" w:type="dxa"/>
      </w:tblPr>
      <w:tblGrid>
        <w:gridCol w:w="9360"/>
      </w:tblGrid>
      <w:tr>
        <w:tc>
          <w:tcPr>
            <w:tcW w:type="dxa" w:w="859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left w:val="single" w:sz="24" w:color="FFA500"/>
              <w:top w:val="nil"/>
              <w:right w:val="nil"/>
              <w:bottom w:val="nil"/>
            </w:tcBorders>
            <w:shd w:val="clear" w:color="auto" w:fill="F5F5F5"/>
          </w:tcPr>
          <w:p>
            <w:pPr>
              <w:spacing w:before="120" w:after="120"/>
            </w:pPr>
            <w:r>
              <w:rPr>
                <w:b/>
                <w:color w:val="FFA500"/>
              </w:rPr>
              <w:t xml:space="preserve">[WARNING] </w:t>
            </w:r>
            <w:r>
              <w:t>This is a warning message. Warnings indicate potential issues or important considerations that require attention.</w:t>
            </w:r>
          </w:p>
        </w:tc>
      </w:tr>
    </w:tbl>
    <w:p>
      <w:pPr>
        <w:spacing w:before="0" w:after="160"/>
      </w:pPr>
    </w:p>
    <w:p>
      <w:pPr>
        <w:spacing w:before="0" w:after="160" w:line="2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" w:type="dxa"/>
      </w:tblPr>
      <w:tblGrid>
        <w:gridCol w:w="9360"/>
      </w:tblGrid>
      <w:tr>
        <w:tc>
          <w:tcPr>
            <w:tcW w:type="dxa" w:w="859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left w:val="single" w:sz="24" w:color="DC3545"/>
              <w:top w:val="nil"/>
              <w:right w:val="nil"/>
              <w:bottom w:val="nil"/>
            </w:tcBorders>
            <w:shd w:val="clear" w:color="auto" w:fill="F5F5F5"/>
          </w:tcPr>
          <w:p>
            <w:pPr>
              <w:spacing w:before="120" w:after="120"/>
            </w:pPr>
            <w:r>
              <w:rPr>
                <w:b/>
                <w:color w:val="DC3545"/>
              </w:rPr>
              <w:t xml:space="preserve">[CAUTION] </w:t>
            </w:r>
            <w:r>
              <w:t>This is a caution alert. Cautions highlight actions that could cause problems if not handled carefully.</w:t>
            </w:r>
          </w:p>
        </w:tc>
      </w:tr>
    </w:tbl>
    <w:p>
      <w:pPr>
        <w:spacing w:before="0" w:after="160"/>
      </w:pPr>
    </w:p>
    <w:p>
      <w:pPr>
        <w:spacing w:before="0" w:after="160" w:line="2" w:lineRule="exact"/>
      </w:pPr>
    </w:p>
    <w:p>
      <w:bookmarkStart w:id="106" w:name="h-horizontal-rules"/>
      <w:pPr>
        <w:pStyle w:val="Heading2"/>
      </w:pPr>
      <w:r>
        <w:t>Horizontal Rules</w:t>
      </w:r>
      <w:bookmarkEnd w:id="106"/>
    </w:p>
    <w:p>
      <w:r>
        <w:t>Horizontal rules can be used to separate sections visually:</w:t>
      </w:r>
    </w:p>
    <w:p>
      <w:pPr>
        <w:pageBreakBefore w:val="1"/>
      </w:pPr>
      <w:r>
        <w:t>They create a clear break without starting a new page.</w:t>
      </w:r>
    </w:p>
    <w:p>
      <w:bookmarkStart w:id="107" w:name="h-vertical-space"/>
      <w:pPr>
        <w:pStyle w:val="Heading2"/>
        <w:pageBreakBefore w:val="1"/>
      </w:pPr>
      <w:r>
        <w:t>Vertical Space</w:t>
      </w:r>
      <w:bookmarkEnd w:id="107"/>
    </w:p>
    <w:p>
      <w:r>
        <w:t xml:space="preserve">The </w:t>
      </w:r>
      <w:r>
        <w:rPr>
          <w:rFonts w:ascii="Courier New" w:hAnsi="Courier New"/>
          <w:sz w:val="20"/>
        </w:rPr>
        <w:t>:::space</w:t>
      </w:r>
      <w:r>
        <w:t xml:space="preserve"> directive provides precise vertical spacing control, ideal for fine-tuning layout on cover pages and between sections.</w:t>
      </w:r>
    </w:p>
    <w:p>
      <w:r>
        <w:t xml:space="preserve">Use </w:t>
      </w:r>
      <w:r>
        <w:rPr>
          <w:rFonts w:ascii="Courier New" w:hAnsi="Courier New"/>
          <w:sz w:val="20"/>
        </w:rPr>
        <w:t>lines</w:t>
      </w:r>
      <w:r>
        <w:t xml:space="preserve"> to insert space measured in body-text lines (11 pt per line):</w:t>
      </w:r>
    </w:p>
    <w:p>
      <w:pPr>
        <w:spacing w:before="0" w:after="0" w:line="660" w:lineRule="exact"/>
      </w:pPr>
    </w:p>
    <w:p>
      <w:r>
        <w:t xml:space="preserve">Or use </w:t>
      </w:r>
      <w:r>
        <w:rPr>
          <w:rFonts w:ascii="Courier New" w:hAnsi="Courier New"/>
          <w:sz w:val="20"/>
        </w:rPr>
        <w:t>pt</w:t>
      </w:r>
      <w:r>
        <w:t xml:space="preserve"> for an exact point value:</w:t>
      </w:r>
    </w:p>
    <w:p>
      <w:pPr>
        <w:spacing w:before="0" w:after="0" w:line="480" w:lineRule="exact"/>
      </w:pPr>
    </w:p>
    <w:p>
      <w:r>
        <w:t>Both examples above create white space without forcing a page break.</w:t>
      </w:r>
    </w:p>
    <w:p>
      <w:bookmarkStart w:id="108" w:name="h-appendix"/>
      <w:pPr>
        <w:numPr>
          <w:ilvl w:val="0"/>
          <w:numId w:val="0"/>
        </w:numPr>
        <w:pStyle w:val="Heading1"/>
        <w:pageBreakBefore w:val="1"/>
      </w:pPr>
      <w:r>
        <w:t>Appendix</w:t>
      </w:r>
      <w:bookmarkEnd w:id="108"/>
    </w:p>
    <w:p>
      <w:bookmarkStart w:id="109" w:name="h-a-supported-markdown-extensions"/>
      <w:pPr>
        <w:numPr>
          <w:ilvl w:val="0"/>
          <w:numId w:val="0"/>
        </w:numPr>
        <w:pStyle w:val="Heading2"/>
      </w:pPr>
      <w:r>
        <w:t>A. Supported Markdown Extensions</w:t>
      </w:r>
      <w:bookmarkEnd w:id="109"/>
    </w:p>
    <w:p>
      <w:bookmarkStart w:id="110" w:name="h-a1-github-flavored-markdown"/>
      <w:pPr>
        <w:numPr>
          <w:ilvl w:val="0"/>
          <w:numId w:val="0"/>
        </w:numPr>
        <w:pStyle w:val="Heading3"/>
      </w:pPr>
      <w:r>
        <w:t>A.1 GitHub Flavored Markdown</w:t>
      </w:r>
      <w:bookmarkEnd w:id="110"/>
    </w:p>
    <w:p>
      <w:r>
        <w:t>The converter fully supports GFM syntax including:</w:t>
      </w:r>
    </w:p>
    <w:p>
      <w:pPr>
        <w:numPr>
          <w:ilvl w:val="0"/>
          <w:numId w:val="25"/>
        </w:numPr>
        <w:pStyle w:val="ListBullet"/>
      </w:pPr>
      <w:r>
        <w:t>Tables with alignment</w:t>
      </w:r>
    </w:p>
    <w:p>
      <w:pPr>
        <w:numPr>
          <w:ilvl w:val="0"/>
          <w:numId w:val="25"/>
        </w:numPr>
        <w:pStyle w:val="ListBullet"/>
      </w:pPr>
      <w:r>
        <w:t>Task lists (converted to bullet points)</w:t>
      </w:r>
    </w:p>
    <w:p>
      <w:pPr>
        <w:numPr>
          <w:ilvl w:val="0"/>
          <w:numId w:val="25"/>
        </w:numPr>
        <w:pStyle w:val="ListBullet"/>
      </w:pPr>
      <w:r>
        <w:t>Strikethrough text</w:t>
      </w:r>
    </w:p>
    <w:p>
      <w:pPr>
        <w:numPr>
          <w:ilvl w:val="0"/>
          <w:numId w:val="25"/>
        </w:numPr>
        <w:pStyle w:val="ListBullet"/>
      </w:pPr>
      <w:r>
        <w:t>Autolinks</w:t>
      </w:r>
    </w:p>
    <w:p>
      <w:bookmarkStart w:id="111" w:name="h-a11-table-alignment"/>
      <w:pPr>
        <w:pStyle w:val="Heading3"/>
      </w:pPr>
      <w:r>
        <w:t>A.1.1 Table Alignment</w:t>
      </w:r>
      <w:bookmarkEnd w:id="111"/>
    </w:p>
    <w:p>
      <w:r>
        <w:t>Tables support column alignment through colon placement:</w:t>
      </w:r>
    </w:p>
    <w:tbl>
      <w:tblPr>
        <w:tblStyle w:val="MdToDocxDataTable"/>
        <w:tblLook w:firstColumn="0" w:firstRow="1" w:lastColumn="0" w:lastRow="0" w:noHBand="0" w:noVBand="1" w:val="0420"/>
        <w:tblW w:w="5000" w:type="pct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</w:tcPr>
          <w:p>
            <w:r>
              <w:t>Left</w:t>
            </w:r>
          </w:p>
        </w:tc>
        <w:tc>
          <w:tcPr>
            <w:tcW w:type="dxa" w:w="3120"/>
          </w:tcPr>
          <w:p>
            <w:r>
              <w:t>Center</w:t>
            </w:r>
          </w:p>
        </w:tc>
        <w:tc>
          <w:tcPr>
            <w:tcW w:type="dxa" w:w="3120"/>
          </w:tcPr>
          <w:p>
            <w:r>
              <w:t>Right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r>
              <w:t>L1</w:t>
            </w:r>
          </w:p>
        </w:tc>
        <w:tc>
          <w:tcPr>
            <w:tcW w:type="dxa" w:w="3120"/>
          </w:tcPr>
          <w:p>
            <w:r>
              <w:t>C1</w:t>
            </w:r>
          </w:p>
        </w:tc>
        <w:tc>
          <w:tcPr>
            <w:tcW w:type="dxa" w:w="3120"/>
          </w:tcPr>
          <w:p>
            <w:r>
              <w:t>R1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r>
              <w:t>L2</w:t>
            </w:r>
          </w:p>
        </w:tc>
        <w:tc>
          <w:tcPr>
            <w:tcW w:type="dxa" w:w="3120"/>
          </w:tcPr>
          <w:p>
            <w:r>
              <w:t>C2</w:t>
            </w:r>
          </w:p>
        </w:tc>
        <w:tc>
          <w:tcPr>
            <w:tcW w:type="dxa" w:w="3120"/>
          </w:tcPr>
          <w:p>
            <w:r>
              <w:t>R2</w:t>
            </w:r>
          </w:p>
        </w:tc>
      </w:tr>
    </w:tbl>
    <w:p>
      <w:bookmarkStart w:id="112" w:name="h-a2-custom-extensions"/>
      <w:pPr>
        <w:pStyle w:val="Heading3"/>
      </w:pPr>
      <w:r>
        <w:t>A.2 Custom Extensions</w:t>
      </w:r>
      <w:bookmarkEnd w:id="112"/>
    </w:p>
    <w:p>
      <w:r>
        <w:t>Additional features beyond standard Markdown:</w:t>
      </w:r>
    </w:p>
    <w:p>
      <w:pPr>
        <w:numPr>
          <w:ilvl w:val="0"/>
          <w:numId w:val="26"/>
        </w:numPr>
        <w:pStyle w:val="ListBullet"/>
      </w:pPr>
      <w:r>
        <w:t xml:space="preserve">Image sizing with </w:t>
      </w:r>
      <w:r>
        <w:rPr>
          <w:rFonts w:ascii="Courier New" w:hAnsi="Courier New"/>
          <w:sz w:val="20"/>
        </w:rPr>
        <w:t>{.xs}</w:t>
      </w:r>
      <w:r>
        <w:t xml:space="preserve">, </w:t>
      </w:r>
      <w:r>
        <w:rPr>
          <w:rFonts w:ascii="Courier New" w:hAnsi="Courier New"/>
          <w:sz w:val="20"/>
        </w:rPr>
        <w:t>{.small}</w:t>
      </w:r>
      <w:r>
        <w:t xml:space="preserve">, </w:t>
      </w:r>
      <w:r>
        <w:rPr>
          <w:rFonts w:ascii="Courier New" w:hAnsi="Courier New"/>
          <w:sz w:val="20"/>
        </w:rPr>
        <w:t>{.medium}</w:t>
      </w:r>
      <w:r>
        <w:t xml:space="preserve">, </w:t>
      </w:r>
      <w:r>
        <w:rPr>
          <w:rFonts w:ascii="Courier New" w:hAnsi="Courier New"/>
          <w:sz w:val="20"/>
        </w:rPr>
        <w:t>{.large}</w:t>
      </w:r>
      <w:r>
        <w:t xml:space="preserve">, </w:t>
      </w:r>
      <w:r>
        <w:rPr>
          <w:rFonts w:ascii="Courier New" w:hAnsi="Courier New"/>
          <w:sz w:val="20"/>
        </w:rPr>
        <w:t>{.xl}</w:t>
      </w:r>
    </w:p>
    <w:p>
      <w:pPr>
        <w:numPr>
          <w:ilvl w:val="0"/>
          <w:numId w:val="26"/>
        </w:numPr>
        <w:pStyle w:val="ListBullet"/>
      </w:pPr>
      <w:r>
        <w:t xml:space="preserve">Alignment classes: </w:t>
      </w:r>
      <w:r>
        <w:rPr>
          <w:rFonts w:ascii="Courier New" w:hAnsi="Courier New"/>
          <w:sz w:val="20"/>
        </w:rPr>
        <w:t>{.left}</w:t>
      </w:r>
      <w:r>
        <w:t xml:space="preserve">, </w:t>
      </w:r>
      <w:r>
        <w:rPr>
          <w:rFonts w:ascii="Courier New" w:hAnsi="Courier New"/>
          <w:sz w:val="20"/>
        </w:rPr>
        <w:t>{.center}</w:t>
      </w:r>
      <w:r>
        <w:t xml:space="preserve">, </w:t>
      </w:r>
      <w:r>
        <w:rPr>
          <w:rFonts w:ascii="Courier New" w:hAnsi="Courier New"/>
          <w:sz w:val="20"/>
        </w:rPr>
        <w:t>{.right}</w:t>
      </w:r>
    </w:p>
    <w:p>
      <w:pPr>
        <w:numPr>
          <w:ilvl w:val="0"/>
          <w:numId w:val="26"/>
        </w:numPr>
        <w:pStyle w:val="ListBullet"/>
      </w:pPr>
      <w:r>
        <w:t xml:space="preserve">Heading attributes: </w:t>
      </w:r>
      <w:r>
        <w:rPr>
          <w:rFonts w:ascii="Courier New" w:hAnsi="Courier New"/>
          <w:sz w:val="20"/>
        </w:rPr>
        <w:t>{.notoc}</w:t>
      </w:r>
      <w:r>
        <w:t xml:space="preserve">, </w:t>
      </w:r>
      <w:r>
        <w:rPr>
          <w:rFonts w:ascii="Courier New" w:hAnsi="Courier New"/>
          <w:sz w:val="20"/>
        </w:rPr>
        <w:t>{.nonumber}</w:t>
      </w:r>
    </w:p>
    <w:p>
      <w:pPr>
        <w:numPr>
          <w:ilvl w:val="0"/>
          <w:numId w:val="26"/>
        </w:numPr>
        <w:pStyle w:val="ListBullet"/>
      </w:pPr>
      <w:r>
        <w:t xml:space="preserve">Figure groups with </w:t>
      </w:r>
      <w:r>
        <w:rPr>
          <w:rFonts w:ascii="Courier New" w:hAnsi="Courier New"/>
          <w:sz w:val="20"/>
        </w:rPr>
        <w:t>:::figures</w:t>
      </w:r>
      <w:r>
        <w:t xml:space="preserve"> blocks</w:t>
      </w:r>
    </w:p>
    <w:p>
      <w:pPr>
        <w:numPr>
          <w:ilvl w:val="0"/>
          <w:numId w:val="26"/>
        </w:numPr>
        <w:pStyle w:val="ListBullet"/>
      </w:pPr>
      <w:r>
        <w:t xml:space="preserve">Custom column widths: </w:t>
      </w:r>
      <w:r>
        <w:rPr>
          <w:rFonts w:ascii="Courier New" w:hAnsi="Courier New"/>
          <w:sz w:val="20"/>
        </w:rPr>
        <w:t>{col-widths="20%,30%,50%"}</w:t>
      </w:r>
    </w:p>
    <w:p>
      <w:bookmarkStart w:id="113" w:name="h-b-configuration-options"/>
      <w:pPr>
        <w:numPr>
          <w:ilvl w:val="0"/>
          <w:numId w:val="0"/>
        </w:numPr>
        <w:pStyle w:val="Heading2"/>
      </w:pPr>
      <w:r>
        <w:t>B. Configuration Options</w:t>
      </w:r>
      <w:bookmarkEnd w:id="113"/>
    </w:p>
    <w:p>
      <w:bookmarkStart w:id="114" w:name="h-b1-document-metadata"/>
      <w:pPr>
        <w:numPr>
          <w:ilvl w:val="0"/>
          <w:numId w:val="0"/>
        </w:numPr>
        <w:pStyle w:val="Heading3"/>
      </w:pPr>
      <w:r>
        <w:t>B.1 Document Metadata</w:t>
      </w:r>
      <w:bookmarkEnd w:id="114"/>
    </w:p>
    <w:p>
      <w:r>
        <w:t xml:space="preserve">Controlled via </w:t>
      </w:r>
      <w:r>
        <w:rPr>
          <w:rFonts w:ascii="Courier New" w:hAnsi="Courier New"/>
          <w:sz w:val="20"/>
        </w:rPr>
        <w:t>config.yaml</w:t>
      </w:r>
      <w:r>
        <w:t>:</w:t>
      </w:r>
    </w:p>
    <w:p>
      <w:pPr>
        <w:numPr>
          <w:ilvl w:val="0"/>
          <w:numId w:val="27"/>
        </w:numPr>
        <w:pStyle w:val="ListNumber"/>
      </w:pPr>
      <w:r>
        <w:rPr>
          <w:b/>
        </w:rPr>
        <w:t>Document properties</w:t>
      </w:r>
      <w:r>
        <w:t>: title, author, date, version</w:t>
      </w:r>
    </w:p>
    <w:p>
      <w:pPr>
        <w:numPr>
          <w:ilvl w:val="0"/>
          <w:numId w:val="27"/>
        </w:numPr>
        <w:pStyle w:val="ListNumber"/>
      </w:pPr>
      <w:r>
        <w:rPr>
          <w:b/>
        </w:rPr>
        <w:t>Page layout</w:t>
      </w:r>
      <w:r>
        <w:t>: margins, paper size, orientation</w:t>
      </w:r>
    </w:p>
    <w:p>
      <w:pPr>
        <w:numPr>
          <w:ilvl w:val="0"/>
          <w:numId w:val="27"/>
        </w:numPr>
        <w:pStyle w:val="ListNumber"/>
      </w:pPr>
      <w:r>
        <w:rPr>
          <w:b/>
        </w:rPr>
        <w:t>Headers and footers</w:t>
      </w:r>
      <w:r>
        <w:t>: content, alignment, dynamic fields</w:t>
      </w:r>
    </w:p>
    <w:p>
      <w:bookmarkStart w:id="115" w:name="h-b11-dynamic-fields"/>
      <w:pPr>
        <w:numPr>
          <w:ilvl w:val="0"/>
          <w:numId w:val="0"/>
        </w:numPr>
        <w:pStyle w:val="Heading3"/>
      </w:pPr>
      <w:r>
        <w:t>B.1.1 Dynamic Fields</w:t>
      </w:r>
      <w:bookmarkEnd w:id="115"/>
    </w:p>
    <w:p>
      <w:r>
        <w:t>Headers and footers support placeholder substitution:</w:t>
      </w:r>
    </w:p>
    <w:p>
      <w:pPr>
        <w:numPr>
          <w:ilvl w:val="0"/>
          <w:numId w:val="28"/>
        </w:numPr>
        <w:pStyle w:val="ListBullet"/>
      </w:pPr>
      <w:r>
        <w:rPr>
          <w:rFonts w:ascii="Courier New" w:hAnsi="Courier New"/>
          <w:sz w:val="20"/>
        </w:rPr>
        <w:t>{title}</w:t>
      </w:r>
      <w:r>
        <w:t xml:space="preserve"> - Document title from config</w:t>
      </w:r>
    </w:p>
    <w:p>
      <w:pPr>
        <w:numPr>
          <w:ilvl w:val="0"/>
          <w:numId w:val="28"/>
        </w:numPr>
        <w:pStyle w:val="ListBullet"/>
      </w:pPr>
      <w:r>
        <w:rPr>
          <w:rFonts w:ascii="Courier New" w:hAnsi="Courier New"/>
          <w:sz w:val="20"/>
        </w:rPr>
        <w:t>{author}</w:t>
      </w:r>
      <w:r>
        <w:t xml:space="preserve"> - Author name from config</w:t>
      </w:r>
    </w:p>
    <w:p>
      <w:pPr>
        <w:numPr>
          <w:ilvl w:val="0"/>
          <w:numId w:val="28"/>
        </w:numPr>
        <w:pStyle w:val="ListBullet"/>
      </w:pPr>
      <w:r>
        <w:rPr>
          <w:rFonts w:ascii="Courier New" w:hAnsi="Courier New"/>
          <w:sz w:val="20"/>
        </w:rPr>
        <w:t>{date}</w:t>
      </w:r>
      <w:r>
        <w:t xml:space="preserve"> - Document date from config</w:t>
      </w:r>
    </w:p>
    <w:p>
      <w:pPr>
        <w:numPr>
          <w:ilvl w:val="0"/>
          <w:numId w:val="28"/>
        </w:numPr>
        <w:pStyle w:val="ListBullet"/>
      </w:pPr>
      <w:r>
        <w:rPr>
          <w:rFonts w:ascii="Courier New" w:hAnsi="Courier New"/>
          <w:sz w:val="20"/>
        </w:rPr>
        <w:t>{page}</w:t>
      </w:r>
      <w:r>
        <w:t xml:space="preserve"> - Current page number</w:t>
      </w:r>
    </w:p>
    <w:p>
      <w:pPr>
        <w:numPr>
          <w:ilvl w:val="0"/>
          <w:numId w:val="28"/>
        </w:numPr>
        <w:pStyle w:val="ListBullet"/>
      </w:pPr>
      <w:r>
        <w:rPr>
          <w:rFonts w:ascii="Courier New" w:hAnsi="Courier New"/>
          <w:sz w:val="20"/>
        </w:rPr>
        <w:t>{total}</w:t>
      </w:r>
      <w:r>
        <w:t xml:space="preserve"> - Total page count</w:t>
      </w:r>
    </w:p>
    <w:p>
      <w:bookmarkStart w:id="116" w:name="h-b2-styling-options"/>
      <w:pPr>
        <w:numPr>
          <w:ilvl w:val="0"/>
          <w:numId w:val="0"/>
        </w:numPr>
        <w:pStyle w:val="Heading3"/>
      </w:pPr>
      <w:r>
        <w:t>B.2 Styling Options</w:t>
      </w:r>
      <w:bookmarkEnd w:id="116"/>
    </w:p>
    <w:p>
      <w:r>
        <w:t>Visual presentation controlled through:</w:t>
      </w:r>
    </w:p>
    <w:p>
      <w:pPr>
        <w:numPr>
          <w:ilvl w:val="0"/>
          <w:numId w:val="29"/>
        </w:numPr>
        <w:pStyle w:val="ListBullet"/>
      </w:pPr>
      <w:r>
        <w:rPr>
          <w:b/>
        </w:rPr>
        <w:t>Heading colors</w:t>
      </w:r>
      <w:r>
        <w:t>: Alternating dark blue and medium blue</w:t>
      </w:r>
    </w:p>
    <w:p>
      <w:pPr>
        <w:numPr>
          <w:ilvl w:val="0"/>
          <w:numId w:val="29"/>
        </w:numPr>
        <w:pStyle w:val="ListBullet"/>
      </w:pPr>
      <w:r>
        <w:rPr>
          <w:b/>
        </w:rPr>
        <w:t>Numbered headings</w:t>
      </w:r>
      <w:r>
        <w:t>: Optional sequential numbering</w:t>
      </w:r>
    </w:p>
    <w:p>
      <w:pPr>
        <w:numPr>
          <w:ilvl w:val="0"/>
          <w:numId w:val="29"/>
        </w:numPr>
        <w:pStyle w:val="ListBullet"/>
      </w:pPr>
      <w:r>
        <w:rPr>
          <w:b/>
        </w:rPr>
        <w:t>Code formatting</w:t>
      </w:r>
      <w:r>
        <w:t>: Grey background with monospace font</w:t>
      </w:r>
    </w:p>
    <w:p>
      <w:pPr>
        <w:numPr>
          <w:ilvl w:val="0"/>
          <w:numId w:val="29"/>
        </w:numPr>
        <w:pStyle w:val="ListBullet"/>
      </w:pPr>
      <w:r>
        <w:rPr>
          <w:b/>
        </w:rPr>
        <w:t>Table styling</w:t>
      </w:r>
      <w:r>
        <w:t>: Alternating row shading, header formatting</w:t>
      </w:r>
    </w:p>
    <w:p>
      <w:bookmarkStart w:id="117" w:name="h-c-property-substitution"/>
      <w:pPr>
        <w:numPr>
          <w:ilvl w:val="0"/>
          <w:numId w:val="0"/>
        </w:numPr>
        <w:pStyle w:val="Heading2"/>
      </w:pPr>
      <w:r>
        <w:t>C. Property Substitution</w:t>
      </w:r>
      <w:bookmarkEnd w:id="117"/>
    </w:p>
    <w:p>
      <w:r>
        <w:t xml:space="preserve">Dynamic values can be inserted using </w:t>
      </w:r>
      <w:r>
        <w:rPr>
          <w:rFonts w:ascii="Courier New" w:hAnsi="Courier New"/>
          <w:sz w:val="20"/>
        </w:rPr>
        <w:t>{{property}}</w:t>
      </w:r>
      <w:r>
        <w:t xml:space="preserve"> syntax from </w:t>
      </w:r>
      <w:r>
        <w:rPr>
          <w:rFonts w:ascii="Courier New" w:hAnsi="Courier New"/>
          <w:sz w:val="20"/>
        </w:rPr>
        <w:t>properties.yaml</w:t>
      </w:r>
      <w:r>
        <w:t>. This enables template-based document generation where specific values are populated at build time.</w:t>
      </w:r>
    </w:p>
    <w:p>
      <w:bookmarkStart w:id="118" w:name="h-c1-usage-examples"/>
      <w:pPr>
        <w:numPr>
          <w:ilvl w:val="0"/>
          <w:numId w:val="0"/>
        </w:numPr>
        <w:pStyle w:val="Heading3"/>
      </w:pPr>
      <w:r>
        <w:t>C.1 Usage Examples</w:t>
      </w:r>
      <w:bookmarkEnd w:id="118"/>
    </w:p>
    <w:p>
      <w:r>
        <w:t xml:space="preserve">The converter supports </w:t>
      </w:r>
      <w:r>
        <w:rPr>
          <w:b/>
        </w:rPr>
        <w:t>6 levels</w:t>
      </w:r>
      <w:r>
        <w:t xml:space="preserve"> heading levels and </w:t>
      </w:r>
      <w:r>
        <w:rPr>
          <w:b/>
        </w:rPr>
        <w:t>3 styles</w:t>
      </w:r>
      <w:r>
        <w:t xml:space="preserve"> table styles. The </w:t>
      </w:r>
      <w:r>
        <w:rPr>
          <w:b/>
        </w:rPr>
        <w:t>md_to_docx</w:t>
      </w:r>
      <w:r>
        <w:t xml:space="preserve"> project is currently at version </w:t>
      </w:r>
      <w:r>
        <w:rPr>
          <w:b/>
        </w:rPr>
        <w:t>2.0</w:t>
      </w:r>
      <w:r>
        <w:t xml:space="preserve"> and has processed over </w:t>
      </w:r>
      <w:r>
        <w:rPr>
          <w:b/>
        </w:rPr>
        <w:t>1,250+</w:t>
      </w:r>
      <w:r>
        <w:t xml:space="preserve"> files.</w:t>
      </w:r>
    </w:p>
    <w:p>
      <w:bookmarkStart w:id="119" w:name="h-c2-configuration-data"/>
      <w:pPr>
        <w:numPr>
          <w:ilvl w:val="0"/>
          <w:numId w:val="0"/>
        </w:numPr>
        <w:pStyle w:val="Heading3"/>
      </w:pPr>
      <w:r>
        <w:t>C.2 Configuration Data</w:t>
      </w:r>
      <w:bookmarkEnd w:id="119"/>
    </w:p>
    <w:p>
      <w:r>
        <w:t>Based on the configuration:</w:t>
      </w:r>
    </w:p>
    <w:p>
      <w:pPr>
        <w:numPr>
          <w:ilvl w:val="0"/>
          <w:numId w:val="30"/>
        </w:numPr>
        <w:pStyle w:val="ListBullet"/>
      </w:pPr>
      <w:r>
        <w:rPr>
          <w:b/>
        </w:rPr>
        <w:t>Supported formats</w:t>
      </w:r>
      <w:r>
        <w:t>: Markdown to Word (.docx)</w:t>
      </w:r>
    </w:p>
    <w:p>
      <w:pPr>
        <w:numPr>
          <w:ilvl w:val="0"/>
          <w:numId w:val="30"/>
        </w:numPr>
        <w:pStyle w:val="ListBullet"/>
      </w:pPr>
      <w:r>
        <w:rPr>
          <w:b/>
        </w:rPr>
        <w:t>Parser engine</w:t>
      </w:r>
      <w:r>
        <w:t>: Marko with GFM extensions</w:t>
      </w:r>
    </w:p>
    <w:p>
      <w:pPr>
        <w:numPr>
          <w:ilvl w:val="0"/>
          <w:numId w:val="30"/>
        </w:numPr>
        <w:pStyle w:val="ListBullet"/>
      </w:pPr>
      <w:r>
        <w:rPr>
          <w:b/>
        </w:rPr>
        <w:t>Maximum heading depth</w:t>
      </w:r>
      <w:r>
        <w:t>: 6 levels</w:t>
      </w:r>
    </w:p>
    <w:p>
      <w:pPr>
        <w:numPr>
          <w:ilvl w:val="0"/>
          <w:numId w:val="30"/>
        </w:numPr>
        <w:pStyle w:val="ListBullet"/>
      </w:pPr>
      <w:r>
        <w:rPr>
          <w:b/>
        </w:rPr>
        <w:t>Available image sizes</w:t>
      </w:r>
      <w:r>
        <w:t>: 5 classes (xs, small, medium, large, xl)</w:t>
      </w:r>
    </w:p>
    <w:p>
      <w:pPr>
        <w:numPr>
          <w:ilvl w:val="0"/>
          <w:numId w:val="30"/>
        </w:numPr>
        <w:pStyle w:val="ListBullet"/>
      </w:pPr>
      <w:r>
        <w:rPr>
          <w:b/>
        </w:rPr>
        <w:t>Alert types</w:t>
      </w:r>
      <w:r>
        <w:t>: 4 types (note, tip, warning, caution)</w:t>
      </w:r>
    </w:p>
    <w:p>
      <w:pPr>
        <w:numPr>
          <w:ilvl w:val="0"/>
          <w:numId w:val="30"/>
        </w:numPr>
        <w:pStyle w:val="ListBullet"/>
      </w:pPr>
      <w:r>
        <w:rPr>
          <w:b/>
        </w:rPr>
        <w:t>Code language support</w:t>
      </w:r>
      <w:r>
        <w:t>: Python, JavaScript, and any code</w:t>
      </w:r>
    </w:p>
    <w:p>
      <w:r>
        <w:t>These values demonstrate how properties from YAML files are dynamically inserted into the document content at conversion time.</w:t>
      </w:r>
    </w:p>
    <w:p>
      <w:pPr>
        <w:pageBreakBefore w:val="1"/>
      </w:pPr>
      <w:r>
        <w:rPr>
          <w:b w:val="0"/>
          <w:i/>
        </w:rPr>
        <w:t>End of Document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  <w:pBdr>
        <w:top w:val="single" w:sz="6" w:space="4" w:color="AAAAAA"/>
      </w:pBdr>
    </w:pP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 SECTIONPAGES </w:instrText>
    </w:r>
    <w:r>
      <w:fldChar w:fldCharType="separate"/>
    </w:r>
    <w:r>
      <w:fldChar w:fldCharType="end"/>
    </w:r>
    <w:r>
      <w:tab/>
    </w:r>
    <w:r>
      <w:t>Your Name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dr>
      <w:tblInd w:w="0" w:type="dxa"/>
    </w:tblPr>
    <w:tblGrid>
      <w:gridCol w:w="4514"/>
      <w:gridCol w:w="4514"/>
    </w:tblGrid>
    <w:tr>
      <w:tc>
        <w:tcPr>
          <w:tc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dr>
          <w:tcW w:w="8245" w:type="dxa"/>
        </w:tcPr>
        <w:p>
          <w:pPr>
            <w:tabs>
              <w:tab w:val="center" w:pos="4122"/>
              <w:tab w:val="right" w:pos="8245"/>
            </w:tabs>
            <w:spacing w:before="0" w:after="0"/>
          </w:pPr>
          <w:r>
            <w:t>md_to_docx Capability Showcase</w:t>
          </w:r>
          <w:r>
            <w:tab/>
          </w:r>
          <w:r>
            <w:t>March 2026</w:t>
          </w:r>
        </w:p>
        <w:p>
          <w:pPr>
            <w:tabs>
              <w:tab w:val="center" w:pos="4122"/>
              <w:tab w:val="right" w:pos="8245"/>
            </w:tabs>
            <w:spacing w:before="0" w:after="0"/>
          </w:pPr>
          <w:r>
            <w:t>Your Name</w:t>
          </w:r>
        </w:p>
      </w:tc>
      <w:tc>
        <w:tcPr>
          <w:tc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dr>
          <w:tcW w:w="638" w:type="dxa"/>
          <w:vAlign w:val="center"/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59999" cy="3599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9999" cy="3599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/>
      <w:pBdr>
        <w:top w:val="single" w:sz="6" w:space="4" w:color="AAAAA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AA000009"/>
    <w:multiLevelType w:val="multilevel"/>
    <w:tmpl w:val="BB000009"/>
    <w:lvl w:ilvl="0">
      <w:start w:val="1"/>
      <w:numFmt w:val="decimal"/>
      <w:pStyle w:val="Heading1"/>
      <w:lvlText w:val="%1."/>
      <w:lvlJc w:val="left"/>
      <w:suff w:val="space"/>
      <w:pPr>
        <w:ind w:left="0" w:hanging="0"/>
      </w:pPr>
    </w:lvl>
    <w:lvl w:ilvl="1">
      <w:start w:val="1"/>
      <w:numFmt w:val="decimal"/>
      <w:pStyle w:val="Heading2"/>
      <w:lvlText w:val="%1.%2"/>
      <w:lvlJc w:val="left"/>
      <w:suff w:val="space"/>
      <w:pPr>
        <w:ind w:left="0" w:hanging="0"/>
      </w:pPr>
    </w:lvl>
    <w:lvl w:ilvl="2">
      <w:start w:val="1"/>
      <w:numFmt w:val="decimal"/>
      <w:pStyle w:val="Heading3"/>
      <w:lvlText w:val="%1.%2.%3"/>
      <w:lvlJc w:val="left"/>
      <w:suff w:val="space"/>
      <w:pPr>
        <w:ind w:left="0" w:hanging="0"/>
      </w:pPr>
    </w:lvl>
    <w:lvl w:ilvl="3">
      <w:start w:val="1"/>
      <w:numFmt w:val="decimal"/>
      <w:pStyle w:val="Heading4"/>
      <w:lvlText w:val="%1.%2.%3.%4"/>
      <w:lvlJc w:val="left"/>
      <w:suff w:val="space"/>
      <w:pPr>
        <w:ind w:left="0" w:hanging="0"/>
      </w:pPr>
    </w:lvl>
    <w:lvl w:ilvl="4">
      <w:start w:val="1"/>
      <w:numFmt w:val="decimal"/>
      <w:pStyle w:val="Heading5"/>
      <w:lvlText w:val="%1.%2.%3.%4.%5"/>
      <w:lvlJc w:val="left"/>
      <w:suff w:val="space"/>
      <w:pPr>
        <w:ind w:left="0" w:hanging="0"/>
      </w:pPr>
    </w:lvl>
    <w:lvl w:ilvl="5">
      <w:start w:val="1"/>
      <w:numFmt w:val="decimal"/>
      <w:pStyle w:val="Heading6"/>
      <w:lvlText w:val="%1.%2.%3.%4.%5.%6"/>
      <w:lvlJc w:val="left"/>
      <w:suff w:val="space"/>
      <w:pPr>
        <w:ind w:left="0" w:hanging="0"/>
      </w:pPr>
    </w:lvl>
  </w:abstractNum>
  <w:abstractNum w:abstractNumId="10">
    <w:nsid w:val="CC00000A"/>
    <w:multiLevelType w:val="hybridMultilevel"/>
    <w:tmpl w:val="DD00000A"/>
    <w:lvl w:ilvl="0">
      <w:start w:val="1"/>
      <w:numFmt w:val="decimal"/>
      <w:lvlText w:val="%1."/>
      <w:lvlJc w:val="left"/>
      <w:suff w:val="space"/>
      <w:pPr>
        <w:ind w:left="720" w:hanging="360"/>
      </w:pPr>
    </w:lvl>
    <w:lvl w:ilvl="1">
      <w:start w:val="1"/>
      <w:numFmt w:val="decimal"/>
      <w:lvlText w:val="%2."/>
      <w:lvlJc w:val="left"/>
      <w:suff w:val="space"/>
      <w:pPr>
        <w:ind w:left="1080" w:hanging="360"/>
      </w:pPr>
    </w:lvl>
    <w:lvl w:ilvl="2">
      <w:start w:val="1"/>
      <w:numFmt w:val="decimal"/>
      <w:lvlText w:val="%3."/>
      <w:lvlJc w:val="left"/>
      <w:suff w:val="space"/>
      <w:pPr>
        <w:ind w:left="1440" w:hanging="360"/>
      </w:pPr>
    </w:lvl>
    <w:lvl w:ilvl="3">
      <w:start w:val="1"/>
      <w:numFmt w:val="decimal"/>
      <w:lvlText w:val="%4."/>
      <w:lvlJc w:val="left"/>
      <w:suff w:val="space"/>
      <w:pPr>
        <w:ind w:left="1800" w:hanging="360"/>
      </w:pPr>
    </w:lvl>
    <w:lvl w:ilvl="4">
      <w:start w:val="1"/>
      <w:numFmt w:val="decimal"/>
      <w:lvlText w:val="%5."/>
      <w:lvlJc w:val="left"/>
      <w:suff w:val="space"/>
      <w:pPr>
        <w:ind w:left="2160" w:hanging="360"/>
      </w:pPr>
    </w:lvl>
    <w:lvl w:ilvl="5">
      <w:start w:val="1"/>
      <w:numFmt w:val="decimal"/>
      <w:lvlText w:val="%6."/>
      <w:lvlJc w:val="left"/>
      <w:suff w:val="space"/>
      <w:pPr>
        <w:ind w:left="2520" w:hanging="360"/>
      </w:pPr>
    </w:lvl>
  </w:abstractNum>
  <w:abstractNum w:abstractNumId="11">
    <w:nsid w:val="EE00000B"/>
    <w:multiLevelType w:val="hybridMultilevel"/>
    <w:tmpl w:val="FF00000B"/>
    <w:lvl w:ilvl="0">
      <w:start w:val="1"/>
      <w:numFmt w:val="bullet"/>
      <w:lvlText w:val="•"/>
      <w:lvlJc w:val="left"/>
      <w:suff w:val="space"/>
      <w:pPr>
        <w:ind w:left="720" w:hanging="360"/>
      </w:pPr>
    </w:lvl>
    <w:lvl w:ilvl="1">
      <w:start w:val="1"/>
      <w:numFmt w:val="bullet"/>
      <w:lvlText w:val="◦"/>
      <w:lvlJc w:val="left"/>
      <w:suff w:val="space"/>
      <w:pPr>
        <w:ind w:left="1080" w:hanging="360"/>
      </w:pPr>
    </w:lvl>
    <w:lvl w:ilvl="2">
      <w:start w:val="1"/>
      <w:numFmt w:val="bullet"/>
      <w:lvlText w:val="▪"/>
      <w:lvlJc w:val="left"/>
      <w:suff w:val="space"/>
      <w:pPr>
        <w:ind w:left="1440" w:hanging="360"/>
      </w:pPr>
    </w:lvl>
    <w:lvl w:ilvl="3">
      <w:start w:val="1"/>
      <w:numFmt w:val="bullet"/>
      <w:lvlText w:val="•"/>
      <w:lvlJc w:val="left"/>
      <w:suff w:val="space"/>
      <w:pPr>
        <w:ind w:left="1800" w:hanging="360"/>
      </w:pPr>
    </w:lvl>
    <w:lvl w:ilvl="4">
      <w:start w:val="1"/>
      <w:numFmt w:val="bullet"/>
      <w:lvlText w:val="◦"/>
      <w:lvlJc w:val="left"/>
      <w:suff w:val="space"/>
      <w:pPr>
        <w:ind w:left="2160" w:hanging="360"/>
      </w:pPr>
    </w:lvl>
    <w:lvl w:ilvl="5">
      <w:start w:val="1"/>
      <w:numFmt w:val="bullet"/>
      <w:lvlText w:val="▪"/>
      <w:lvlJc w:val="left"/>
      <w:suff w:val="space"/>
      <w:pPr>
        <w:ind w:left="2520" w:hanging="360"/>
      </w:pPr>
    </w:lvl>
  </w:abstractNum>
  <w:num w:numId="10">
    <w:abstractNumId w:val="9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2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numPr>
        <w:ilvl w:val="0"/>
        <w:numId w:val="10"/>
      </w:numPr>
      <w:keepNext/>
      <w:keepLines/>
      <w:spacing w:before="240" w:after="120"/>
      <w:outlineLv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/>
      <w:bCs/>
      <w:color w:val="1F386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numPr>
        <w:ilvl w:val="1"/>
        <w:numId w:val="10"/>
      </w:numPr>
      <w:keepNext/>
      <w:keepLines/>
      <w:spacing w:before="200" w:after="80"/>
      <w:outlineLvl w:val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numPr>
        <w:ilvl w:val="2"/>
        <w:numId w:val="10"/>
      </w:numPr>
      <w:keepNext/>
      <w:keepLines/>
      <w:spacing w:before="160" w:after="40"/>
      <w:outlineLvl w:val="2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numPr>
        <w:ilvl w:val="3"/>
        <w:numId w:val="10"/>
      </w:numPr>
      <w:keepNext/>
      <w:keepLines/>
      <w:spacing w:before="120" w:after="40"/>
      <w:outlineLvl w:val="3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numPr>
        <w:ilvl w:val="4"/>
        <w:numId w:val="10"/>
      </w:numPr>
      <w:keepNext/>
      <w:keepLines/>
      <w:spacing w:before="80" w:after="40"/>
      <w:outlineLvl w:val="4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/>
      <w:color w:val="1F3864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numPr>
        <w:ilvl w:val="5"/>
        <w:numId w:val="10"/>
      </w:numPr>
      <w:keepNext/>
      <w:keepLines/>
      <w:spacing w:before="80" w:after="40"/>
      <w:outlineLvl w:val="5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 w:val="0"/>
      <w:i/>
      <w:iCs/>
      <w:color w:val="2E75B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  <w:jc w:val="center"/>
    </w:pPr>
    <w:rPr>
      <w:b/>
      <w:bCs/>
      <w:i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/>
      <w:ind w:left="216" w:right="216"/>
      <w:shd w:val="clear" w:color="auto" w:fill="F0F0F0"/>
      <w:pBdr>
        <w:top w:val="single" w:sz="6" w:space="2" w:color="AAAAAA"/>
        <w:bottom w:val="single" w:sz="6" w:space="2" w:color="AAAAAA"/>
      </w:pBdr>
    </w:pPr>
    <w:rPr>
      <w:rFonts w:ascii="Courier New" w:hAnsi="Courier New"/>
      <w:color w:val="000000"/>
      <w:sz w:val="18"/>
    </w:rPr>
  </w:style>
  <w:style w:type="paragraph" w:customStyle="1" w:styleId="BlockQuote">
    <w:name w:val="Block Quote"/>
    <w:pPr>
      <w:spacing w:before="80" w:after="80"/>
      <w:ind w:left="216" w:right="216"/>
      <w:pBdr>
        <w:left w:val="single" w:sz="12" w:space="8" w:color="2E75B6"/>
      </w:pBdr>
    </w:pPr>
    <w:rPr>
      <w:i/>
      <w:color w:val="444444"/>
    </w:rPr>
  </w:style>
  <w:style w:type="paragraph" w:customStyle="1" w:styleId="CoverTitle">
    <w:name w:val="Cover Title"/>
    <w:pPr>
      <w:spacing w:before="480" w:after="160"/>
      <w:jc w:val="center"/>
    </w:pPr>
    <w:rPr>
      <w:rFonts w:ascii="Calibri" w:hAnsi="Calibri"/>
      <w:b/>
      <w:color w:val="1F3864"/>
      <w:sz w:val="44"/>
    </w:rPr>
  </w:style>
  <w:style w:type="paragraph" w:customStyle="1" w:styleId="CoverSubtitle">
    <w:name w:val="Cover Subtitle"/>
    <w:pPr>
      <w:spacing w:before="200" w:after="120"/>
      <w:jc w:val="center"/>
    </w:pPr>
    <w:rPr>
      <w:rFonts w:ascii="Calibri" w:hAnsi="Calibri"/>
      <w:b w:val="0"/>
      <w:color w:val="2E75B6"/>
      <w:sz w:val="28"/>
    </w:rPr>
  </w:style>
  <w:style w:type="paragraph" w:customStyle="1" w:styleId="CoverBody">
    <w:name w:val="Cover Body"/>
    <w:pPr>
      <w:spacing w:before="120" w:after="80"/>
      <w:jc w:val="center"/>
    </w:pPr>
    <w:rPr>
      <w:rFonts w:ascii="Calibri" w:hAnsi="Calibri"/>
      <w:b w:val="0"/>
      <w:color w:val="000000"/>
      <w:sz w:val="22"/>
    </w:rPr>
  </w:style>
  <w:style w:type="table" w:styleId="MdToDocxDataTable">
    <w:name w:val="MdToDocxDataTable"/>
    <w:basedOn w:val="TableNormal"/>
    <w:uiPriority w:val="40"/>
    <w:pPr>
      <w:spacing w:after="0" w:line="240" w:lineRule="auto"/>
    </w:pPr>
    <w:tblPr>
      <w:tblStyleRowBandSize w:val="1"/>
      <w:tblStyleColBandSize w:val="1"/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  <w:insideV w:val="single" w:sz="4" w:space="0" w:color="D0D0D0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pPr>
        <w:spacing w:before="0" w:after="0"/>
      </w:pPr>
      <w:rPr>
        <w:b/>
        <w:color w:val="FFFFFF"/>
      </w:rPr>
      <w:tblPr/>
      <w:tcPr>
        <w:shd w:val="clear" w:color="auto" w:fill="1F3864"/>
      </w:tcPr>
    </w:tblStylePr>
    <w:tblStylePr w:type="band1Horz">
      <w:pPr/>
      <w:rPr/>
      <w:tblPr/>
      <w:tcPr>
        <w:shd w:val="clear" w:color="auto" w:fill="F7F7F7"/>
      </w:tcPr>
    </w:tblStylePr>
    <w:tblStylePr w:type="band2Horz">
      <w:pPr/>
      <w:rPr/>
      <w:tblPr/>
      <w:tcPr>
        <w:shd w:val="clear" w:color="auto" w:fill="FFFF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1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commonmark.org" TargetMode="External"/><Relationship Id="rId18" Type="http://schemas.openxmlformats.org/officeDocument/2006/relationships/hyperlink" Target="https://support.microsoft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