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h-md_to_docx-capability-showcase"/>
      <w:pPr>
        <w:pStyle w:val="CoverTitle"/>
        <w:jc w:val="center"/>
      </w:pPr>
      <w:r>
        <w:rPr>
          <w:color w:val="1F3864"/>
          <w:sz w:val="64"/>
        </w:rPr>
        <w:t>md_to_docx Capability Showcase</w:t>
      </w:r>
      <w:bookmarkEnd w:id="1"/>
    </w:p>
    <w:p>
      <w:bookmarkStart w:id="2" w:name="h-comprehensive-feature-demonstration-and-documentation"/>
      <w:pPr>
        <w:pStyle w:val="CoverSubtitle"/>
        <w:jc w:val="center"/>
      </w:pPr>
      <w:r>
        <w:rPr>
          <w:color w:val="1F3864"/>
          <w:sz w:val="64"/>
        </w:rPr>
        <w:t>Comprehensive Feature Demonstration and Documentation</w:t>
      </w:r>
      <w:bookmarkEnd w:id="2"/>
    </w:p>
    <w:p>
      <w:pPr>
        <w:jc w:val="center"/>
      </w:pPr>
      <w:r>
        <w:rPr>
          <w:b/>
          <w:color w:val="666666"/>
          <w:sz w:val="28"/>
        </w:rPr>
        <w:t>Technical Demonstration</w:t>
      </w:r>
    </w:p>
    <w:p>
      <w:pPr>
        <w:jc w:val="center"/>
      </w:pPr>
      <w:r>
        <w:rPr>
          <w:b/>
          <w:sz w:val="24"/>
        </w:rPr>
        <w:t>Version:</w:t>
      </w:r>
      <w:r>
        <w:rPr>
          <w:sz w:val="24"/>
        </w:rPr>
        <w:t xml:space="preserve"> 2.0 | </w:t>
      </w:r>
      <w:r>
        <w:rPr>
          <w:b/>
          <w:sz w:val="24"/>
        </w:rPr>
        <w:t>Classification:</w:t>
      </w:r>
      <w:r>
        <w:rPr>
          <w:sz w:val="24"/>
        </w:rPr>
        <w:t xml:space="preserve"> Internal Use Only</w:t>
      </w:r>
    </w:p>
    <w:p>
      <w:pPr>
        <w:spacing w:before="0" w:after="0" w:line="1320" w:lineRule="exact"/>
      </w:pPr>
    </w:p>
    <w:p>
      <w:pPr>
        <w:spacing w:before="480" w:after="240"/>
      </w:pPr>
    </w:p>
    <w:p>
      <w:pPr>
        <w:jc w:val="center"/>
      </w:pPr>
      <w:r>
        <w:rPr>
          <w:b/>
          <w:color w:val="444444"/>
          <w:sz w:val="24"/>
        </w:rP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152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2026-03-14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Added cross-references, standalone images, code examples, and revision tracking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2026-03-10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Updated content structure and added table formatting examples</w:t>
            </w:r>
          </w:p>
        </w:tc>
      </w:tr>
      <w:tr>
        <w:tc>
          <w:tcPr>
            <w:tcW w:type="dxa" w:w="1152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Initial release with basic document structure and formatting</w:t>
            </w:r>
          </w:p>
        </w:tc>
      </w:tr>
    </w:tbl>
    <w:p>
      <w:pPr>
        <w:sectPr>
          <w:titlePg/>
          <w:pgNumType w:fmt="decimal" w:start="1"/>
          <w:pgMar w:top="1440" w:bottom="1440" w:left="1440" w:right="1440" w:header="708" w:footer="708"/>
        </w:sectPr>
      </w:pPr>
    </w:p>
    <w:p>
      <w:bookmarkStart w:id="3" w:name="_toc"/>
      <w:pPr>
        <w:numPr>
          <w:ilvl w:val="0"/>
          <w:numId w:val="0"/>
        </w:numPr>
        <w:pStyle w:val="Heading1"/>
        <w:outlineLvl w:val="9"/>
      </w:pPr>
      <w:r>
        <w:t>Table of Contents</w:t>
      </w:r>
      <w:bookmarkEnd w:id="3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sectPr>
          <w:pgNumType w:fmt="decimal" w:start="2"/>
          <w:titlePg/>
          <w:pgMar w:top="1440" w:bottom="1440" w:left="1440" w:right="1440" w:header="708" w:footer="708"/>
        </w:sectPr>
      </w:pPr>
    </w:p>
    <w:p>
      <w:bookmarkStart w:id="4" w:name="h-introduction"/>
      <w:pPr>
        <w:pStyle w:val="Heading1"/>
      </w:pPr>
      <w:r>
        <w:t>Introduction</w:t>
      </w:r>
      <w:bookmarkEnd w:id="4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5" w:name="h-purpose-and-scope"/>
      <w:pPr>
        <w:pStyle w:val="Heading2"/>
      </w:pPr>
      <w:r>
        <w:t>Purpose and Scope</w:t>
      </w:r>
      <w:bookmarkEnd w:id="5"/>
    </w:p>
    <w:p>
      <w:r>
        <w:t>The primary objectives of this showcase are to: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bookmarkStart w:id="6" w:name="h-document-structure"/>
      <w:pPr>
        <w:pStyle w:val="Heading1"/>
        <w:pageBreakBefore w:val="1"/>
      </w:pPr>
      <w:r>
        <w:t>Document Structure</w:t>
      </w:r>
      <w:bookmarkEnd w:id="6"/>
    </w:p>
    <w:p>
      <w:bookmarkStart w:id="7" w:name="h-heading-hierarchy"/>
      <w:pPr>
        <w:pStyle w:val="Heading2"/>
      </w:pPr>
      <w:r>
        <w:t>Heading Hierarchy</w:t>
      </w:r>
      <w:bookmarkEnd w:id="7"/>
    </w:p>
    <w:p>
      <w:r>
        <w:t>The converter supports six levels of headings, automatically numbered and styled with a professional color scheme:</w:t>
      </w:r>
    </w:p>
    <w:p>
      <w:bookmarkStart w:id="8" w:name="h-level-3-test2"/>
      <w:pPr>
        <w:pStyle w:val="Heading3"/>
      </w:pPr>
      <w:r>
        <w:t>Level 3 Test2</w:t>
      </w:r>
      <w:bookmarkEnd w:id="8"/>
    </w:p>
    <w:p>
      <w:r>
        <w:t>This demonstrates the third level of the document hierarchy.</w:t>
      </w:r>
    </w:p>
    <w:p>
      <w:bookmarkStart w:id="9" w:name="h-level-4-heading"/>
      <w:pPr>
        <w:pStyle w:val="Heading4"/>
      </w:pPr>
      <w:r>
        <w:t>Level 4 Heading</w:t>
      </w:r>
      <w:bookmarkEnd w:id="9"/>
    </w:p>
    <w:p>
      <w:r>
        <w:t>Fourth level headings provide additional granularity for complex documents.</w:t>
      </w:r>
    </w:p>
    <w:p>
      <w:bookmarkStart w:id="10" w:name="h-level-5-heading"/>
      <w:pPr>
        <w:pStyle w:val="Heading5"/>
      </w:pPr>
      <w:r>
        <w:t>Level 5 Heading</w:t>
      </w:r>
      <w:bookmarkEnd w:id="10"/>
    </w:p>
    <w:p>
      <w:r>
        <w:t>Fifth level headings for detailed subsections.</w:t>
      </w:r>
    </w:p>
    <w:p>
      <w:bookmarkStart w:id="11" w:name="h-level-6-heading"/>
      <w:pPr>
        <w:pStyle w:val="Heading6"/>
      </w:pPr>
      <w:r>
        <w:t>Level 6 Heading</w:t>
      </w:r>
      <w:bookmarkEnd w:id="11"/>
    </w:p>
    <w:p>
      <w:r>
        <w:t>The deepest level of heading hierarchy available.</w:t>
      </w:r>
    </w:p>
    <w:p>
      <w:bookmarkStart w:id="12" w:name="h-heading-customization"/>
      <w:pPr>
        <w:pStyle w:val="Heading2"/>
      </w:pPr>
      <w:r>
        <w:t>Heading Customization</w:t>
      </w:r>
      <w:bookmarkEnd w:id="12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bookmarkStart w:id="13" w:name="h-typography-and-text-formatting"/>
      <w:pPr>
        <w:pStyle w:val="Heading1"/>
        <w:pageBreakBefore w:val="1"/>
      </w:pPr>
      <w:r>
        <w:t>Typography and Text Formatting</w:t>
      </w:r>
      <w:bookmarkEnd w:id="13"/>
    </w:p>
    <w:p>
      <w:bookmarkStart w:id="14" w:name="h-basic-text-styles-tatia"/>
      <w:pPr>
        <w:pStyle w:val="Heading2"/>
      </w:pPr>
      <w:r>
        <w:t>Basic Text Styles Tatia</w:t>
      </w:r>
      <w:bookmarkEnd w:id="14"/>
    </w:p>
    <w:p>
      <w:r>
        <w:t>The converter supports standard Markdown text formatting:</w:t>
      </w:r>
    </w:p>
    <w:p>
      <w:r>
        <w:rPr>
          <w:b w:val="0"/>
          <w:i/>
        </w:rPr>
        <w:t>Italic text is used for emphasis or citations.</w:t>
      </w:r>
    </w:p>
    <w:p>
      <w:r>
        <w:rPr>
          <w:b/>
          <w:i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15" w:name="h-inline-code"/>
      <w:pPr>
        <w:pStyle w:val="Heading2"/>
      </w:pPr>
      <w:r>
        <w:t>Inline Code</w:t>
      </w:r>
      <w:bookmarkEnd w:id="15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16" w:name="h-blockquotes"/>
      <w:pPr>
        <w:pStyle w:val="Heading2"/>
      </w:pPr>
      <w:r>
        <w:t>Blockquotes</w:t>
      </w:r>
      <w:bookmarkEnd w:id="16"/>
    </w:p>
    <w:p>
      <w:pPr>
        <w:pStyle w:val="BlockQuote"/>
        <w:spacing w:after="0"/>
      </w:pPr>
      <w:r>
        <w:t>This is a standard blockquote. It can be used for important notes, citations, or highlighted information that stands out from the main text flow.</w:t>
      </w:r>
    </w:p>
    <w:p>
      <w:pPr>
        <w:spacing w:before="0" w:after="160" w:line="2" w:lineRule="exact"/>
      </w:pPr>
    </w:p>
    <w:p>
      <w:pPr>
        <w:spacing w:before="0" w:after="160" w:line="2" w:lineRule="exact"/>
      </w:pPr>
    </w:p>
    <w:p>
      <w:r>
        <w:t>Blockquotes feature a distinctive left border and italicized text for visual differentiation.</w:t>
      </w:r>
    </w:p>
    <w:p>
      <w:bookmarkStart w:id="17" w:name="h-lists-and-enumeration"/>
      <w:pPr>
        <w:pStyle w:val="Heading1"/>
        <w:pageBreakBefore w:val="1"/>
      </w:pPr>
      <w:r>
        <w:t>Lists and Enumeration</w:t>
      </w:r>
      <w:bookmarkEnd w:id="17"/>
    </w:p>
    <w:p>
      <w:bookmarkStart w:id="18" w:name="h-unordered-lists"/>
      <w:pPr>
        <w:pStyle w:val="Heading2"/>
      </w:pPr>
      <w:r>
        <w:t>Unordered Lists</w:t>
      </w:r>
      <w:bookmarkEnd w:id="18"/>
    </w:p>
    <w:p>
      <w:r>
        <w:t>Simple bullet points for itemized information:</w:t>
      </w:r>
    </w:p>
    <w:p>
      <w:pPr>
        <w:numPr>
          <w:ilvl w:val="0"/>
          <w:numId w:val="12"/>
        </w:numPr>
        <w:pStyle w:val="ListBullet"/>
      </w:pPr>
      <w:r>
        <w:t>First item in the list</w:t>
      </w:r>
    </w:p>
    <w:p>
      <w:pPr>
        <w:numPr>
          <w:ilvl w:val="0"/>
          <w:numId w:val="12"/>
        </w:numPr>
        <w:pStyle w:val="ListBullet"/>
      </w:pPr>
      <w:r>
        <w:t>Second item with additional context</w:t>
      </w:r>
    </w:p>
    <w:p>
      <w:pPr>
        <w:numPr>
          <w:ilvl w:val="0"/>
          <w:numId w:val="12"/>
        </w:numPr>
        <w:pStyle w:val="ListBullet"/>
      </w:pPr>
      <w:r>
        <w:t>Third item demonstrating the format</w:t>
      </w:r>
    </w:p>
    <w:p>
      <w:bookmarkStart w:id="19" w:name="h-ordered-lists"/>
      <w:pPr>
        <w:pStyle w:val="Heading2"/>
      </w:pPr>
      <w:r>
        <w:t>Ordered Lists</w:t>
      </w:r>
      <w:bookmarkEnd w:id="19"/>
    </w:p>
    <w:p>
      <w:r>
        <w:t>Numbered sequences for procedural documentation:</w:t>
      </w:r>
    </w:p>
    <w:p>
      <w:pPr>
        <w:numPr>
          <w:ilvl w:val="0"/>
          <w:numId w:val="13"/>
        </w:numPr>
        <w:pStyle w:val="ListNumber"/>
      </w:pPr>
      <w:r>
        <w:t>First step in the process</w:t>
      </w:r>
    </w:p>
    <w:p>
      <w:pPr>
        <w:numPr>
          <w:ilvl w:val="0"/>
          <w:numId w:val="13"/>
        </w:numPr>
        <w:pStyle w:val="ListNumber"/>
      </w:pPr>
      <w:r>
        <w:t>Second step with specific details</w:t>
      </w:r>
    </w:p>
    <w:p>
      <w:pPr>
        <w:numPr>
          <w:ilvl w:val="0"/>
          <w:numId w:val="13"/>
        </w:numPr>
        <w:pStyle w:val="ListNumber"/>
      </w:pPr>
      <w:r>
        <w:t>Third step completing the sequence</w:t>
      </w:r>
    </w:p>
    <w:p>
      <w:bookmarkStart w:id="20" w:name="h-nested-lists"/>
      <w:pPr>
        <w:pStyle w:val="Heading2"/>
      </w:pPr>
      <w:r>
        <w:t>Nested Lists</w:t>
      </w:r>
      <w:bookmarkEnd w:id="20"/>
    </w:p>
    <w:p>
      <w:r>
        <w:t>Lists can be nested to show hierarchical relationships: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A</w:t>
      </w:r>
    </w:p>
    <w:p>
      <w:pPr>
        <w:numPr>
          <w:ilvl w:val="1"/>
          <w:numId w:val="14"/>
        </w:numPr>
        <w:pStyle w:val="ListBullet2"/>
      </w:pPr>
      <w:r>
        <w:t>Sub-item A.1</w:t>
      </w:r>
    </w:p>
    <w:p>
      <w:pPr>
        <w:numPr>
          <w:ilvl w:val="1"/>
          <w:numId w:val="14"/>
        </w:numPr>
        <w:pStyle w:val="ListBullet2"/>
      </w:pPr>
      <w:r>
        <w:t>Sub-item A.2</w:t>
      </w:r>
    </w:p>
    <w:p>
      <w:pPr>
        <w:numPr>
          <w:ilvl w:val="2"/>
          <w:numId w:val="14"/>
        </w:numPr>
        <w:pStyle w:val="ListBullet3"/>
      </w:pPr>
      <w:r>
        <w:t>Detail A.2.1</w:t>
      </w:r>
    </w:p>
    <w:p>
      <w:pPr>
        <w:numPr>
          <w:ilvl w:val="2"/>
          <w:numId w:val="14"/>
        </w:numPr>
        <w:pStyle w:val="ListBullet3"/>
      </w:pPr>
      <w:r>
        <w:t>Detail A.2.2</w:t>
      </w:r>
    </w:p>
    <w:p>
      <w:pPr>
        <w:numPr>
          <w:ilvl w:val="1"/>
          <w:numId w:val="14"/>
        </w:numPr>
        <w:pStyle w:val="ListBullet2"/>
      </w:pPr>
      <w:r>
        <w:t>Sub-item A.3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B</w:t>
      </w:r>
    </w:p>
    <w:p>
      <w:pPr>
        <w:numPr>
          <w:ilvl w:val="1"/>
          <w:numId w:val="14"/>
        </w:numPr>
        <w:pStyle w:val="ListBullet2"/>
      </w:pPr>
      <w:r>
        <w:t>Sub-item B.1</w:t>
      </w:r>
    </w:p>
    <w:p>
      <w:pPr>
        <w:numPr>
          <w:ilvl w:val="1"/>
          <w:numId w:val="14"/>
        </w:numPr>
        <w:pStyle w:val="ListBullet2"/>
      </w:pPr>
      <w:r>
        <w:t>Sub-item B.2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C</w:t>
      </w:r>
    </w:p>
    <w:p>
      <w:pPr>
        <w:numPr>
          <w:ilvl w:val="1"/>
          <w:numId w:val="14"/>
        </w:numPr>
        <w:pStyle w:val="ListBullet2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bookmarkStart w:id="21" w:name="h-tables"/>
      <w:pPr>
        <w:pStyle w:val="Heading1"/>
        <w:pageBreakBefore w:val="1"/>
      </w:pPr>
      <w:r>
        <w:t>Tables</w:t>
      </w:r>
      <w:bookmarkEnd w:id="21"/>
    </w:p>
    <w:p>
      <w:bookmarkStart w:id="22" w:name="h-standard-data-table"/>
      <w:pPr>
        <w:pStyle w:val="Heading2"/>
      </w:pPr>
      <w:r>
        <w:t>Standard Data Table</w:t>
      </w:r>
      <w:bookmarkEnd w:id="22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23" w:name="tbl-feature-status"/>
      <w:pPr>
        <w:pStyle w:val="Caption"/>
        <w:jc w:val="center"/>
      </w:pPr>
      <w:r>
        <w:rPr>
          <w:b/>
          <w:i/>
        </w:rPr>
        <w:t>Table 4:</w:t>
      </w:r>
      <w:r>
        <w:rPr>
          <w:b w:val="0"/>
          <w:i/>
        </w:rPr>
        <w:t xml:space="preserve"> Feature implementation status and priorities.</w:t>
      </w:r>
      <w:bookmarkEnd w:id="23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4</w:t>
        </w:r>
      </w:hyperlink>
      <w:r>
        <w:t>, all major features have been successfully implemented with appropriate priority levels assigned.</w:t>
      </w:r>
    </w:p>
    <w:p>
      <w:bookmarkStart w:id="24" w:name="h-table-without-header"/>
      <w:pPr>
        <w:pStyle w:val="Heading2"/>
      </w:pPr>
      <w:r>
        <w:t>Table Without Header</w:t>
      </w:r>
      <w:bookmarkEnd w:id="24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25" w:name="tbl-3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Data visualization example without headers.</w:t>
      </w:r>
      <w:bookmarkEnd w:id="25"/>
    </w:p>
    <w:p>
      <w:bookmarkStart w:id="26" w:name="h-wide-table-with-text-wrapping"/>
      <w:pPr>
        <w:pStyle w:val="Heading2"/>
      </w:pPr>
      <w:r>
        <w:t>Wide Table with Text Wrapping</w:t>
      </w:r>
      <w:bookmarkEnd w:id="26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27" w:name="tbl-architecture"/>
      <w:pPr>
        <w:pStyle w:val="Caption"/>
        <w:jc w:val="center"/>
      </w:pPr>
      <w:r>
        <w:rPr>
          <w:b/>
          <w:i/>
        </w:rPr>
        <w:t>Table 5:</w:t>
      </w:r>
      <w:r>
        <w:rPr>
          <w:b w:val="0"/>
          <w:i/>
        </w:rPr>
        <w:t xml:space="preserve"> System architecture components with detailed descriptions.</w:t>
      </w:r>
      <w:bookmarkEnd w:id="27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5</w:t>
        </w:r>
      </w:hyperlink>
      <w:r>
        <w:t xml:space="preserve"> for a complete overview of the system architecture.</w:t>
      </w:r>
    </w:p>
    <w:p>
      <w:bookmarkStart w:id="28" w:name="h-table-with-custom-column-widths"/>
      <w:pPr>
        <w:pStyle w:val="Heading2"/>
      </w:pPr>
      <w:r>
        <w:t>Table with Custom Column Widths</w:t>
      </w:r>
      <w:bookmarkEnd w:id="28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tblLook w:firstColumn="0" w:firstRow="1" w:lastColumn="0" w:lastRow="0" w:noHBand="0" w:noVBand="1" w:val="0420"/>
        <w:tblW w:w="9360" w:type="dxa"/>
      </w:tblPr>
      <w:tblGrid>
        <w:gridCol w:w="1404"/>
        <w:gridCol w:w="2340"/>
        <w:gridCol w:w="5616"/>
      </w:tblGrid>
      <w:tr>
        <w:trPr>
          <w:cantSplit w:val="1"/>
        </w:trPr>
        <w:tc>
          <w:tcPr>
            <w:tcW w:w="1404" w:type="dxa"/>
          </w:tcPr>
          <w:p>
            <w:r>
              <w:t>Short</w:t>
            </w:r>
          </w:p>
        </w:tc>
        <w:tc>
          <w:tcPr>
            <w:tcW w:w="2340" w:type="dxa"/>
          </w:tcPr>
          <w:p>
            <w:r>
              <w:t>Medium</w:t>
            </w:r>
          </w:p>
        </w:tc>
        <w:tc>
          <w:tcPr>
            <w:tcW w:w="5616" w:type="dxa"/>
          </w:tcPr>
          <w:p>
            <w:r>
              <w:t>Long Description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ID</w:t>
            </w:r>
          </w:p>
        </w:tc>
        <w:tc>
          <w:tcPr>
            <w:tcW w:w="2340" w:type="dxa"/>
          </w:tcPr>
          <w:p>
            <w:r>
              <w:t>Category</w:t>
            </w:r>
          </w:p>
        </w:tc>
        <w:tc>
          <w:tcPr>
            <w:tcW w:w="5616" w:type="dxa"/>
          </w:tcPr>
          <w:p>
            <w:r>
              <w:t>Detailed explanation of the feature or component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001</w:t>
            </w:r>
          </w:p>
        </w:tc>
        <w:tc>
          <w:tcPr>
            <w:tcW w:w="2340" w:type="dxa"/>
          </w:tcPr>
          <w:p>
            <w:r>
              <w:t>Parser</w:t>
            </w:r>
          </w:p>
        </w:tc>
        <w:tc>
          <w:tcPr>
            <w:tcW w:w="5616" w:type="dxa"/>
          </w:tcPr>
          <w:p>
            <w:r>
              <w:t>Handles Markdown syntax parsing with GFM extensions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002</w:t>
            </w:r>
          </w:p>
        </w:tc>
        <w:tc>
          <w:tcPr>
            <w:tcW w:w="2340" w:type="dxa"/>
          </w:tcPr>
          <w:p>
            <w:r>
              <w:t>Builder</w:t>
            </w:r>
          </w:p>
        </w:tc>
        <w:tc>
          <w:tcPr>
            <w:tcW w:w="5616" w:type="dxa"/>
          </w:tcPr>
          <w:p>
            <w:r>
              <w:t>Assembles the document structure and applies formatting</w:t>
            </w:r>
          </w:p>
        </w:tc>
      </w:tr>
    </w:tbl>
    <w:p>
      <w:bookmarkStart w:id="29" w:name="tbl-col-widths-example"/>
      <w:pPr>
        <w:pStyle w:val="Caption"/>
        <w:jc w:val="center"/>
      </w:pPr>
      <w:r>
        <w:rPr>
          <w:b/>
          <w:i/>
        </w:rPr>
        <w:t>Table 6:</w:t>
      </w:r>
      <w:r>
        <w:rPr>
          <w:b w:val="0"/>
          <w:i/>
        </w:rPr>
        <w:t xml:space="preserve"> Example table with custom column width distribution.</w:t>
      </w:r>
      <w:bookmarkEnd w:id="29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bookmarkStart w:id="30" w:name="h-images-and-figures"/>
      <w:pPr>
        <w:pStyle w:val="Heading1"/>
        <w:pageBreakBefore w:val="1"/>
      </w:pPr>
      <w:r>
        <w:t>Images and Figures</w:t>
      </w:r>
      <w:bookmarkEnd w:id="30"/>
    </w:p>
    <w:p>
      <w:bookmarkStart w:id="31" w:name="h-standalone-images"/>
      <w:pPr>
        <w:pStyle w:val="Heading2"/>
      </w:pPr>
      <w:r>
        <w:t>Standalone Images</w:t>
      </w:r>
      <w:bookmarkEnd w:id="31"/>
    </w:p>
    <w:p>
      <w:bookmarkStart w:id="32" w:name="h-full-width-image"/>
      <w:pPr>
        <w:pStyle w:val="Heading3"/>
      </w:pPr>
      <w:r>
        <w:t>Full-Width Image</w:t>
      </w:r>
      <w:bookmarkEnd w:id="32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3" w:name="fig-system-overview"/>
      <w:pPr>
        <w:pStyle w:val="Caption"/>
        <w:jc w:val="center"/>
      </w:pPr>
      <w:r>
        <w:rPr>
          <w:b/>
          <w:i/>
        </w:rPr>
        <w:t>Figure 4:</w:t>
      </w:r>
      <w:r>
        <w:rPr>
          <w:b w:val="0"/>
          <w:i/>
        </w:rPr>
        <w:t xml:space="preserve"> Complete system overview diagram showing all major components and their relationships.</w:t>
      </w:r>
      <w:bookmarkEnd w:id="33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4</w:t>
        </w:r>
      </w:hyperlink>
      <w:r>
        <w:t>, the system architecture consists of four primary modules working in concert.</w:t>
      </w:r>
    </w:p>
    <w:p>
      <w:bookmarkStart w:id="34" w:name="h-left-aligned-image"/>
      <w:pPr>
        <w:pStyle w:val="Heading3"/>
      </w:pPr>
      <w:r>
        <w:t>Left-Aligned Image</w:t>
      </w:r>
      <w:bookmarkEnd w:id="34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5" w:name="fig-1"/>
      <w:pPr>
        <w:pStyle w:val="Caption"/>
        <w:jc w:val="left"/>
      </w:pPr>
      <w:r>
        <w:rPr>
          <w:b/>
          <w:i/>
        </w:rPr>
        <w:t>Figure 1:</w:t>
      </w:r>
      <w:r>
        <w:rPr>
          <w:b w:val="0"/>
          <w:i/>
        </w:rPr>
        <w:t xml:space="preserve"> Individual module icon representing the parsing engine.</w:t>
      </w:r>
      <w:bookmarkEnd w:id="35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36" w:name="h-centered-medium-image"/>
      <w:pPr>
        <w:pStyle w:val="Heading3"/>
      </w:pPr>
      <w:r>
        <w:t>Centered Medium Image</w:t>
      </w:r>
      <w:bookmarkEnd w:id="36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7" w:name="fig-data-flow"/>
      <w:pPr>
        <w:pStyle w:val="Caption"/>
        <w:jc w:val="center"/>
      </w:pPr>
      <w:r>
        <w:rPr>
          <w:b/>
          <w:i/>
        </w:rPr>
        <w:t>Figure 5:</w:t>
      </w:r>
      <w:r>
        <w:rPr>
          <w:b w:val="0"/>
          <w:i/>
        </w:rPr>
        <w:t xml:space="preserve"> Data flow diagram showing information pathways through the system.</w:t>
      </w:r>
      <w:bookmarkEnd w:id="37"/>
    </w:p>
    <w:p>
      <w:bookmarkStart w:id="38" w:name="h-figure-groups"/>
      <w:pPr>
        <w:pStyle w:val="Heading2"/>
      </w:pPr>
      <w:r>
        <w:t>Figure Groups</w:t>
      </w:r>
      <w:bookmarkEnd w:id="38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39" w:name="fig-pipeline"/>
      <w:pPr>
        <w:pStyle w:val="Caption"/>
        <w:jc w:val="center"/>
      </w:pPr>
      <w:r>
        <w:rPr>
          <w:b/>
          <w:i/>
        </w:rPr>
        <w:t>Figure 6:</w:t>
      </w:r>
      <w:r>
        <w:rPr>
          <w:b w:val="0"/>
          <w:i/>
        </w:rPr>
        <w:t xml:space="preserve"> Three-phase processing pipeline: input parsing, document building, and quality validation.</w:t>
      </w:r>
      <w:bookmarkEnd w:id="39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6</w:t>
        </w:r>
      </w:hyperlink>
      <w:r>
        <w:t>, demonstrates how multiple related images can be presented together with individual sub-captions (a, b, c) and an overall group caption.</w:t>
      </w:r>
    </w:p>
    <w:p>
      <w:bookmarkStart w:id="40" w:name="h-cross-references-and-linking"/>
      <w:pPr>
        <w:pStyle w:val="Heading1"/>
        <w:pageBreakBefore w:val="1"/>
      </w:pPr>
      <w:r>
        <w:t>Cross-References and Linking</w:t>
      </w:r>
      <w:bookmarkEnd w:id="40"/>
    </w:p>
    <w:p>
      <w:bookmarkStart w:id="41" w:name="h-internal-references"/>
      <w:pPr>
        <w:pStyle w:val="Heading2"/>
      </w:pPr>
      <w:r>
        <w:t>Internal References</w:t>
      </w:r>
      <w:bookmarkEnd w:id="41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42" w:name="h-external-hyperlinks"/>
      <w:pPr>
        <w:pStyle w:val="Heading2"/>
      </w:pPr>
      <w:r>
        <w:t>External Hyperlinks</w:t>
      </w:r>
      <w:bookmarkEnd w:id="42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bookmarkStart w:id="43" w:name="h-code-examples"/>
      <w:pPr>
        <w:pStyle w:val="Heading1"/>
        <w:pageBreakBefore w:val="1"/>
      </w:pPr>
      <w:r>
        <w:t>Code Examples</w:t>
      </w:r>
      <w:bookmarkEnd w:id="43"/>
    </w:p>
    <w:p>
      <w:bookmarkStart w:id="44" w:name="h-python-code-block"/>
      <w:pPr>
        <w:pStyle w:val="Heading2"/>
      </w:pPr>
      <w:r>
        <w:t>Python Code Block</w:t>
      </w:r>
      <w:bookmarkEnd w:id="44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45" w:name="h-javascript-code-block"/>
      <w:pPr>
        <w:pStyle w:val="Heading2"/>
      </w:pPr>
      <w:r>
        <w:t>JavaScript Code Block</w:t>
      </w:r>
      <w:bookmarkEnd w:id="45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bookmarkStart w:id="46" w:name="h-special-elements"/>
      <w:pPr>
        <w:pStyle w:val="Heading1"/>
        <w:pageBreakBefore w:val="1"/>
      </w:pPr>
      <w:r>
        <w:t>Special Elements</w:t>
      </w:r>
      <w:bookmarkEnd w:id="46"/>
    </w:p>
    <w:p>
      <w:bookmarkStart w:id="47" w:name="h-alert-boxes"/>
      <w:pPr>
        <w:pStyle w:val="Heading2"/>
      </w:pPr>
      <w:r>
        <w:t>Alert Boxes</w:t>
      </w:r>
      <w:bookmarkEnd w:id="47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p>
      <w:bookmarkStart w:id="48" w:name="h-horizontal-rules"/>
      <w:pPr>
        <w:pStyle w:val="Heading2"/>
      </w:pPr>
      <w:r>
        <w:t>Horizontal Rules</w:t>
      </w:r>
      <w:bookmarkEnd w:id="48"/>
    </w:p>
    <w:p>
      <w:r>
        <w:t>Horizontal rules can be used to separate sections visually:</w:t>
      </w:r>
    </w:p>
    <w:p>
      <w:pPr>
        <w:pageBreakBefore w:val="1"/>
      </w:pPr>
      <w:r>
        <w:t>They create a clear break without starting a new page.</w:t>
      </w:r>
    </w:p>
    <w:p>
      <w:bookmarkStart w:id="49" w:name="h-vertical-space"/>
      <w:pPr>
        <w:pStyle w:val="Heading2"/>
        <w:pageBreakBefore w:val="1"/>
      </w:pPr>
      <w:r>
        <w:t>Vertical Space</w:t>
      </w:r>
      <w:bookmarkEnd w:id="49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bookmarkStart w:id="50" w:name="h-appendix"/>
      <w:pPr>
        <w:numPr>
          <w:ilvl w:val="0"/>
          <w:numId w:val="0"/>
        </w:numPr>
        <w:pStyle w:val="Heading1"/>
        <w:pageBreakBefore w:val="1"/>
      </w:pPr>
      <w:r>
        <w:t>Appendix</w:t>
      </w:r>
      <w:bookmarkEnd w:id="50"/>
    </w:p>
    <w:p>
      <w:bookmarkStart w:id="51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51"/>
    </w:p>
    <w:p>
      <w:bookmarkStart w:id="52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52"/>
    </w:p>
    <w:p>
      <w:r>
        <w:t>The converter fully supports GFM syntax including:</w:t>
      </w:r>
    </w:p>
    <w:p>
      <w:pPr>
        <w:numPr>
          <w:ilvl w:val="0"/>
          <w:numId w:val="15"/>
        </w:numPr>
        <w:pStyle w:val="ListBullet"/>
      </w:pPr>
      <w:r>
        <w:t>Tables with alignment</w:t>
      </w:r>
    </w:p>
    <w:p>
      <w:pPr>
        <w:numPr>
          <w:ilvl w:val="0"/>
          <w:numId w:val="15"/>
        </w:numPr>
        <w:pStyle w:val="ListBullet"/>
      </w:pPr>
      <w:r>
        <w:t>Task lists (converted to bullet points)</w:t>
      </w:r>
    </w:p>
    <w:p>
      <w:pPr>
        <w:numPr>
          <w:ilvl w:val="0"/>
          <w:numId w:val="15"/>
        </w:numPr>
        <w:pStyle w:val="ListBullet"/>
      </w:pPr>
      <w:r>
        <w:t>Strikethrough text</w:t>
      </w:r>
    </w:p>
    <w:p>
      <w:pPr>
        <w:numPr>
          <w:ilvl w:val="0"/>
          <w:numId w:val="15"/>
        </w:numPr>
        <w:pStyle w:val="ListBullet"/>
      </w:pPr>
      <w:r>
        <w:t>Autolinks</w:t>
      </w:r>
    </w:p>
    <w:p>
      <w:bookmarkStart w:id="53" w:name="h-a11-table-alignment"/>
      <w:pPr>
        <w:pStyle w:val="Heading3"/>
      </w:pPr>
      <w:r>
        <w:t>A.1.1 Table Alignment</w:t>
      </w:r>
      <w:bookmarkEnd w:id="53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rPr>
          <w:cantSplit w:val="1"/>
        </w:trP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54" w:name="h-a2-custom-extensions"/>
      <w:pPr>
        <w:pStyle w:val="Heading3"/>
      </w:pPr>
      <w:r>
        <w:t>A.2 Custom Extensions</w:t>
      </w:r>
      <w:bookmarkEnd w:id="54"/>
    </w:p>
    <w:p>
      <w:r>
        <w:t>Additional features beyond standard Markdown:</w:t>
      </w:r>
    </w:p>
    <w:p>
      <w:pPr>
        <w:numPr>
          <w:ilvl w:val="0"/>
          <w:numId w:val="16"/>
        </w:numPr>
        <w:pStyle w:val="ListBullet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16"/>
        </w:numPr>
        <w:pStyle w:val="ListBullet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16"/>
        </w:numPr>
        <w:pStyle w:val="ListBullet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16"/>
        </w:numPr>
        <w:pStyle w:val="ListBullet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16"/>
        </w:numPr>
        <w:pStyle w:val="ListBullet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55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55"/>
    </w:p>
    <w:p>
      <w:bookmarkStart w:id="56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56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Headers and footers</w:t>
      </w:r>
      <w:r>
        <w:t>: content, alignment, dynamic fields</w:t>
      </w:r>
    </w:p>
    <w:p>
      <w:bookmarkStart w:id="57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57"/>
    </w:p>
    <w:p>
      <w:r>
        <w:t>Headers and footers support placeholder substitution: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58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58"/>
    </w:p>
    <w:p>
      <w:r>
        <w:t>Visual presentation controlled through: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Table styling</w:t>
      </w:r>
      <w:r>
        <w:t>: Alternating row shading, header formatting</w:t>
      </w:r>
    </w:p>
    <w:p>
      <w:bookmarkStart w:id="59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59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60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60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61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61"/>
    </w:p>
    <w:p>
      <w:r>
        <w:t>Based on the configuration: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pPr>
        <w:pageBreakBefore w:val="1"/>
      </w:pPr>
      <w:r>
        <w:rPr>
          <w:b w:val="0"/>
          <w:i/>
        </w:rPr>
        <w:t>End of Document</w:t>
      </w:r>
    </w:p>
    <w:p>
      <w:bookmarkStart w:id="62" w:name="h-introduction"/>
      <w:pPr>
        <w:pStyle w:val="Heading1"/>
      </w:pPr>
      <w:r>
        <w:t>Introduction</w:t>
      </w:r>
      <w:bookmarkEnd w:id="62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63" w:name="h-purpose-and-scope"/>
      <w:pPr>
        <w:pStyle w:val="Heading2"/>
      </w:pPr>
      <w:r>
        <w:t>Purpose and Scope</w:t>
      </w:r>
      <w:bookmarkEnd w:id="63"/>
    </w:p>
    <w:p>
      <w:r>
        <w:t>The primary objectives of this showcase are to: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21"/>
        </w:numPr>
        <w:pStyle w:val="ListNumber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bookmarkStart w:id="64" w:name="h-document-structure"/>
      <w:pPr>
        <w:pStyle w:val="Heading1"/>
        <w:pageBreakBefore w:val="1"/>
      </w:pPr>
      <w:r>
        <w:t>Document Structure</w:t>
      </w:r>
      <w:bookmarkEnd w:id="64"/>
    </w:p>
    <w:p>
      <w:bookmarkStart w:id="65" w:name="h-heading-hierarchy"/>
      <w:pPr>
        <w:pStyle w:val="Heading2"/>
      </w:pPr>
      <w:r>
        <w:t>Heading Hierarchy</w:t>
      </w:r>
      <w:bookmarkEnd w:id="65"/>
    </w:p>
    <w:p>
      <w:r>
        <w:t>The converter supports six levels of headings, automatically numbered and styled with a professional color scheme:</w:t>
      </w:r>
    </w:p>
    <w:p>
      <w:bookmarkStart w:id="66" w:name="h-level-3-heading"/>
      <w:pPr>
        <w:pStyle w:val="Heading3"/>
      </w:pPr>
      <w:r>
        <w:t>Level 3 Heading</w:t>
      </w:r>
      <w:bookmarkEnd w:id="66"/>
    </w:p>
    <w:p>
      <w:r>
        <w:t>This demonstrates the third level of the document hierarchy.</w:t>
      </w:r>
    </w:p>
    <w:p>
      <w:bookmarkStart w:id="67" w:name="h-level-4-heading"/>
      <w:pPr>
        <w:pStyle w:val="Heading4"/>
      </w:pPr>
      <w:r>
        <w:t>Level 4 Heading</w:t>
      </w:r>
      <w:bookmarkEnd w:id="67"/>
    </w:p>
    <w:p>
      <w:r>
        <w:t>Fourth level headings provide additional granularity for complex documents.</w:t>
      </w:r>
    </w:p>
    <w:p>
      <w:bookmarkStart w:id="68" w:name="h-level-5-heading"/>
      <w:pPr>
        <w:pStyle w:val="Heading5"/>
      </w:pPr>
      <w:r>
        <w:t>Level 5 Heading</w:t>
      </w:r>
      <w:bookmarkEnd w:id="68"/>
    </w:p>
    <w:p>
      <w:r>
        <w:t>Fifth level headings for detailed subsections.</w:t>
      </w:r>
    </w:p>
    <w:p>
      <w:bookmarkStart w:id="69" w:name="h-level-6-heading"/>
      <w:pPr>
        <w:pStyle w:val="Heading6"/>
      </w:pPr>
      <w:r>
        <w:t>Level 6 Heading</w:t>
      </w:r>
      <w:bookmarkEnd w:id="69"/>
    </w:p>
    <w:p>
      <w:r>
        <w:t>The deepest level of heading hierarchy available.</w:t>
      </w:r>
    </w:p>
    <w:p>
      <w:bookmarkStart w:id="70" w:name="h-heading-customization"/>
      <w:pPr>
        <w:pStyle w:val="Heading2"/>
      </w:pPr>
      <w:r>
        <w:t>Heading Customization</w:t>
      </w:r>
      <w:bookmarkEnd w:id="70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bookmarkStart w:id="71" w:name="h-typography-and-text-formatting"/>
      <w:pPr>
        <w:pStyle w:val="Heading1"/>
        <w:pageBreakBefore w:val="1"/>
      </w:pPr>
      <w:r>
        <w:t>Typography and Text Formatting</w:t>
      </w:r>
      <w:bookmarkEnd w:id="71"/>
    </w:p>
    <w:p>
      <w:bookmarkStart w:id="72" w:name="h-basic-text-styles"/>
      <w:pPr>
        <w:pStyle w:val="Heading2"/>
      </w:pPr>
      <w:r>
        <w:t>Basic Text Styles</w:t>
      </w:r>
      <w:bookmarkEnd w:id="72"/>
    </w:p>
    <w:p>
      <w:r>
        <w:t>The converter supports standard Markdown text formatting:</w:t>
      </w:r>
    </w:p>
    <w:p>
      <w:r>
        <w:rPr>
          <w:b w:val="0"/>
          <w:i/>
        </w:rPr>
        <w:t>Italic text</w:t>
      </w:r>
      <w:r>
        <w:t xml:space="preserve"> is used for emphasis or citations.</w:t>
      </w:r>
    </w:p>
    <w:p>
      <w:r>
        <w:rPr>
          <w:b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73" w:name="h-inline-code"/>
      <w:pPr>
        <w:pStyle w:val="Heading2"/>
      </w:pPr>
      <w:r>
        <w:t>Inline Code</w:t>
      </w:r>
      <w:bookmarkEnd w:id="73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74" w:name="h-blockquotes"/>
      <w:pPr>
        <w:pStyle w:val="Heading2"/>
      </w:pPr>
      <w:r>
        <w:t>Blockquotes</w:t>
      </w:r>
      <w:bookmarkEnd w:id="74"/>
    </w:p>
    <w:p>
      <w:pPr>
        <w:pStyle w:val="BlockQuote"/>
        <w:spacing w:after="0"/>
      </w:pPr>
      <w:r>
        <w:t>This is a standard blockquote. It can be used for important notes, citations, or highlighted information that stands out from the main text flow.</w:t>
      </w:r>
    </w:p>
    <w:p>
      <w:pPr>
        <w:spacing w:before="0" w:after="160" w:line="2" w:lineRule="exact"/>
      </w:pPr>
    </w:p>
    <w:p>
      <w:pPr>
        <w:spacing w:before="0" w:after="160" w:line="2" w:lineRule="exact"/>
      </w:pPr>
    </w:p>
    <w:p>
      <w:r>
        <w:t>Blockquotes feature a distinctive left border and italicized text for visual differentiation.</w:t>
      </w:r>
    </w:p>
    <w:p>
      <w:bookmarkStart w:id="75" w:name="h-lists-and-enumeration"/>
      <w:pPr>
        <w:pStyle w:val="Heading1"/>
        <w:pageBreakBefore w:val="1"/>
      </w:pPr>
      <w:r>
        <w:t>Lists and Enumeration</w:t>
      </w:r>
      <w:bookmarkEnd w:id="75"/>
    </w:p>
    <w:p>
      <w:bookmarkStart w:id="76" w:name="h-unordered-lists"/>
      <w:pPr>
        <w:pStyle w:val="Heading2"/>
      </w:pPr>
      <w:r>
        <w:t>Unordered Lists</w:t>
      </w:r>
      <w:bookmarkEnd w:id="76"/>
    </w:p>
    <w:p>
      <w:r>
        <w:t>Simple bullet points for itemized information:</w:t>
      </w:r>
    </w:p>
    <w:p>
      <w:pPr>
        <w:numPr>
          <w:ilvl w:val="0"/>
          <w:numId w:val="22"/>
        </w:numPr>
        <w:pStyle w:val="ListBullet"/>
      </w:pPr>
      <w:r>
        <w:t>First item in the list</w:t>
      </w:r>
    </w:p>
    <w:p>
      <w:pPr>
        <w:numPr>
          <w:ilvl w:val="0"/>
          <w:numId w:val="22"/>
        </w:numPr>
        <w:pStyle w:val="ListBullet"/>
      </w:pPr>
      <w:r>
        <w:t>Second item with additional context</w:t>
      </w:r>
    </w:p>
    <w:p>
      <w:pPr>
        <w:numPr>
          <w:ilvl w:val="0"/>
          <w:numId w:val="22"/>
        </w:numPr>
        <w:pStyle w:val="ListBullet"/>
      </w:pPr>
      <w:r>
        <w:t>Third item demonstrating the format</w:t>
      </w:r>
    </w:p>
    <w:p>
      <w:bookmarkStart w:id="77" w:name="h-ordered-lists"/>
      <w:pPr>
        <w:pStyle w:val="Heading2"/>
      </w:pPr>
      <w:r>
        <w:t>Ordered Lists</w:t>
      </w:r>
      <w:bookmarkEnd w:id="77"/>
    </w:p>
    <w:p>
      <w:r>
        <w:t>Numbered sequences for procedural documentation:</w:t>
      </w:r>
    </w:p>
    <w:p>
      <w:pPr>
        <w:numPr>
          <w:ilvl w:val="0"/>
          <w:numId w:val="23"/>
        </w:numPr>
        <w:pStyle w:val="ListNumber"/>
      </w:pPr>
      <w:r>
        <w:t>First step in the process</w:t>
      </w:r>
    </w:p>
    <w:p>
      <w:pPr>
        <w:numPr>
          <w:ilvl w:val="0"/>
          <w:numId w:val="23"/>
        </w:numPr>
        <w:pStyle w:val="ListNumber"/>
      </w:pPr>
      <w:r>
        <w:t>Second step with specific details</w:t>
      </w:r>
    </w:p>
    <w:p>
      <w:pPr>
        <w:numPr>
          <w:ilvl w:val="0"/>
          <w:numId w:val="23"/>
        </w:numPr>
        <w:pStyle w:val="ListNumber"/>
      </w:pPr>
      <w:r>
        <w:t>Third step completing the sequence</w:t>
      </w:r>
    </w:p>
    <w:p>
      <w:bookmarkStart w:id="78" w:name="h-nested-lists"/>
      <w:pPr>
        <w:pStyle w:val="Heading2"/>
      </w:pPr>
      <w:r>
        <w:t>Nested Lists</w:t>
      </w:r>
      <w:bookmarkEnd w:id="78"/>
    </w:p>
    <w:p>
      <w:r>
        <w:t>Lists can be nested to show hierarchical relationships:</w:t>
      </w:r>
    </w:p>
    <w:p>
      <w:pPr>
        <w:numPr>
          <w:ilvl w:val="0"/>
          <w:numId w:val="24"/>
        </w:numPr>
        <w:pStyle w:val="ListNumber"/>
      </w:pPr>
      <w:r>
        <w:rPr>
          <w:b/>
        </w:rPr>
        <w:t>Main category A</w:t>
      </w:r>
    </w:p>
    <w:p>
      <w:pPr>
        <w:numPr>
          <w:ilvl w:val="1"/>
          <w:numId w:val="24"/>
        </w:numPr>
        <w:pStyle w:val="ListBullet2"/>
      </w:pPr>
      <w:r>
        <w:t>Sub-item A.1</w:t>
      </w:r>
    </w:p>
    <w:p>
      <w:pPr>
        <w:numPr>
          <w:ilvl w:val="1"/>
          <w:numId w:val="24"/>
        </w:numPr>
        <w:pStyle w:val="ListBullet2"/>
      </w:pPr>
      <w:r>
        <w:t>Sub-item A.2</w:t>
      </w:r>
    </w:p>
    <w:p>
      <w:pPr>
        <w:numPr>
          <w:ilvl w:val="2"/>
          <w:numId w:val="24"/>
        </w:numPr>
        <w:pStyle w:val="ListBullet3"/>
      </w:pPr>
      <w:r>
        <w:t>Detail A.2.1</w:t>
      </w:r>
    </w:p>
    <w:p>
      <w:pPr>
        <w:numPr>
          <w:ilvl w:val="2"/>
          <w:numId w:val="24"/>
        </w:numPr>
        <w:pStyle w:val="ListBullet3"/>
      </w:pPr>
      <w:r>
        <w:t>Detail A.2.2</w:t>
      </w:r>
    </w:p>
    <w:p>
      <w:pPr>
        <w:numPr>
          <w:ilvl w:val="1"/>
          <w:numId w:val="24"/>
        </w:numPr>
        <w:pStyle w:val="ListBullet2"/>
      </w:pPr>
      <w:r>
        <w:t>Sub-item A.3</w:t>
      </w:r>
    </w:p>
    <w:p>
      <w:pPr>
        <w:numPr>
          <w:ilvl w:val="0"/>
          <w:numId w:val="24"/>
        </w:numPr>
        <w:pStyle w:val="ListNumber"/>
      </w:pPr>
      <w:r>
        <w:rPr>
          <w:b/>
        </w:rPr>
        <w:t>Main category B</w:t>
      </w:r>
    </w:p>
    <w:p>
      <w:pPr>
        <w:numPr>
          <w:ilvl w:val="1"/>
          <w:numId w:val="24"/>
        </w:numPr>
        <w:pStyle w:val="ListBullet2"/>
      </w:pPr>
      <w:r>
        <w:t>Sub-item B.1</w:t>
      </w:r>
    </w:p>
    <w:p>
      <w:pPr>
        <w:numPr>
          <w:ilvl w:val="1"/>
          <w:numId w:val="24"/>
        </w:numPr>
        <w:pStyle w:val="ListBullet2"/>
      </w:pPr>
      <w:r>
        <w:t>Sub-item B.2</w:t>
      </w:r>
    </w:p>
    <w:p>
      <w:pPr>
        <w:numPr>
          <w:ilvl w:val="0"/>
          <w:numId w:val="24"/>
        </w:numPr>
        <w:pStyle w:val="ListNumber"/>
      </w:pPr>
      <w:r>
        <w:rPr>
          <w:b/>
        </w:rPr>
        <w:t>Main category C</w:t>
      </w:r>
    </w:p>
    <w:p>
      <w:pPr>
        <w:numPr>
          <w:ilvl w:val="1"/>
          <w:numId w:val="24"/>
        </w:numPr>
        <w:pStyle w:val="ListBullet2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bookmarkStart w:id="79" w:name="h-tables"/>
      <w:pPr>
        <w:pStyle w:val="Heading1"/>
        <w:pageBreakBefore w:val="1"/>
      </w:pPr>
      <w:r>
        <w:t>Tables</w:t>
      </w:r>
      <w:bookmarkEnd w:id="79"/>
    </w:p>
    <w:p>
      <w:bookmarkStart w:id="80" w:name="h-standard-data-table"/>
      <w:pPr>
        <w:pStyle w:val="Heading2"/>
      </w:pPr>
      <w:r>
        <w:t>Standard Data Table</w:t>
      </w:r>
      <w:bookmarkEnd w:id="80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81" w:name="tbl-feature-status"/>
      <w:pPr>
        <w:pStyle w:val="Caption"/>
        <w:jc w:val="center"/>
      </w:pPr>
      <w:r>
        <w:rPr>
          <w:b/>
          <w:i/>
        </w:rPr>
        <w:t>Table 4:</w:t>
      </w:r>
      <w:r>
        <w:rPr>
          <w:b w:val="0"/>
          <w:i/>
        </w:rPr>
        <w:t xml:space="preserve"> Feature implementation status and priorities.</w:t>
      </w:r>
      <w:bookmarkEnd w:id="81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4</w:t>
        </w:r>
      </w:hyperlink>
      <w:r>
        <w:t>, all major features have been successfully implemented with appropriate priority levels assigned.</w:t>
      </w:r>
    </w:p>
    <w:p>
      <w:bookmarkStart w:id="82" w:name="h-table-without-header"/>
      <w:pPr>
        <w:pStyle w:val="Heading2"/>
      </w:pPr>
      <w:r>
        <w:t>Table Without Header</w:t>
      </w:r>
      <w:bookmarkEnd w:id="82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83" w:name="tbl-9"/>
      <w:pPr>
        <w:pStyle w:val="Caption"/>
        <w:jc w:val="center"/>
      </w:pPr>
      <w:r>
        <w:rPr>
          <w:b/>
          <w:i/>
        </w:rPr>
        <w:t>Table 9:</w:t>
      </w:r>
      <w:r>
        <w:rPr>
          <w:b w:val="0"/>
          <w:i/>
        </w:rPr>
        <w:t xml:space="preserve"> Data visualization example without headers.</w:t>
      </w:r>
      <w:bookmarkEnd w:id="83"/>
    </w:p>
    <w:p>
      <w:bookmarkStart w:id="84" w:name="h-wide-table-with-text-wrapping"/>
      <w:pPr>
        <w:pStyle w:val="Heading2"/>
      </w:pPr>
      <w:r>
        <w:t>Wide Table with Text Wrapping</w:t>
      </w:r>
      <w:bookmarkEnd w:id="84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85" w:name="tbl-architecture"/>
      <w:pPr>
        <w:pStyle w:val="Caption"/>
        <w:jc w:val="center"/>
      </w:pPr>
      <w:r>
        <w:rPr>
          <w:b/>
          <w:i/>
        </w:rPr>
        <w:t>Table 5:</w:t>
      </w:r>
      <w:r>
        <w:rPr>
          <w:b w:val="0"/>
          <w:i/>
        </w:rPr>
        <w:t xml:space="preserve"> System architecture components with detailed descriptions.</w:t>
      </w:r>
      <w:bookmarkEnd w:id="85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5</w:t>
        </w:r>
      </w:hyperlink>
      <w:r>
        <w:t xml:space="preserve"> for a complete overview of the system architecture.</w:t>
      </w:r>
    </w:p>
    <w:p>
      <w:bookmarkStart w:id="86" w:name="h-table-with-custom-column-widths"/>
      <w:pPr>
        <w:pStyle w:val="Heading2"/>
      </w:pPr>
      <w:r>
        <w:t>Table with Custom Column Widths</w:t>
      </w:r>
      <w:bookmarkEnd w:id="86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tblLook w:firstColumn="0" w:firstRow="1" w:lastColumn="0" w:lastRow="0" w:noHBand="0" w:noVBand="1" w:val="0420"/>
        <w:tblW w:w="9360" w:type="dxa"/>
      </w:tblPr>
      <w:tblGrid>
        <w:gridCol w:w="1404"/>
        <w:gridCol w:w="2340"/>
        <w:gridCol w:w="5616"/>
      </w:tblGrid>
      <w:tr>
        <w:trPr>
          <w:cantSplit w:val="1"/>
        </w:trPr>
        <w:tc>
          <w:tcPr>
            <w:tcW w:w="1404" w:type="dxa"/>
          </w:tcPr>
          <w:p>
            <w:r>
              <w:t>Short</w:t>
            </w:r>
          </w:p>
        </w:tc>
        <w:tc>
          <w:tcPr>
            <w:tcW w:w="2340" w:type="dxa"/>
          </w:tcPr>
          <w:p>
            <w:r>
              <w:t>Medium</w:t>
            </w:r>
          </w:p>
        </w:tc>
        <w:tc>
          <w:tcPr>
            <w:tcW w:w="5616" w:type="dxa"/>
          </w:tcPr>
          <w:p>
            <w:r>
              <w:t>Long Description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ID</w:t>
            </w:r>
          </w:p>
        </w:tc>
        <w:tc>
          <w:tcPr>
            <w:tcW w:w="2340" w:type="dxa"/>
          </w:tcPr>
          <w:p>
            <w:r>
              <w:t>Category</w:t>
            </w:r>
          </w:p>
        </w:tc>
        <w:tc>
          <w:tcPr>
            <w:tcW w:w="5616" w:type="dxa"/>
          </w:tcPr>
          <w:p>
            <w:r>
              <w:t>Detailed explanation of the feature or component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001</w:t>
            </w:r>
          </w:p>
        </w:tc>
        <w:tc>
          <w:tcPr>
            <w:tcW w:w="2340" w:type="dxa"/>
          </w:tcPr>
          <w:p>
            <w:r>
              <w:t>Parser</w:t>
            </w:r>
          </w:p>
        </w:tc>
        <w:tc>
          <w:tcPr>
            <w:tcW w:w="5616" w:type="dxa"/>
          </w:tcPr>
          <w:p>
            <w:r>
              <w:t>Handles Markdown syntax parsing with GFM extensions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002</w:t>
            </w:r>
          </w:p>
        </w:tc>
        <w:tc>
          <w:tcPr>
            <w:tcW w:w="2340" w:type="dxa"/>
          </w:tcPr>
          <w:p>
            <w:r>
              <w:t>Builder</w:t>
            </w:r>
          </w:p>
        </w:tc>
        <w:tc>
          <w:tcPr>
            <w:tcW w:w="5616" w:type="dxa"/>
          </w:tcPr>
          <w:p>
            <w:r>
              <w:t>Assembles the document structure and applies formatting</w:t>
            </w:r>
          </w:p>
        </w:tc>
      </w:tr>
    </w:tbl>
    <w:p>
      <w:bookmarkStart w:id="87" w:name="tbl-col-widths-example"/>
      <w:pPr>
        <w:pStyle w:val="Caption"/>
        <w:jc w:val="center"/>
      </w:pPr>
      <w:r>
        <w:rPr>
          <w:b/>
          <w:i/>
        </w:rPr>
        <w:t>Table 6:</w:t>
      </w:r>
      <w:r>
        <w:rPr>
          <w:b w:val="0"/>
          <w:i/>
        </w:rPr>
        <w:t xml:space="preserve"> Example table with custom column width distribution.</w:t>
      </w:r>
      <w:bookmarkEnd w:id="87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bookmarkStart w:id="88" w:name="h-images-and-figures"/>
      <w:pPr>
        <w:pStyle w:val="Heading1"/>
        <w:pageBreakBefore w:val="1"/>
      </w:pPr>
      <w:r>
        <w:t>Images and Figures</w:t>
      </w:r>
      <w:bookmarkEnd w:id="88"/>
    </w:p>
    <w:p>
      <w:bookmarkStart w:id="89" w:name="h-standalone-images"/>
      <w:pPr>
        <w:pStyle w:val="Heading2"/>
      </w:pPr>
      <w:r>
        <w:t>Standalone Images</w:t>
      </w:r>
      <w:bookmarkEnd w:id="89"/>
    </w:p>
    <w:p>
      <w:bookmarkStart w:id="90" w:name="h-full-width-image"/>
      <w:pPr>
        <w:pStyle w:val="Heading3"/>
      </w:pPr>
      <w:r>
        <w:t>Full-Width Image</w:t>
      </w:r>
      <w:bookmarkEnd w:id="90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91" w:name="fig-system-overview"/>
      <w:pPr>
        <w:pStyle w:val="Caption"/>
        <w:jc w:val="center"/>
      </w:pPr>
      <w:r>
        <w:rPr>
          <w:b/>
          <w:i/>
        </w:rPr>
        <w:t>Figure 4:</w:t>
      </w:r>
      <w:r>
        <w:rPr>
          <w:b w:val="0"/>
          <w:i/>
        </w:rPr>
        <w:t xml:space="preserve"> Complete system overview diagram showing all major components and their relationships.</w:t>
      </w:r>
      <w:bookmarkEnd w:id="91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4</w:t>
        </w:r>
      </w:hyperlink>
      <w:r>
        <w:t>, the system architecture consists of four primary modules working in concert.</w:t>
      </w:r>
    </w:p>
    <w:p>
      <w:bookmarkStart w:id="92" w:name="h-left-aligned-image"/>
      <w:pPr>
        <w:pStyle w:val="Heading3"/>
      </w:pPr>
      <w:r>
        <w:t>Left-Aligned Image</w:t>
      </w:r>
      <w:bookmarkEnd w:id="92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93" w:name="fig-2"/>
      <w:pPr>
        <w:pStyle w:val="Caption"/>
        <w:jc w:val="left"/>
      </w:pPr>
      <w:r>
        <w:rPr>
          <w:b/>
          <w:i/>
        </w:rPr>
        <w:t>Figure 2:</w:t>
      </w:r>
      <w:r>
        <w:rPr>
          <w:b w:val="0"/>
          <w:i/>
        </w:rPr>
        <w:t xml:space="preserve"> Individual module icon representing the parsing engine.</w:t>
      </w:r>
      <w:bookmarkEnd w:id="93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94" w:name="h-centered-medium-image"/>
      <w:pPr>
        <w:pStyle w:val="Heading3"/>
      </w:pPr>
      <w:r>
        <w:t>Centered Medium Image</w:t>
      </w:r>
      <w:bookmarkEnd w:id="94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95" w:name="fig-data-flow"/>
      <w:pPr>
        <w:pStyle w:val="Caption"/>
        <w:jc w:val="center"/>
      </w:pPr>
      <w:r>
        <w:rPr>
          <w:b/>
          <w:i/>
        </w:rPr>
        <w:t>Figure 5:</w:t>
      </w:r>
      <w:r>
        <w:rPr>
          <w:b w:val="0"/>
          <w:i/>
        </w:rPr>
        <w:t xml:space="preserve"> Data flow diagram showing information pathways through the system.</w:t>
      </w:r>
      <w:bookmarkEnd w:id="95"/>
    </w:p>
    <w:p>
      <w:bookmarkStart w:id="96" w:name="h-figure-groups"/>
      <w:pPr>
        <w:pStyle w:val="Heading2"/>
      </w:pPr>
      <w:r>
        <w:t>Figure Groups</w:t>
      </w:r>
      <w:bookmarkEnd w:id="96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97" w:name="fig-pipeline"/>
      <w:pPr>
        <w:pStyle w:val="Caption"/>
        <w:jc w:val="center"/>
      </w:pPr>
      <w:r>
        <w:rPr>
          <w:b/>
          <w:i/>
        </w:rPr>
        <w:t>Figure 6:</w:t>
      </w:r>
      <w:r>
        <w:rPr>
          <w:b w:val="0"/>
          <w:i/>
        </w:rPr>
        <w:t xml:space="preserve"> Three-phase processing pipeline: input parsing, document building, and quality validation.</w:t>
      </w:r>
      <w:bookmarkEnd w:id="97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6</w:t>
        </w:r>
      </w:hyperlink>
      <w:r>
        <w:t>, demonstrates how multiple related images can be presented together with individual sub-captions (a, b, c) and an overall group caption.</w:t>
      </w:r>
    </w:p>
    <w:p>
      <w:bookmarkStart w:id="98" w:name="h-cross-references-and-linking"/>
      <w:pPr>
        <w:pStyle w:val="Heading1"/>
        <w:pageBreakBefore w:val="1"/>
      </w:pPr>
      <w:r>
        <w:t>Cross-References and Linking</w:t>
      </w:r>
      <w:bookmarkEnd w:id="98"/>
    </w:p>
    <w:p>
      <w:bookmarkStart w:id="99" w:name="h-internal-references"/>
      <w:pPr>
        <w:pStyle w:val="Heading2"/>
      </w:pPr>
      <w:r>
        <w:t>Internal References</w:t>
      </w:r>
      <w:bookmarkEnd w:id="99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100" w:name="h-external-hyperlinks"/>
      <w:pPr>
        <w:pStyle w:val="Heading2"/>
      </w:pPr>
      <w:r>
        <w:t>External Hyperlinks</w:t>
      </w:r>
      <w:bookmarkEnd w:id="100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bookmarkStart w:id="101" w:name="h-code-examples"/>
      <w:pPr>
        <w:pStyle w:val="Heading1"/>
        <w:pageBreakBefore w:val="1"/>
      </w:pPr>
      <w:r>
        <w:t>Code Examples</w:t>
      </w:r>
      <w:bookmarkEnd w:id="101"/>
    </w:p>
    <w:p>
      <w:bookmarkStart w:id="102" w:name="h-python-code-block"/>
      <w:pPr>
        <w:pStyle w:val="Heading2"/>
      </w:pPr>
      <w:r>
        <w:t>Python Code Block</w:t>
      </w:r>
      <w:bookmarkEnd w:id="102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103" w:name="h-javascript-code-block"/>
      <w:pPr>
        <w:pStyle w:val="Heading2"/>
      </w:pPr>
      <w:r>
        <w:t>JavaScript Code Block</w:t>
      </w:r>
      <w:bookmarkEnd w:id="103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bookmarkStart w:id="104" w:name="h-special-elements"/>
      <w:pPr>
        <w:pStyle w:val="Heading1"/>
        <w:pageBreakBefore w:val="1"/>
      </w:pPr>
      <w:r>
        <w:t>Special Elements</w:t>
      </w:r>
      <w:bookmarkEnd w:id="104"/>
    </w:p>
    <w:p>
      <w:bookmarkStart w:id="105" w:name="h-alert-boxes"/>
      <w:pPr>
        <w:pStyle w:val="Heading2"/>
      </w:pPr>
      <w:r>
        <w:t>Alert Boxes</w:t>
      </w:r>
      <w:bookmarkEnd w:id="105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p>
      <w:bookmarkStart w:id="106" w:name="h-horizontal-rules"/>
      <w:pPr>
        <w:pStyle w:val="Heading2"/>
      </w:pPr>
      <w:r>
        <w:t>Horizontal Rules</w:t>
      </w:r>
      <w:bookmarkEnd w:id="106"/>
    </w:p>
    <w:p>
      <w:r>
        <w:t>Horizontal rules can be used to separate sections visually:</w:t>
      </w:r>
    </w:p>
    <w:p>
      <w:pPr>
        <w:pageBreakBefore w:val="1"/>
      </w:pPr>
      <w:r>
        <w:t>They create a clear break without starting a new page.</w:t>
      </w:r>
    </w:p>
    <w:p>
      <w:bookmarkStart w:id="107" w:name="h-vertical-space"/>
      <w:pPr>
        <w:pStyle w:val="Heading2"/>
        <w:pageBreakBefore w:val="1"/>
      </w:pPr>
      <w:r>
        <w:t>Vertical Space</w:t>
      </w:r>
      <w:bookmarkEnd w:id="107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bookmarkStart w:id="108" w:name="h-appendix"/>
      <w:pPr>
        <w:numPr>
          <w:ilvl w:val="0"/>
          <w:numId w:val="0"/>
        </w:numPr>
        <w:pStyle w:val="Heading1"/>
        <w:pageBreakBefore w:val="1"/>
      </w:pPr>
      <w:r>
        <w:t>Appendix</w:t>
      </w:r>
      <w:bookmarkEnd w:id="108"/>
    </w:p>
    <w:p>
      <w:bookmarkStart w:id="109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109"/>
    </w:p>
    <w:p>
      <w:bookmarkStart w:id="110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110"/>
    </w:p>
    <w:p>
      <w:r>
        <w:t>The converter fully supports GFM syntax including:</w:t>
      </w:r>
    </w:p>
    <w:p>
      <w:pPr>
        <w:numPr>
          <w:ilvl w:val="0"/>
          <w:numId w:val="25"/>
        </w:numPr>
        <w:pStyle w:val="ListBullet"/>
      </w:pPr>
      <w:r>
        <w:t>Tables with alignment</w:t>
      </w:r>
    </w:p>
    <w:p>
      <w:pPr>
        <w:numPr>
          <w:ilvl w:val="0"/>
          <w:numId w:val="25"/>
        </w:numPr>
        <w:pStyle w:val="ListBullet"/>
      </w:pPr>
      <w:r>
        <w:t>Task lists (converted to bullet points)</w:t>
      </w:r>
    </w:p>
    <w:p>
      <w:pPr>
        <w:numPr>
          <w:ilvl w:val="0"/>
          <w:numId w:val="25"/>
        </w:numPr>
        <w:pStyle w:val="ListBullet"/>
      </w:pPr>
      <w:r>
        <w:t>Strikethrough text</w:t>
      </w:r>
    </w:p>
    <w:p>
      <w:pPr>
        <w:numPr>
          <w:ilvl w:val="0"/>
          <w:numId w:val="25"/>
        </w:numPr>
        <w:pStyle w:val="ListBullet"/>
      </w:pPr>
      <w:r>
        <w:t>Autolinks</w:t>
      </w:r>
    </w:p>
    <w:p>
      <w:bookmarkStart w:id="111" w:name="h-a11-table-alignment"/>
      <w:pPr>
        <w:pStyle w:val="Heading3"/>
      </w:pPr>
      <w:r>
        <w:t>A.1.1 Table Alignment</w:t>
      </w:r>
      <w:bookmarkEnd w:id="111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rPr>
          <w:cantSplit w:val="1"/>
        </w:trP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112" w:name="h-a2-custom-extensions"/>
      <w:pPr>
        <w:pStyle w:val="Heading3"/>
      </w:pPr>
      <w:r>
        <w:t>A.2 Custom Extensions</w:t>
      </w:r>
      <w:bookmarkEnd w:id="112"/>
    </w:p>
    <w:p>
      <w:r>
        <w:t>Additional features beyond standard Markdown:</w:t>
      </w:r>
    </w:p>
    <w:p>
      <w:pPr>
        <w:numPr>
          <w:ilvl w:val="0"/>
          <w:numId w:val="26"/>
        </w:numPr>
        <w:pStyle w:val="ListBullet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26"/>
        </w:numPr>
        <w:pStyle w:val="ListBullet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26"/>
        </w:numPr>
        <w:pStyle w:val="ListBullet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26"/>
        </w:numPr>
        <w:pStyle w:val="ListBullet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26"/>
        </w:numPr>
        <w:pStyle w:val="ListBullet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113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113"/>
    </w:p>
    <w:p>
      <w:bookmarkStart w:id="114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114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27"/>
        </w:numPr>
        <w:pStyle w:val="ListNumber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27"/>
        </w:numPr>
        <w:pStyle w:val="ListNumber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27"/>
        </w:numPr>
        <w:pStyle w:val="ListNumber"/>
      </w:pPr>
      <w:r>
        <w:rPr>
          <w:b/>
        </w:rPr>
        <w:t>Headers and footers</w:t>
      </w:r>
      <w:r>
        <w:t>: content, alignment, dynamic fields</w:t>
      </w:r>
    </w:p>
    <w:p>
      <w:bookmarkStart w:id="115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115"/>
    </w:p>
    <w:p>
      <w:r>
        <w:t>Headers and footers support placeholder substitution:</w:t>
      </w:r>
    </w:p>
    <w:p>
      <w:pPr>
        <w:numPr>
          <w:ilvl w:val="0"/>
          <w:numId w:val="28"/>
        </w:numPr>
        <w:pStyle w:val="ListBullet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28"/>
        </w:numPr>
        <w:pStyle w:val="ListBullet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28"/>
        </w:numPr>
        <w:pStyle w:val="ListBullet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28"/>
        </w:numPr>
        <w:pStyle w:val="ListBullet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28"/>
        </w:numPr>
        <w:pStyle w:val="ListBullet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116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116"/>
    </w:p>
    <w:p>
      <w:r>
        <w:t>Visual presentation controlled through:</w:t>
      </w:r>
    </w:p>
    <w:p>
      <w:pPr>
        <w:numPr>
          <w:ilvl w:val="0"/>
          <w:numId w:val="29"/>
        </w:numPr>
        <w:pStyle w:val="ListBullet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29"/>
        </w:numPr>
        <w:pStyle w:val="ListBullet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29"/>
        </w:numPr>
        <w:pStyle w:val="ListBullet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29"/>
        </w:numPr>
        <w:pStyle w:val="ListBullet"/>
      </w:pPr>
      <w:r>
        <w:rPr>
          <w:b/>
        </w:rPr>
        <w:t>Table styling</w:t>
      </w:r>
      <w:r>
        <w:t>: Alternating row shading, header formatting</w:t>
      </w:r>
    </w:p>
    <w:p>
      <w:bookmarkStart w:id="117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117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118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118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119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119"/>
    </w:p>
    <w:p>
      <w:r>
        <w:t>Based on the configuration: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30"/>
        </w:numPr>
        <w:pStyle w:val="ListBullet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pPr>
        <w:pageBreakBefore w:val="1"/>
      </w:pPr>
      <w:r>
        <w:rPr>
          <w:b w:val="0"/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AAAAAA"/>
      </w:pBdr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t xml:space="preserve"> of </w:t>
    </w:r>
    <w:r>
      <w:fldChar w:fldCharType="begin"/>
    </w:r>
    <w:r>
      <w:instrText xml:space="preserve"> SECTIONPAGES </w:instrText>
    </w:r>
    <w:r>
      <w:fldChar w:fldCharType="separate"/>
    </w:r>
    <w:r>
      <w:fldChar w:fldCharType="end"/>
    </w:r>
    <w:r>
      <w:tab/>
    </w:r>
    <w:r>
      <w:t>Your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dr>
      <w:tblInd w:w="0" w:type="dxa"/>
    </w:tblPr>
    <w:tblGrid>
      <w:gridCol w:w="4514"/>
      <w:gridCol w:w="4514"/>
    </w:tblGrid>
    <w:tr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8245" w:type="dxa"/>
        </w:tcPr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md_to_docx Capability Showcase</w:t>
          </w:r>
          <w:r>
            <w:tab/>
          </w:r>
          <w:r>
            <w:t>March 2026</w:t>
          </w:r>
        </w:p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Your Name</w:t>
          </w:r>
        </w:p>
      </w:tc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638" w:type="dxa"/>
          <w:vAlign w:val="center"/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59999" cy="359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9999" cy="359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0" w:after="0"/>
      <w:pBdr>
        <w:top w:val="single" w:sz="6" w:space="4" w:color="AAAAA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A000009"/>
    <w:multiLevelType w:val="multilevel"/>
    <w:tmpl w:val="BB000009"/>
    <w:lvl w:ilvl="0">
      <w:start w:val="1"/>
      <w:numFmt w:val="decimal"/>
      <w:pStyle w:val="Heading1"/>
      <w:lvlText w:val="%1."/>
      <w:lvlJc w:val="left"/>
      <w:suff w:val="space"/>
      <w:pPr>
        <w:ind w:left="0" w:hanging="0"/>
      </w:pPr>
    </w:lvl>
    <w:lvl w:ilvl="1">
      <w:start w:val="1"/>
      <w:numFmt w:val="decimal"/>
      <w:pStyle w:val="Heading2"/>
      <w:lvlText w:val="%1.%2"/>
      <w:lvlJc w:val="left"/>
      <w:suff w:val="space"/>
      <w:pPr>
        <w:ind w:left="0" w:hanging="0"/>
      </w:pPr>
    </w:lvl>
    <w:lvl w:ilvl="2">
      <w:start w:val="1"/>
      <w:numFmt w:val="decimal"/>
      <w:pStyle w:val="Heading3"/>
      <w:lvlText w:val="%1.%2.%3"/>
      <w:lvlJc w:val="left"/>
      <w:suff w:val="space"/>
      <w:pPr>
        <w:ind w:left="0" w:hanging="0"/>
      </w:pPr>
    </w:lvl>
    <w:lvl w:ilvl="3">
      <w:start w:val="1"/>
      <w:numFmt w:val="decimal"/>
      <w:pStyle w:val="Heading4"/>
      <w:lvlText w:val="%1.%2.%3.%4"/>
      <w:lvlJc w:val="left"/>
      <w:suff w:val="space"/>
      <w:pPr>
        <w:ind w:left="0" w:hanging="0"/>
      </w:pPr>
    </w:lvl>
    <w:lvl w:ilvl="4">
      <w:start w:val="1"/>
      <w:numFmt w:val="decimal"/>
      <w:pStyle w:val="Heading5"/>
      <w:lvlText w:val="%1.%2.%3.%4.%5"/>
      <w:lvlJc w:val="left"/>
      <w:suff w:val="space"/>
      <w:pPr>
        <w:ind w:left="0" w:hanging="0"/>
      </w:pPr>
    </w:lvl>
    <w:lvl w:ilvl="5">
      <w:start w:val="1"/>
      <w:numFmt w:val="decimal"/>
      <w:pStyle w:val="Heading6"/>
      <w:lvlText w:val="%1.%2.%3.%4.%5.%6"/>
      <w:lvlJc w:val="left"/>
      <w:suff w:val="space"/>
      <w:pPr>
        <w:ind w:left="0" w:hanging="0"/>
      </w:pPr>
    </w:lvl>
  </w:abstractNum>
  <w:abstractNum w:abstractNumId="10">
    <w:nsid w:val="CC00000A"/>
    <w:multiLevelType w:val="hybridMultilevel"/>
    <w:tmpl w:val="DD00000A"/>
    <w:lvl w:ilvl="0">
      <w:start w:val="1"/>
      <w:numFmt w:val="decimal"/>
      <w:lvlText w:val="%1."/>
      <w:lvlJc w:val="left"/>
      <w:suff w:val="space"/>
      <w:pPr>
        <w:ind w:left="720" w:hanging="360"/>
      </w:pPr>
    </w:lvl>
    <w:lvl w:ilvl="1">
      <w:start w:val="1"/>
      <w:numFmt w:val="decimal"/>
      <w:lvlText w:val="%2."/>
      <w:lvlJc w:val="left"/>
      <w:suff w:val="space"/>
      <w:pPr>
        <w:ind w:left="1080" w:hanging="360"/>
      </w:pPr>
    </w:lvl>
    <w:lvl w:ilvl="2">
      <w:start w:val="1"/>
      <w:numFmt w:val="decimal"/>
      <w:lvlText w:val="%3."/>
      <w:lvlJc w:val="left"/>
      <w:suff w:val="space"/>
      <w:pPr>
        <w:ind w:left="1440" w:hanging="360"/>
      </w:pPr>
    </w:lvl>
    <w:lvl w:ilvl="3">
      <w:start w:val="1"/>
      <w:numFmt w:val="decimal"/>
      <w:lvlText w:val="%4."/>
      <w:lvlJc w:val="left"/>
      <w:suff w:val="space"/>
      <w:pPr>
        <w:ind w:left="1800" w:hanging="360"/>
      </w:pPr>
    </w:lvl>
    <w:lvl w:ilvl="4">
      <w:start w:val="1"/>
      <w:numFmt w:val="decimal"/>
      <w:lvlText w:val="%5."/>
      <w:lvlJc w:val="left"/>
      <w:suff w:val="space"/>
      <w:pPr>
        <w:ind w:left="2160" w:hanging="360"/>
      </w:pPr>
    </w:lvl>
    <w:lvl w:ilvl="5">
      <w:start w:val="1"/>
      <w:numFmt w:val="decimal"/>
      <w:lvlText w:val="%6."/>
      <w:lvlJc w:val="left"/>
      <w:suff w:val="space"/>
      <w:pPr>
        <w:ind w:left="2520" w:hanging="360"/>
      </w:pPr>
    </w:lvl>
  </w:abstractNum>
  <w:abstractNum w:abstractNumId="11">
    <w:nsid w:val="EE00000B"/>
    <w:multiLevelType w:val="hybridMultilevel"/>
    <w:tmpl w:val="FF00000B"/>
    <w:lvl w:ilvl="0">
      <w:start w:val="1"/>
      <w:numFmt w:val="bullet"/>
      <w:lvlText w:val="•"/>
      <w:lvlJc w:val="left"/>
      <w:suff w:val="space"/>
      <w:pPr>
        <w:ind w:left="720" w:hanging="360"/>
      </w:pPr>
    </w:lvl>
    <w:lvl w:ilvl="1">
      <w:start w:val="1"/>
      <w:numFmt w:val="bullet"/>
      <w:lvlText w:val="◦"/>
      <w:lvlJc w:val="left"/>
      <w:suff w:val="space"/>
      <w:pPr>
        <w:ind w:left="1080" w:hanging="360"/>
      </w:pPr>
    </w:lvl>
    <w:lvl w:ilvl="2">
      <w:start w:val="1"/>
      <w:numFmt w:val="bullet"/>
      <w:lvlText w:val="▪"/>
      <w:lvlJc w:val="left"/>
      <w:suff w:val="space"/>
      <w:pPr>
        <w:ind w:left="1440" w:hanging="360"/>
      </w:pPr>
    </w:lvl>
    <w:lvl w:ilvl="3">
      <w:start w:val="1"/>
      <w:numFmt w:val="bullet"/>
      <w:lvlText w:val="•"/>
      <w:lvlJc w:val="left"/>
      <w:suff w:val="space"/>
      <w:pPr>
        <w:ind w:left="1800" w:hanging="360"/>
      </w:pPr>
    </w:lvl>
    <w:lvl w:ilvl="4">
      <w:start w:val="1"/>
      <w:numFmt w:val="bullet"/>
      <w:lvlText w:val="◦"/>
      <w:lvlJc w:val="left"/>
      <w:suff w:val="space"/>
      <w:pPr>
        <w:ind w:left="2160" w:hanging="360"/>
      </w:pPr>
    </w:lvl>
    <w:lvl w:ilvl="5">
      <w:start w:val="1"/>
      <w:numFmt w:val="bullet"/>
      <w:lvlText w:val="▪"/>
      <w:lvlJc w:val="left"/>
      <w:suff w:val="space"/>
      <w:pPr>
        <w:ind w:left="2520" w:hanging="360"/>
      </w:pPr>
    </w:lvl>
  </w:abstract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"/>
      </w:numPr>
      <w:keepNext/>
      <w:keepLines/>
      <w:spacing w:before="240" w:after="120"/>
      <w:outlineLv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"/>
      </w:numPr>
      <w:keepNext/>
      <w:keepLines/>
      <w:spacing w:before="200" w:after="80"/>
      <w:outlineLvl w:val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"/>
      </w:numPr>
      <w:keepNext/>
      <w:keepLines/>
      <w:spacing w:before="160" w:after="40"/>
      <w:outlineLvl w:val="2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numPr>
        <w:ilvl w:val="3"/>
        <w:numId w:val="10"/>
      </w:numPr>
      <w:keepNext/>
      <w:keepLines/>
      <w:spacing w:before="120" w:after="40"/>
      <w:outlineLvl w:val="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numPr>
        <w:ilvl w:val="4"/>
        <w:numId w:val="10"/>
      </w:numPr>
      <w:keepNext/>
      <w:keepLines/>
      <w:spacing w:before="80" w:after="40"/>
      <w:outlineLvl w:val="4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color w:val="1F386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numPr>
        <w:ilvl w:val="5"/>
        <w:numId w:val="10"/>
      </w:numPr>
      <w:keepNext/>
      <w:keepLines/>
      <w:spacing w:before="80" w:after="40"/>
      <w:outlineLvl w:val="5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 w:val="0"/>
      <w:i/>
      <w:iCs/>
      <w:color w:val="2E75B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16" w:right="216"/>
      <w:shd w:val="clear" w:color="auto" w:fill="F0F0F0"/>
      <w:pBdr>
        <w:top w:val="single" w:sz="6" w:space="2" w:color="AAAAAA"/>
        <w:bottom w:val="single" w:sz="6" w:space="2" w:color="AAAAAA"/>
      </w:pBdr>
    </w:pPr>
    <w:rPr>
      <w:rFonts w:ascii="Courier New" w:hAnsi="Courier New"/>
      <w:color w:val="000000"/>
      <w:sz w:val="18"/>
    </w:rPr>
  </w:style>
  <w:style w:type="paragraph" w:customStyle="1" w:styleId="BlockQuote">
    <w:name w:val="Block Quote"/>
    <w:pPr>
      <w:spacing w:before="80" w:after="80"/>
      <w:ind w:left="216" w:right="216"/>
      <w:pBdr>
        <w:left w:val="single" w:sz="12" w:space="8" w:color="2E75B6"/>
      </w:pBdr>
    </w:pPr>
    <w:rPr>
      <w:i/>
      <w:color w:val="444444"/>
    </w:rPr>
  </w:style>
  <w:style w:type="paragraph" w:customStyle="1" w:styleId="CoverTitle">
    <w:name w:val="Cover Title"/>
    <w:pPr>
      <w:spacing w:before="480" w:after="160"/>
      <w:jc w:val="center"/>
    </w:pPr>
    <w:rPr>
      <w:rFonts w:ascii="Calibri" w:hAnsi="Calibri"/>
      <w:b/>
      <w:color w:val="1F3864"/>
      <w:sz w:val="44"/>
    </w:rPr>
  </w:style>
  <w:style w:type="paragraph" w:customStyle="1" w:styleId="CoverSubtitle">
    <w:name w:val="Cover Subtitle"/>
    <w:pPr>
      <w:spacing w:before="200" w:after="120"/>
      <w:jc w:val="center"/>
    </w:pPr>
    <w:rPr>
      <w:rFonts w:ascii="Calibri" w:hAnsi="Calibri"/>
      <w:b w:val="0"/>
      <w:color w:val="2E75B6"/>
      <w:sz w:val="28"/>
    </w:rPr>
  </w:style>
  <w:style w:type="paragraph" w:customStyle="1" w:styleId="CoverBody">
    <w:name w:val="Cover Body"/>
    <w:pPr>
      <w:spacing w:before="120" w:after="80"/>
      <w:jc w:val="center"/>
    </w:pPr>
    <w:rPr>
      <w:rFonts w:ascii="Calibri" w:hAnsi="Calibri"/>
      <w:b w:val="0"/>
      <w:color w:val="000000"/>
      <w:sz w:val="22"/>
    </w:rPr>
  </w:style>
  <w:style w:type="table" w:styleId="MdToDocxDataTable">
    <w:name w:val="MdToDocxDataTable"/>
    <w:basedOn w:val="TableNormal"/>
    <w:uiPriority w:val="40"/>
    <w:pPr>
      <w:spacing w:after="0" w:line="240" w:lineRule="auto"/>
    </w:pPr>
    <w:tblPr>
      <w:tblStyleRowBandSize w:val="1"/>
      <w:tblStyleColBandSize w:val="1"/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spacing w:before="0" w:after="0"/>
      </w:pPr>
      <w:rPr>
        <w:b/>
        <w:color w:val="FFFFFF"/>
      </w:rPr>
      <w:tblPr/>
      <w:tcPr>
        <w:shd w:val="clear" w:color="auto" w:fill="1F3864"/>
      </w:tcPr>
    </w:tblStylePr>
    <w:tblStylePr w:type="band1Horz">
      <w:pPr/>
      <w:rPr/>
      <w:tblPr/>
      <w:tcPr>
        <w:shd w:val="clear" w:color="auto" w:fill="F7F7F7"/>
      </w:tcPr>
    </w:tblStylePr>
    <w:tblStylePr w:type="band2Horz">
      <w:pPr/>
      <w:rPr/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commonmark.org" TargetMode="External"/><Relationship Id="rId18" Type="http://schemas.openxmlformats.org/officeDocument/2006/relationships/hyperlink" Target="https://support.microsoft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