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val="false"/>
          <w:bCs w:val="false"/>
          <w:i w:val="false"/>
          <w:iCs w:val="false"/>
          <w:sz w:val="20"/>
          <w:szCs w:val="20"/>
        </w:rPr>
        <w:t xml:space="preserve">Кафедра онкологии ИУВ ФГБУ «НМХЦ им. Н.И. Пирогова» Минздрава России</w:t>
      </w:r>
    </w:p>
    <w:p>
      <w:pPr>
        <w:spacing w:after="120"/>
        <w:jc w:val="center"/>
      </w:pPr>
      <w:r>
        <w:rPr>
          <w:rFonts w:ascii="Times New Roman" w:cs="Times New Roman" w:eastAsia="Times New Roman" w:hAnsi="Times New Roman"/>
          <w:b/>
          <w:bCs/>
          <w:i w:val="false"/>
          <w:iCs w:val="false"/>
          <w:sz w:val="28"/>
          <w:szCs w:val="28"/>
        </w:rPr>
        <w:t xml:space="preserve">УЧЕБНЫЙ МОДУЛЬ М-04</w:t>
      </w:r>
    </w:p>
    <w:p>
      <w:pPr>
        <w:spacing w:after="80"/>
        <w:jc w:val="center"/>
      </w:pPr>
      <w:r>
        <w:rPr>
          <w:rFonts w:ascii="Times New Roman" w:cs="Times New Roman" w:eastAsia="Times New Roman" w:hAnsi="Times New Roman"/>
          <w:b/>
          <w:bCs/>
          <w:i w:val="false"/>
          <w:iCs w:val="false"/>
          <w:sz w:val="26"/>
          <w:szCs w:val="26"/>
        </w:rPr>
        <w:t xml:space="preserve">Лекарственная терапия злокачественных опухолей: классификация препаратов и принципы назначения</w:t>
      </w:r>
    </w:p>
    <w:p>
      <w:pPr>
        <w:spacing w:after="300"/>
        <w:jc w:val="center"/>
      </w:pPr>
      <w:r>
        <w:rPr>
          <w:rFonts w:ascii="Times New Roman" w:cs="Times New Roman" w:eastAsia="Times New Roman" w:hAnsi="Times New Roman"/>
          <w:b w:val="false"/>
          <w:bCs w:val="false"/>
          <w:i/>
          <w:iCs/>
          <w:sz w:val="22"/>
          <w:szCs w:val="22"/>
        </w:rPr>
        <w:t xml:space="preserve">Лекция 19.09.2026 · Академия RUSSCO · раздел «Общая онкология»</w:t>
      </w:r>
    </w:p>
    <w:p>
      <w:pPr>
        <w:spacing w:after="120" w:line="276"/>
      </w:pPr>
      <w:r>
        <w:rPr>
          <w:rFonts w:ascii="Times New Roman" w:cs="Times New Roman" w:eastAsia="Times New Roman" w:hAnsi="Times New Roman"/>
          <w:b w:val="false"/>
          <w:bCs w:val="false"/>
          <w:i/>
          <w:iCs/>
          <w:sz w:val="22"/>
          <w:szCs w:val="22"/>
        </w:rPr>
        <w:t xml:space="preserve">Все ссылки активны. Модуль посвящён тому, что ординатор применяет ежедневно: расчёту доз, редукции при органной дисфункции, фармакогенетике, лекарственным взаимодействиям и корректному оформлению назначений.</w:t>
      </w:r>
    </w:p>
    <w:p>
      <w:pPr>
        <w:pStyle w:val="Heading1"/>
        <w:spacing w:after="130" w:before="260"/>
      </w:pPr>
      <w:r>
        <w:rPr>
          <w:rFonts w:ascii="Times New Roman" w:cs="Times New Roman" w:eastAsia="Times New Roman" w:hAnsi="Times New Roman"/>
          <w:b/>
          <w:bCs/>
          <w:sz w:val="30"/>
          <w:szCs w:val="30"/>
        </w:rPr>
        <w:t xml:space="preserve">Блок А. Библиотека материалов</w:t>
      </w:r>
    </w:p>
    <w:p>
      <w:pPr>
        <w:pStyle w:val="Heading2"/>
        <w:spacing w:after="130" w:before="260"/>
      </w:pPr>
      <w:r>
        <w:rPr>
          <w:rFonts w:ascii="Times New Roman" w:cs="Times New Roman" w:eastAsia="Times New Roman" w:hAnsi="Times New Roman"/>
          <w:b/>
          <w:bCs/>
          <w:sz w:val="26"/>
          <w:szCs w:val="26"/>
        </w:rPr>
        <w:t xml:space="preserve">А1. Рекомендации и нормативные документы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Источник</w:t>
            </w:r>
          </w:p>
        </w:tc>
        <w:tc>
          <w:tcPr>
            <w:tcW w:type="dxa" w:w="45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даёт</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Протоколы противоопухолевой лекарственной терапии RUSSCO</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Готовые схемы: дозы, режимы введения, премедикация, сопроводительная терапия. Основной рабочий инструмент.</w:t>
            </w:r>
          </w:p>
        </w:tc>
        <w:tc>
          <w:tcPr>
            <w:tcW w:type="dxa" w:w="2760"/>
            <w:tcMar>
              <w:top w:type="dxa" w:w="55"/>
              <w:left w:type="dxa" w:w="85"/>
              <w:bottom w:type="dxa" w:w="55"/>
              <w:right w:type="dxa" w:w="85"/>
            </w:tcMar>
          </w:tcPr>
          <w:p>
            <w:pPr>
              <w:spacing w:after="40" w:line="240"/>
            </w:pPr>
            <w:hyperlink w:history="1" r:id="rIdq-3fzujjbk-3vsjq-ar-w">
              <w:r>
                <w:rPr>
                  <w:rStyle w:val="Hyperlink"/>
                  <w:rFonts w:ascii="Times New Roman" w:cs="Times New Roman" w:eastAsia="Times New Roman" w:hAnsi="Times New Roman"/>
                  <w:sz w:val="19"/>
                  <w:szCs w:val="19"/>
                </w:rPr>
                <w:t xml:space="preserve">ld.russco.org/Protocols</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Практические рекомендации RUSSCO</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Выбор режима по нозологиям и линиям терапии.</w:t>
            </w:r>
          </w:p>
        </w:tc>
        <w:tc>
          <w:tcPr>
            <w:tcW w:type="dxa" w:w="2760"/>
            <w:tcMar>
              <w:top w:type="dxa" w:w="55"/>
              <w:left w:type="dxa" w:w="85"/>
              <w:bottom w:type="dxa" w:w="55"/>
              <w:right w:type="dxa" w:w="85"/>
            </w:tcMar>
          </w:tcPr>
          <w:p>
            <w:pPr>
              <w:spacing w:after="40" w:line="240"/>
            </w:pPr>
            <w:hyperlink w:history="1" r:id="rIdqxnr962qtpiciffojgu9s">
              <w:r>
                <w:rPr>
                  <w:rStyle w:val="Hyperlink"/>
                  <w:rFonts w:ascii="Times New Roman" w:cs="Times New Roman" w:eastAsia="Times New Roman" w:hAnsi="Times New Roman"/>
                  <w:sz w:val="19"/>
                  <w:szCs w:val="19"/>
                </w:rPr>
                <w:t xml:space="preserve">rosoncoweb.ru/standarts/RUSSCO</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Справочные материалы RUSSCO</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Калькулятор СКФ, конвертер глюкокортикоидов, группировщики КСГ для круглосуточного и дневного стационара.</w:t>
            </w:r>
          </w:p>
        </w:tc>
        <w:tc>
          <w:tcPr>
            <w:tcW w:type="dxa" w:w="2760"/>
            <w:tcMar>
              <w:top w:type="dxa" w:w="55"/>
              <w:left w:type="dxa" w:w="85"/>
              <w:bottom w:type="dxa" w:w="55"/>
              <w:right w:type="dxa" w:w="85"/>
            </w:tcMar>
          </w:tcPr>
          <w:p>
            <w:pPr>
              <w:spacing w:after="40" w:line="240"/>
            </w:pPr>
            <w:hyperlink w:history="1" r:id="rIdqn90l_oxu13lnzw1y-tet">
              <w:r>
                <w:rPr>
                  <w:rStyle w:val="Hyperlink"/>
                  <w:rFonts w:ascii="Times New Roman" w:cs="Times New Roman" w:eastAsia="Times New Roman" w:hAnsi="Times New Roman"/>
                  <w:sz w:val="19"/>
                  <w:szCs w:val="19"/>
                </w:rPr>
                <w:t xml:space="preserve">Справочные материалы</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Клинические рекомендации Минздрава России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Юридическое основание назначения; разделы по лекарственной терапии.</w:t>
            </w:r>
          </w:p>
        </w:tc>
        <w:tc>
          <w:tcPr>
            <w:tcW w:type="dxa" w:w="2760"/>
            <w:tcMar>
              <w:top w:type="dxa" w:w="55"/>
              <w:left w:type="dxa" w:w="85"/>
              <w:bottom w:type="dxa" w:w="55"/>
              <w:right w:type="dxa" w:w="85"/>
            </w:tcMar>
          </w:tcPr>
          <w:p>
            <w:pPr>
              <w:spacing w:after="40" w:line="240"/>
            </w:pPr>
            <w:hyperlink w:history="1" r:id="rIdjgkzyw1ksuutuhwf2bjvg">
              <w:r>
                <w:rPr>
                  <w:rStyle w:val="Hyperlink"/>
                  <w:rFonts w:ascii="Times New Roman" w:cs="Times New Roman" w:eastAsia="Times New Roman" w:hAnsi="Times New Roman"/>
                  <w:sz w:val="19"/>
                  <w:szCs w:val="19"/>
                </w:rPr>
                <w:t xml:space="preserve">cr.minzdrav.gov.ru</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CTCAE v5.0</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Оценка степени нежелательных явлений — основание для редукции дозы и отсрочки цикла.</w:t>
            </w:r>
          </w:p>
        </w:tc>
        <w:tc>
          <w:tcPr>
            <w:tcW w:type="dxa" w:w="2760"/>
            <w:tcMar>
              <w:top w:type="dxa" w:w="55"/>
              <w:left w:type="dxa" w:w="85"/>
              <w:bottom w:type="dxa" w:w="55"/>
              <w:right w:type="dxa" w:w="85"/>
            </w:tcMar>
          </w:tcPr>
          <w:p>
            <w:pPr>
              <w:spacing w:after="40" w:line="240"/>
            </w:pPr>
            <w:hyperlink w:history="1" r:id="rIdai3chwrl7kxuuwc87x0fq">
              <w:r>
                <w:rPr>
                  <w:rStyle w:val="Hyperlink"/>
                  <w:rFonts w:ascii="Times New Roman" w:cs="Times New Roman" w:eastAsia="Times New Roman" w:hAnsi="Times New Roman"/>
                  <w:sz w:val="19"/>
                  <w:szCs w:val="19"/>
                </w:rPr>
                <w:t xml:space="preserve">ctep.cancer.gov</w:t>
              </w:r>
            </w:hyperlink>
          </w:p>
        </w:tc>
      </w:tr>
    </w:tbl>
    <w:p>
      <w:pPr>
        <w:pStyle w:val="Heading2"/>
        <w:spacing w:after="130" w:before="260"/>
      </w:pPr>
      <w:r>
        <w:rPr>
          <w:rFonts w:ascii="Times New Roman" w:cs="Times New Roman" w:eastAsia="Times New Roman" w:hAnsi="Times New Roman"/>
          <w:b/>
          <w:bCs/>
          <w:sz w:val="26"/>
          <w:szCs w:val="26"/>
        </w:rPr>
        <w:t xml:space="preserve">А2. Обзоры и справочные ресурсы</w:t>
      </w:r>
    </w:p>
    <w:p>
      <w:pPr>
        <w:pStyle w:val="ListParagraph"/>
        <w:numPr>
          <w:ilvl w:val="0"/>
          <w:numId w:val="1"/>
        </w:numPr>
        <w:spacing w:after="60" w:line="276"/>
      </w:pPr>
      <w:hyperlink w:history="1" r:id="rIddqrtsscuaxia0z5grzatw">
        <w:r>
          <w:rPr>
            <w:rStyle w:val="Hyperlink"/>
            <w:rFonts w:ascii="Times New Roman" w:cs="Times New Roman" w:eastAsia="Times New Roman" w:hAnsi="Times New Roman"/>
            <w:sz w:val="22"/>
            <w:szCs w:val="22"/>
          </w:rPr>
          <w:t xml:space="preserve">Liverpool Cancer Drug Interactions</w:t>
        </w:r>
      </w:hyperlink>
      <w:r>
        <w:rPr>
          <w:rFonts w:ascii="Times New Roman" w:cs="Times New Roman" w:eastAsia="Times New Roman" w:hAnsi="Times New Roman"/>
          <w:b w:val="false"/>
          <w:bCs w:val="false"/>
          <w:i w:val="false"/>
          <w:iCs w:val="false"/>
          <w:sz w:val="22"/>
          <w:szCs w:val="22"/>
        </w:rPr>
        <w:t xml:space="preserve"> — профильная база лекарственных взаимодействий именно противоопухолевых препаратов, точнее универсальных проверялок.</w:t>
      </w:r>
    </w:p>
    <w:p>
      <w:pPr>
        <w:pStyle w:val="ListParagraph"/>
        <w:numPr>
          <w:ilvl w:val="0"/>
          <w:numId w:val="1"/>
        </w:numPr>
        <w:spacing w:after="60" w:line="276"/>
      </w:pPr>
      <w:hyperlink w:history="1" r:id="rIds9yzqfg4fsvra2oj3ss-w">
        <w:r>
          <w:rPr>
            <w:rStyle w:val="Hyperlink"/>
            <w:rFonts w:ascii="Times New Roman" w:cs="Times New Roman" w:eastAsia="Times New Roman" w:hAnsi="Times New Roman"/>
            <w:sz w:val="22"/>
            <w:szCs w:val="22"/>
          </w:rPr>
          <w:t xml:space="preserve">MDCalc</w:t>
        </w:r>
      </w:hyperlink>
      <w:r>
        <w:rPr>
          <w:rFonts w:ascii="Times New Roman" w:cs="Times New Roman" w:eastAsia="Times New Roman" w:hAnsi="Times New Roman"/>
          <w:b w:val="false"/>
          <w:bCs w:val="false"/>
          <w:i w:val="false"/>
          <w:iCs w:val="false"/>
          <w:sz w:val="22"/>
          <w:szCs w:val="22"/>
        </w:rPr>
        <w:t xml:space="preserve"> — формула Калверта, расчёт площади поверхности тела, СКФ, шкалы ECOG и Карновского.</w:t>
      </w:r>
    </w:p>
    <w:p>
      <w:pPr>
        <w:pStyle w:val="ListParagraph"/>
        <w:numPr>
          <w:ilvl w:val="0"/>
          <w:numId w:val="1"/>
        </w:numPr>
        <w:spacing w:after="60" w:line="276"/>
      </w:pPr>
      <w:hyperlink w:history="1" r:id="rId-p5l9xa206ikk9slcecd4">
        <w:r>
          <w:rPr>
            <w:rStyle w:val="Hyperlink"/>
            <w:rFonts w:ascii="Times New Roman" w:cs="Times New Roman" w:eastAsia="Times New Roman" w:hAnsi="Times New Roman"/>
            <w:sz w:val="22"/>
            <w:szCs w:val="22"/>
          </w:rPr>
          <w:t xml:space="preserve">Holland-Frei Cancer Medicine — разделы по фармакологии</w:t>
        </w:r>
      </w:hyperlink>
      <w:r>
        <w:rPr>
          <w:rFonts w:ascii="Times New Roman" w:cs="Times New Roman" w:eastAsia="Times New Roman" w:hAnsi="Times New Roman"/>
          <w:b w:val="false"/>
          <w:bCs w:val="false"/>
          <w:i w:val="false"/>
          <w:iCs w:val="false"/>
          <w:sz w:val="22"/>
          <w:szCs w:val="22"/>
        </w:rPr>
        <w:t xml:space="preserve"> — свободный полный текст.</w:t>
      </w:r>
    </w:p>
    <w:p>
      <w:pPr>
        <w:pStyle w:val="ListParagraph"/>
        <w:numPr>
          <w:ilvl w:val="0"/>
          <w:numId w:val="1"/>
        </w:numPr>
        <w:spacing w:after="60" w:line="276"/>
      </w:pPr>
      <w:hyperlink w:history="1" r:id="rIdc12zofdidiks0or7vxzmr">
        <w:r>
          <w:rPr>
            <w:rStyle w:val="Hyperlink"/>
            <w:rFonts w:ascii="Times New Roman" w:cs="Times New Roman" w:eastAsia="Times New Roman" w:hAnsi="Times New Roman"/>
            <w:sz w:val="22"/>
            <w:szCs w:val="22"/>
          </w:rPr>
          <w:t xml:space="preserve">ClinicalTrials.gov</w:t>
        </w:r>
      </w:hyperlink>
      <w:r>
        <w:rPr>
          <w:rFonts w:ascii="Times New Roman" w:cs="Times New Roman" w:eastAsia="Times New Roman" w:hAnsi="Times New Roman"/>
          <w:b w:val="false"/>
          <w:bCs w:val="false"/>
          <w:i w:val="false"/>
          <w:iCs w:val="false"/>
          <w:sz w:val="22"/>
          <w:szCs w:val="22"/>
        </w:rPr>
        <w:t xml:space="preserve"> — поиск исследований при исчерпании стандартных опций.</w:t>
      </w:r>
    </w:p>
    <w:p>
      <w:pPr>
        <w:pStyle w:val="Heading2"/>
        <w:spacing w:after="130" w:before="260"/>
      </w:pPr>
      <w:r>
        <w:rPr>
          <w:rFonts w:ascii="Times New Roman" w:cs="Times New Roman" w:eastAsia="Times New Roman" w:hAnsi="Times New Roman"/>
          <w:b/>
          <w:bCs/>
          <w:sz w:val="26"/>
          <w:szCs w:val="26"/>
        </w:rPr>
        <w:t xml:space="preserve">А3. Ключевые исследования и работы</w:t>
      </w:r>
    </w:p>
    <w:p>
      <w:pPr>
        <w:pStyle w:val="Heading3"/>
        <w:spacing w:after="130" w:before="260"/>
      </w:pPr>
      <w:r>
        <w:rPr>
          <w:rFonts w:ascii="Times New Roman" w:cs="Times New Roman" w:eastAsia="Times New Roman" w:hAnsi="Times New Roman"/>
          <w:b/>
          <w:bCs/>
          <w:sz w:val="23"/>
          <w:szCs w:val="23"/>
        </w:rPr>
        <w:t xml:space="preserve">Работы, определяющие правила назначения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Формула Калверта</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Расчёт дозы карбоплатина по целевой AUC и скорости клубочковой фильтрации вместо площади поверхности тела. Пример перехода от эмпирического дозирования к фармакокинетическому.</w:t>
            </w:r>
          </w:p>
        </w:tc>
        <w:tc>
          <w:tcPr>
            <w:tcW w:type="dxa" w:w="2760"/>
            <w:tcMar>
              <w:top w:type="dxa" w:w="55"/>
              <w:left w:type="dxa" w:w="85"/>
              <w:bottom w:type="dxa" w:w="55"/>
              <w:right w:type="dxa" w:w="85"/>
            </w:tcMar>
          </w:tcPr>
          <w:p>
            <w:pPr>
              <w:spacing w:after="40" w:line="240"/>
            </w:pPr>
            <w:hyperlink w:history="1" r:id="rIdxjx41-f8saedx3ypxoqwa">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Фармакогенетика DPYD</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Носительство вариантов DPYD ведёт к тяжёлой, потенциально фатальной токсичности фторпиримидинов; предварительное тестирование снижает частоту тяжёлых осложнений.</w:t>
            </w:r>
          </w:p>
        </w:tc>
        <w:tc>
          <w:tcPr>
            <w:tcW w:type="dxa" w:w="2760"/>
            <w:tcMar>
              <w:top w:type="dxa" w:w="55"/>
              <w:left w:type="dxa" w:w="85"/>
              <w:bottom w:type="dxa" w:w="55"/>
              <w:right w:type="dxa" w:w="85"/>
            </w:tcMar>
          </w:tcPr>
          <w:p>
            <w:pPr>
              <w:spacing w:after="40" w:line="240"/>
            </w:pPr>
            <w:hyperlink w:history="1" r:id="rIdeyeemt156h5hgojlonrc5">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UGT1A1 и иринотекан</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Генотип UGT1A1*28 ассоциирован с повышенным риском нейтропении и диареи при высоких дозах иринотекана.</w:t>
            </w:r>
          </w:p>
        </w:tc>
        <w:tc>
          <w:tcPr>
            <w:tcW w:type="dxa" w:w="2760"/>
            <w:tcMar>
              <w:top w:type="dxa" w:w="55"/>
              <w:left w:type="dxa" w:w="85"/>
              <w:bottom w:type="dxa" w:w="55"/>
              <w:right w:type="dxa" w:w="85"/>
            </w:tcMar>
          </w:tcPr>
          <w:p>
            <w:pPr>
              <w:spacing w:after="40" w:line="240"/>
            </w:pPr>
            <w:hyperlink w:history="1" r:id="rIdb7qjwirzgkhubfmiloeau">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Дозирование у пациентов с ожирением (рекомендации ASCO)</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Расчёт дозы по фактической массе тела без произвольного ограничения; редукция «из осторожности» ухудшает исходы.</w:t>
            </w:r>
          </w:p>
        </w:tc>
        <w:tc>
          <w:tcPr>
            <w:tcW w:type="dxa" w:w="2760"/>
            <w:tcMar>
              <w:top w:type="dxa" w:w="55"/>
              <w:left w:type="dxa" w:w="85"/>
              <w:bottom w:type="dxa" w:w="55"/>
              <w:right w:type="dxa" w:w="85"/>
            </w:tcMar>
          </w:tcPr>
          <w:p>
            <w:pPr>
              <w:spacing w:after="40" w:line="240"/>
            </w:pPr>
            <w:hyperlink w:history="1" r:id="rIdohub8qa94tzeiyu42ywil">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RECIST 1.1</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Стандарт оценки эффекта лечения: определения таргетных очагов, критерии ответа и прогрессирования.</w:t>
            </w:r>
          </w:p>
        </w:tc>
        <w:tc>
          <w:tcPr>
            <w:tcW w:type="dxa" w:w="2760"/>
            <w:tcMar>
              <w:top w:type="dxa" w:w="55"/>
              <w:left w:type="dxa" w:w="85"/>
              <w:bottom w:type="dxa" w:w="55"/>
              <w:right w:type="dxa" w:w="85"/>
            </w:tcMar>
          </w:tcPr>
          <w:p>
            <w:pPr>
              <w:spacing w:after="40" w:line="240"/>
            </w:pPr>
            <w:hyperlink w:history="1" r:id="rIdcr31gpbrj4qajxyrhavlu">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А4. Лекции и видеоматериалы</w:t>
      </w:r>
    </w:p>
    <w:p>
      <w:pPr>
        <w:pStyle w:val="ListParagraph"/>
        <w:numPr>
          <w:ilvl w:val="0"/>
          <w:numId w:val="1"/>
        </w:numPr>
        <w:spacing w:after="60" w:line="276"/>
      </w:pPr>
      <w:hyperlink w:history="1" r:id="rIdv70ruqhdimbxgpdzqd609">
        <w:r>
          <w:rPr>
            <w:rStyle w:val="Hyperlink"/>
            <w:rFonts w:ascii="Times New Roman" w:cs="Times New Roman" w:eastAsia="Times New Roman" w:hAnsi="Times New Roman"/>
            <w:sz w:val="22"/>
            <w:szCs w:val="22"/>
          </w:rPr>
          <w:t xml:space="preserve">XII Конференция RUSSCO «Поддерживающая терапия», 16.05.2026</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l2oipoeyecly6bzacnlp-">
        <w:r>
          <w:rPr>
            <w:rStyle w:val="Hyperlink"/>
            <w:rFonts w:ascii="Times New Roman" w:cs="Times New Roman" w:eastAsia="Times New Roman" w:hAnsi="Times New Roman"/>
            <w:sz w:val="22"/>
            <w:szCs w:val="22"/>
          </w:rPr>
          <w:t xml:space="preserve">XI Конференция RUSSCO «Поддерживающая терапия», 27–28.05.2025</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f7kgrkkuhvw0sdyo5lprw">
        <w:r>
          <w:rPr>
            <w:rStyle w:val="Hyperlink"/>
            <w:rFonts w:ascii="Times New Roman" w:cs="Times New Roman" w:eastAsia="Times New Roman" w:hAnsi="Times New Roman"/>
            <w:sz w:val="22"/>
            <w:szCs w:val="22"/>
          </w:rPr>
          <w:t xml:space="preserve">ESMO E-Learning</w:t>
        </w:r>
      </w:hyperlink>
      <w:r>
        <w:rPr>
          <w:rFonts w:ascii="Times New Roman" w:cs="Times New Roman" w:eastAsia="Times New Roman" w:hAnsi="Times New Roman"/>
          <w:b w:val="false"/>
          <w:bCs w:val="false"/>
          <w:i w:val="false"/>
          <w:iCs w:val="false"/>
          <w:sz w:val="22"/>
          <w:szCs w:val="22"/>
        </w:rPr>
        <w:t xml:space="preserve"> — модули с тестами и баллами CME.</w:t>
      </w:r>
    </w:p>
    <w:p>
      <w:pPr>
        <w:pStyle w:val="ListParagraph"/>
        <w:numPr>
          <w:ilvl w:val="0"/>
          <w:numId w:val="1"/>
        </w:numPr>
        <w:spacing w:after="60" w:line="276"/>
      </w:pPr>
      <w:hyperlink w:history="1" r:id="rId9j-c3xirpcnaxuk75luru">
        <w:r>
          <w:rPr>
            <w:rStyle w:val="Hyperlink"/>
            <w:rFonts w:ascii="Times New Roman" w:cs="Times New Roman" w:eastAsia="Times New Roman" w:hAnsi="Times New Roman"/>
            <w:sz w:val="22"/>
            <w:szCs w:val="22"/>
          </w:rPr>
          <w:t xml:space="preserve">Полный видеоархив конференций RUSSCO</w:t>
        </w:r>
      </w:hyperlink>
      <w:r>
        <w:rPr>
          <w:rFonts w:ascii="Times New Roman" w:cs="Times New Roman" w:eastAsia="Times New Roman" w:hAnsi="Times New Roman"/>
          <w:b w:val="false"/>
          <w:bCs w:val="false"/>
          <w:i w:val="false"/>
          <w:iCs w:val="false"/>
          <w:sz w:val="22"/>
          <w:szCs w:val="22"/>
        </w:rPr>
        <w:t xml:space="preserve"> · </w:t>
      </w:r>
      <w:hyperlink w:history="1" r:id="rIdrgg_s0fj65fn5r9xnk6it">
        <w:r>
          <w:rPr>
            <w:rStyle w:val="Hyperlink"/>
            <w:rFonts w:ascii="Times New Roman" w:cs="Times New Roman" w:eastAsia="Times New Roman" w:hAnsi="Times New Roman"/>
            <w:sz w:val="22"/>
            <w:szCs w:val="22"/>
          </w:rPr>
          <w:t xml:space="preserve">архив вебинаров</w:t>
        </w:r>
      </w:hyperlink>
      <w:r>
        <w:rPr>
          <w:rFonts w:ascii="Times New Roman" w:cs="Times New Roman" w:eastAsia="Times New Roman" w:hAnsi="Times New Roman"/>
          <w:b w:val="false"/>
          <w:bCs w:val="false"/>
          <w:i w:val="false"/>
          <w:iCs w:val="false"/>
          <w:sz w:val="22"/>
          <w:szCs w:val="22"/>
        </w:rPr>
        <w:t xml:space="preserve"> — если нужной темы нет в списке выше.</w:t>
      </w:r>
    </w:p>
    <w:p>
      <w:pPr>
        <w:spacing w:after="120" w:line="276"/>
      </w:pPr>
      <w:r>
        <w:rPr>
          <w:rFonts w:ascii="Times New Roman" w:cs="Times New Roman" w:eastAsia="Times New Roman" w:hAnsi="Times New Roman"/>
          <w:b w:val="false"/>
          <w:bCs w:val="false"/>
          <w:i/>
          <w:iCs/>
          <w:sz w:val="22"/>
          <w:szCs w:val="22"/>
        </w:rPr>
        <w:t xml:space="preserve">Ссылки на лекции сотрудников кафедры по этой теме собираются отдельно — пришлите названия докладов или ссылки на записи, добавлю в модуль.</w:t>
      </w:r>
    </w:p>
    <w:p>
      <w:pPr>
        <w:pStyle w:val="Heading2"/>
        <w:spacing w:after="130" w:before="260"/>
      </w:pPr>
      <w:r>
        <w:rPr>
          <w:rFonts w:ascii="Times New Roman" w:cs="Times New Roman" w:eastAsia="Times New Roman" w:hAnsi="Times New Roman"/>
          <w:b/>
          <w:bCs/>
          <w:sz w:val="26"/>
          <w:szCs w:val="26"/>
        </w:rPr>
        <w:t xml:space="preserve">А5. О переводе англоязычных работ</w:t>
      </w:r>
    </w:p>
    <w:p>
      <w:pPr>
        <w:spacing w:after="120" w:line="276"/>
      </w:pPr>
      <w:r>
        <w:rPr>
          <w:rFonts w:ascii="Times New Roman" w:cs="Times New Roman" w:eastAsia="Times New Roman" w:hAnsi="Times New Roman"/>
          <w:b w:val="false"/>
          <w:bCs w:val="false"/>
          <w:i w:val="false"/>
          <w:iCs w:val="false"/>
          <w:sz w:val="22"/>
          <w:szCs w:val="22"/>
        </w:rPr>
        <w:t xml:space="preserve">Полный перевод статей и рекомендаций публиковать нельзя — это нарушение авторских прав издателей. Законное решение: русскоязычная аннотация на 3–5 предложений (дизайн, популяция, конечные точки, результат, что меняет в практике) плюс активная ссылка на оригинал. Именно так оформлены таблицы выше. Для документов с официальным русским переводом приоритет отдаётся рекомендациям RUSSCO и КР Минздрава.</w:t>
      </w:r>
    </w:p>
    <w:p>
      <w:r>
        <w:br w:type="page"/>
      </w:r>
    </w:p>
    <w:p>
      <w:r>
        <w:rPr>
          <w:b/>
          <w:sz w:val="22"/>
        </w:rPr>
        <w:t>А6. Актуализация источников и стандартов — 2026</w:t>
      </w:r>
    </w:p>
    <w:p>
      <w:r>
        <w:rPr>
          <w:b/>
        </w:rPr>
        <w:t xml:space="preserve">NCI antineoplastic agents and treatment principles. </w:t>
      </w:r>
      <w:r>
        <w:t xml:space="preserve">Сохранить классификацию цитостатиков, таргетных препаратов, иммунотерапии, эндокринотерапии и конъюгатов; конкретные режимы и дозы привязывать к нозологическим модулям. </w:t>
      </w:r>
      <w:hyperlink r:id="rId7">
        <w:r>
          <w:rPr>
            <w:color w:val="0563C1"/>
            <w:u w:val="single"/>
          </w:rPr>
          <w:t>Открыть источник</w:t>
        </w:r>
      </w:hyperlink>
    </w:p>
    <w:p>
      <w:r>
        <w:rPr>
          <w:b/>
        </w:rPr>
        <w:t xml:space="preserve">CTCAE v6.0 cross-link. </w:t>
      </w:r>
      <w:r>
        <w:t xml:space="preserve">Во всех примерах оценки токсичности использовать CTCAE v6.0 и дать перекрёстную ссылку на M07/M14. </w:t>
      </w:r>
      <w:hyperlink r:id="rId8">
        <w:r>
          <w:rPr>
            <w:color w:val="0563C1"/>
            <w:u w:val="single"/>
          </w:rPr>
          <w:t>Открыть источник</w:t>
        </w:r>
      </w:hyperlink>
    </w:p>
    <w:p/>
    <w:p>
      <w:pPr>
        <w:pStyle w:val="Heading1"/>
        <w:spacing w:after="130" w:before="260"/>
      </w:pPr>
      <w:r>
        <w:rPr>
          <w:rFonts w:ascii="Times New Roman" w:cs="Times New Roman" w:eastAsia="Times New Roman" w:hAnsi="Times New Roman"/>
          <w:b/>
          <w:bCs/>
          <w:sz w:val="30"/>
          <w:szCs w:val="30"/>
        </w:rPr>
        <w:t xml:space="preserve">Блок Б. Проверочные материалы</w:t>
      </w:r>
    </w:p>
    <w:p>
      <w:pPr>
        <w:pStyle w:val="Heading2"/>
        <w:spacing w:after="130" w:before="260"/>
      </w:pPr>
      <w:r>
        <w:rPr>
          <w:rFonts w:ascii="Times New Roman" w:cs="Times New Roman" w:eastAsia="Times New Roman" w:hAnsi="Times New Roman"/>
          <w:b/>
          <w:bCs/>
          <w:sz w:val="26"/>
          <w:szCs w:val="26"/>
        </w:rPr>
        <w:t xml:space="preserve">Б1. Тестовые задания (10 вопросов)</w:t>
      </w:r>
    </w:p>
    <w:p>
      <w:pPr>
        <w:spacing w:after="120" w:line="276"/>
      </w:pPr>
      <w:r>
        <w:rPr>
          <w:rFonts w:ascii="Times New Roman" w:cs="Times New Roman" w:eastAsia="Times New Roman" w:hAnsi="Times New Roman"/>
          <w:b w:val="false"/>
          <w:bCs w:val="false"/>
          <w:i/>
          <w:iCs/>
          <w:sz w:val="22"/>
          <w:szCs w:val="22"/>
        </w:rPr>
        <w:t xml:space="preserve">Один лучший ответ. Формат приближен к экзаменационному стилю ESMO и RUSSCO. Пояснения предназначены для разбора после теста и для версии с автопроверкой на сайте.</w:t>
      </w:r>
    </w:p>
    <w:p>
      <w:pPr>
        <w:spacing w:after="60" w:line="276"/>
      </w:pPr>
      <w:r>
        <w:rPr>
          <w:rFonts w:ascii="Times New Roman" w:cs="Times New Roman" w:eastAsia="Times New Roman" w:hAnsi="Times New Roman"/>
          <w:b/>
          <w:bCs/>
          <w:i w:val="false"/>
          <w:iCs w:val="false"/>
          <w:sz w:val="22"/>
          <w:szCs w:val="22"/>
        </w:rPr>
        <w:t xml:space="preserve">1. Доза карбоплатина рассчитывается по формуле Калверта как:</w:t>
      </w:r>
    </w:p>
    <w:p>
      <w:pPr>
        <w:spacing w:after="30" w:line="250"/>
        <w:ind w:left="340"/>
      </w:pPr>
      <w:r>
        <w:rPr>
          <w:rFonts w:ascii="Times New Roman" w:cs="Times New Roman" w:eastAsia="Times New Roman" w:hAnsi="Times New Roman"/>
          <w:b w:val="false"/>
          <w:bCs w:val="false"/>
          <w:i w:val="false"/>
          <w:iCs w:val="false"/>
          <w:sz w:val="21"/>
          <w:szCs w:val="21"/>
        </w:rPr>
        <w:t xml:space="preserve">A. AUC × (СКФ + 25)</w:t>
      </w:r>
    </w:p>
    <w:p>
      <w:pPr>
        <w:spacing w:after="30" w:line="250"/>
        <w:ind w:left="340"/>
      </w:pPr>
      <w:r>
        <w:rPr>
          <w:rFonts w:ascii="Times New Roman" w:cs="Times New Roman" w:eastAsia="Times New Roman" w:hAnsi="Times New Roman"/>
          <w:b w:val="false"/>
          <w:bCs w:val="false"/>
          <w:i w:val="false"/>
          <w:iCs w:val="false"/>
          <w:sz w:val="21"/>
          <w:szCs w:val="21"/>
        </w:rPr>
        <w:t xml:space="preserve">B. AUC × 100</w:t>
      </w:r>
    </w:p>
    <w:p>
      <w:pPr>
        <w:spacing w:after="30" w:line="250"/>
        <w:ind w:left="340"/>
      </w:pPr>
      <w:r>
        <w:rPr>
          <w:rFonts w:ascii="Times New Roman" w:cs="Times New Roman" w:eastAsia="Times New Roman" w:hAnsi="Times New Roman"/>
          <w:b w:val="false"/>
          <w:bCs w:val="false"/>
          <w:i w:val="false"/>
          <w:iCs w:val="false"/>
          <w:sz w:val="21"/>
          <w:szCs w:val="21"/>
        </w:rPr>
        <w:t xml:space="preserve">C. AUC × масса тела</w:t>
      </w:r>
    </w:p>
    <w:p>
      <w:pPr>
        <w:spacing w:after="30" w:line="250"/>
        <w:ind w:left="340"/>
      </w:pPr>
      <w:r>
        <w:rPr>
          <w:rFonts w:ascii="Times New Roman" w:cs="Times New Roman" w:eastAsia="Times New Roman" w:hAnsi="Times New Roman"/>
          <w:b w:val="false"/>
          <w:bCs w:val="false"/>
          <w:i w:val="false"/>
          <w:iCs w:val="false"/>
          <w:sz w:val="21"/>
          <w:szCs w:val="21"/>
        </w:rPr>
        <w:t xml:space="preserve">D. AUC × площадь поверхности тела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Доза в миллиграммах равна целевой AUC, умноженной на сумму скорости клубочковой фильтрации и 25. Карбоплатин выводится преимущественно почками, поэтому фармакокинетическое дозирование точнее расчёта по площади поверхности тела. Занижение СКФ ведёт к недодозированию, завышение — к тяжёлой миелосупрессии.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ypg8n7hsk-y6_tarfazn6">
        <w:r>
          <w:rPr>
            <w:rStyle w:val="Hyperlink"/>
            <w:rFonts w:ascii="Times New Roman" w:cs="Times New Roman" w:eastAsia="Times New Roman" w:hAnsi="Times New Roman"/>
            <w:sz w:val="20"/>
            <w:szCs w:val="20"/>
          </w:rPr>
          <w:t xml:space="preserve">Формула Калверта</w:t>
        </w:r>
      </w:hyperlink>
    </w:p>
    <w:p>
      <w:pPr>
        <w:spacing w:after="60" w:line="276"/>
      </w:pPr>
      <w:r>
        <w:rPr>
          <w:rFonts w:ascii="Times New Roman" w:cs="Times New Roman" w:eastAsia="Times New Roman" w:hAnsi="Times New Roman"/>
          <w:b/>
          <w:bCs/>
          <w:i w:val="false"/>
          <w:iCs w:val="false"/>
          <w:sz w:val="22"/>
          <w:szCs w:val="22"/>
        </w:rPr>
        <w:t xml:space="preserve">2. Пациентке с ожирением (ИМТ 38) планируется адъювантная химиотерапия. Как рассчитывать дозу?</w:t>
      </w:r>
    </w:p>
    <w:p>
      <w:pPr>
        <w:spacing w:after="30" w:line="250"/>
        <w:ind w:left="340"/>
      </w:pPr>
      <w:r>
        <w:rPr>
          <w:rFonts w:ascii="Times New Roman" w:cs="Times New Roman" w:eastAsia="Times New Roman" w:hAnsi="Times New Roman"/>
          <w:b w:val="false"/>
          <w:bCs w:val="false"/>
          <w:i w:val="false"/>
          <w:iCs w:val="false"/>
          <w:sz w:val="21"/>
          <w:szCs w:val="21"/>
        </w:rPr>
        <w:t xml:space="preserve">A. Снизить дозу на 25 %</w:t>
      </w:r>
    </w:p>
    <w:p>
      <w:pPr>
        <w:spacing w:after="30" w:line="250"/>
        <w:ind w:left="340"/>
      </w:pPr>
      <w:r>
        <w:rPr>
          <w:rFonts w:ascii="Times New Roman" w:cs="Times New Roman" w:eastAsia="Times New Roman" w:hAnsi="Times New Roman"/>
          <w:b w:val="false"/>
          <w:bCs w:val="false"/>
          <w:i w:val="false"/>
          <w:iCs w:val="false"/>
          <w:sz w:val="21"/>
          <w:szCs w:val="21"/>
        </w:rPr>
        <w:t xml:space="preserve">B. По фактической массе тела без произвольного ограничения площади поверхности тела</w:t>
      </w:r>
    </w:p>
    <w:p>
      <w:pPr>
        <w:spacing w:after="30" w:line="250"/>
        <w:ind w:left="340"/>
      </w:pPr>
      <w:r>
        <w:rPr>
          <w:rFonts w:ascii="Times New Roman" w:cs="Times New Roman" w:eastAsia="Times New Roman" w:hAnsi="Times New Roman"/>
          <w:b w:val="false"/>
          <w:bCs w:val="false"/>
          <w:i w:val="false"/>
          <w:iCs w:val="false"/>
          <w:sz w:val="21"/>
          <w:szCs w:val="21"/>
        </w:rPr>
        <w:t xml:space="preserve">C. Ограничить площадь поверхности тела значением 2,0 м²</w:t>
      </w:r>
    </w:p>
    <w:p>
      <w:pPr>
        <w:spacing w:after="30" w:line="250"/>
        <w:ind w:left="340"/>
      </w:pPr>
      <w:r>
        <w:rPr>
          <w:rFonts w:ascii="Times New Roman" w:cs="Times New Roman" w:eastAsia="Times New Roman" w:hAnsi="Times New Roman"/>
          <w:b w:val="false"/>
          <w:bCs w:val="false"/>
          <w:i w:val="false"/>
          <w:iCs w:val="false"/>
          <w:sz w:val="21"/>
          <w:szCs w:val="21"/>
        </w:rPr>
        <w:t xml:space="preserve">D. По идеальной массе тела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Рекомендации ASCO предписывают полнодозовую терапию по фактической массе тела: редукция «из осторожности» снижает эффективность лечения без доказанного выигрыша по безопасности. Ограничение площади поверхности тела значением 2,0 м² — распространённая, но не обоснованная практика.</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ihlr4hhjkq75dciw6xusv">
        <w:r>
          <w:rPr>
            <w:rStyle w:val="Hyperlink"/>
            <w:rFonts w:ascii="Times New Roman" w:cs="Times New Roman" w:eastAsia="Times New Roman" w:hAnsi="Times New Roman"/>
            <w:sz w:val="20"/>
            <w:szCs w:val="20"/>
          </w:rPr>
          <w:t xml:space="preserve">Рекомендации ASCO по дозированию при ожирении</w:t>
        </w:r>
      </w:hyperlink>
    </w:p>
    <w:p>
      <w:pPr>
        <w:spacing w:after="60" w:line="276"/>
      </w:pPr>
      <w:r>
        <w:rPr>
          <w:rFonts w:ascii="Times New Roman" w:cs="Times New Roman" w:eastAsia="Times New Roman" w:hAnsi="Times New Roman"/>
          <w:b/>
          <w:bCs/>
          <w:i w:val="false"/>
          <w:iCs w:val="false"/>
          <w:sz w:val="22"/>
          <w:szCs w:val="22"/>
        </w:rPr>
        <w:t xml:space="preserve">3. Перед назначением фторпиримидинов целесообразно оценить:</w:t>
      </w:r>
    </w:p>
    <w:p>
      <w:pPr>
        <w:spacing w:after="30" w:line="250"/>
        <w:ind w:left="340"/>
      </w:pPr>
      <w:r>
        <w:rPr>
          <w:rFonts w:ascii="Times New Roman" w:cs="Times New Roman" w:eastAsia="Times New Roman" w:hAnsi="Times New Roman"/>
          <w:b w:val="false"/>
          <w:bCs w:val="false"/>
          <w:i w:val="false"/>
          <w:iCs w:val="false"/>
          <w:sz w:val="21"/>
          <w:szCs w:val="21"/>
        </w:rPr>
        <w:t xml:space="preserve">A. Активность UGT1A1</w:t>
      </w:r>
    </w:p>
    <w:p>
      <w:pPr>
        <w:spacing w:after="30" w:line="250"/>
        <w:ind w:left="340"/>
      </w:pPr>
      <w:r>
        <w:rPr>
          <w:rFonts w:ascii="Times New Roman" w:cs="Times New Roman" w:eastAsia="Times New Roman" w:hAnsi="Times New Roman"/>
          <w:b w:val="false"/>
          <w:bCs w:val="false"/>
          <w:i w:val="false"/>
          <w:iCs w:val="false"/>
          <w:sz w:val="21"/>
          <w:szCs w:val="21"/>
        </w:rPr>
        <w:t xml:space="preserve">B. Статус DPYD / активность дигидропиримидиндегидрогеназы</w:t>
      </w:r>
    </w:p>
    <w:p>
      <w:pPr>
        <w:spacing w:after="30" w:line="250"/>
        <w:ind w:left="340"/>
      </w:pPr>
      <w:r>
        <w:rPr>
          <w:rFonts w:ascii="Times New Roman" w:cs="Times New Roman" w:eastAsia="Times New Roman" w:hAnsi="Times New Roman"/>
          <w:b w:val="false"/>
          <w:bCs w:val="false"/>
          <w:i w:val="false"/>
          <w:iCs w:val="false"/>
          <w:sz w:val="21"/>
          <w:szCs w:val="21"/>
        </w:rPr>
        <w:t xml:space="preserve">C. Полиморфизм CYP2D6</w:t>
      </w:r>
    </w:p>
    <w:p>
      <w:pPr>
        <w:spacing w:after="30" w:line="250"/>
        <w:ind w:left="340"/>
      </w:pPr>
      <w:r>
        <w:rPr>
          <w:rFonts w:ascii="Times New Roman" w:cs="Times New Roman" w:eastAsia="Times New Roman" w:hAnsi="Times New Roman"/>
          <w:b w:val="false"/>
          <w:bCs w:val="false"/>
          <w:i w:val="false"/>
          <w:iCs w:val="false"/>
          <w:sz w:val="21"/>
          <w:szCs w:val="21"/>
        </w:rPr>
        <w:t xml:space="preserve">D. Уровень тимидилатсинтазы</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Дефицит DPD ведёт к тяжёлой токсичности фторпиримидинов, вплоть до фатальной. При выявленном частичном дефиците доза снижается, при полном препараты противопоказаны. UGT1A1 относится к иринотекану, CYP2D6 — к тамоксифену.</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7xsjpq1wwsjc7d1qarogz">
        <w:r>
          <w:rPr>
            <w:rStyle w:val="Hyperlink"/>
            <w:rFonts w:ascii="Times New Roman" w:cs="Times New Roman" w:eastAsia="Times New Roman" w:hAnsi="Times New Roman"/>
            <w:sz w:val="20"/>
            <w:szCs w:val="20"/>
          </w:rPr>
          <w:t xml:space="preserve">Фармакогенетика DPYD</w:t>
        </w:r>
      </w:hyperlink>
    </w:p>
    <w:p>
      <w:pPr>
        <w:spacing w:after="60" w:line="276"/>
      </w:pPr>
      <w:r>
        <w:rPr>
          <w:rFonts w:ascii="Times New Roman" w:cs="Times New Roman" w:eastAsia="Times New Roman" w:hAnsi="Times New Roman"/>
          <w:b/>
          <w:bCs/>
          <w:i w:val="false"/>
          <w:iCs w:val="false"/>
          <w:sz w:val="22"/>
          <w:szCs w:val="22"/>
        </w:rPr>
        <w:t xml:space="preserve">4. Пациент принимает варфарин, планируется капецитабин. Что необходимо учесть?</w:t>
      </w:r>
    </w:p>
    <w:p>
      <w:pPr>
        <w:spacing w:after="30" w:line="250"/>
        <w:ind w:left="340"/>
      </w:pPr>
      <w:r>
        <w:rPr>
          <w:rFonts w:ascii="Times New Roman" w:cs="Times New Roman" w:eastAsia="Times New Roman" w:hAnsi="Times New Roman"/>
          <w:b w:val="false"/>
          <w:bCs w:val="false"/>
          <w:i w:val="false"/>
          <w:iCs w:val="false"/>
          <w:sz w:val="21"/>
          <w:szCs w:val="21"/>
        </w:rPr>
        <w:t xml:space="preserve">A. Капецитабин потенцирует действие варфарина, требуется учащённый контроль МНО</w:t>
      </w:r>
    </w:p>
    <w:p>
      <w:pPr>
        <w:spacing w:after="30" w:line="250"/>
        <w:ind w:left="340"/>
      </w:pPr>
      <w:r>
        <w:rPr>
          <w:rFonts w:ascii="Times New Roman" w:cs="Times New Roman" w:eastAsia="Times New Roman" w:hAnsi="Times New Roman"/>
          <w:b w:val="false"/>
          <w:bCs w:val="false"/>
          <w:i w:val="false"/>
          <w:iCs w:val="false"/>
          <w:sz w:val="21"/>
          <w:szCs w:val="21"/>
        </w:rPr>
        <w:t xml:space="preserve">B. Взаимодействия нет</w:t>
      </w:r>
    </w:p>
    <w:p>
      <w:pPr>
        <w:spacing w:after="30" w:line="250"/>
        <w:ind w:left="340"/>
      </w:pPr>
      <w:r>
        <w:rPr>
          <w:rFonts w:ascii="Times New Roman" w:cs="Times New Roman" w:eastAsia="Times New Roman" w:hAnsi="Times New Roman"/>
          <w:b w:val="false"/>
          <w:bCs w:val="false"/>
          <w:i w:val="false"/>
          <w:iCs w:val="false"/>
          <w:sz w:val="21"/>
          <w:szCs w:val="21"/>
        </w:rPr>
        <w:t xml:space="preserve">C. Варфарин снижает эффективность капецитабина</w:t>
      </w:r>
    </w:p>
    <w:p>
      <w:pPr>
        <w:spacing w:after="30" w:line="250"/>
        <w:ind w:left="340"/>
      </w:pPr>
      <w:r>
        <w:rPr>
          <w:rFonts w:ascii="Times New Roman" w:cs="Times New Roman" w:eastAsia="Times New Roman" w:hAnsi="Times New Roman"/>
          <w:b w:val="false"/>
          <w:bCs w:val="false"/>
          <w:i w:val="false"/>
          <w:iCs w:val="false"/>
          <w:sz w:val="21"/>
          <w:szCs w:val="21"/>
        </w:rPr>
        <w:t xml:space="preserve">D. Требуется отмена капецитабина</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Фторпиримидины усиливают антикоагулянтный эффект варфарина с риском кровотечений. Необходим более частый контроль МНО либо переход на низкомолекулярный гепарин, который у онкологических больных предпочтителен и по другим причинам. Проверять взаимодействия следует в профильной базе.</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1ntit5ocqe3wybs3nplcr">
        <w:r>
          <w:rPr>
            <w:rStyle w:val="Hyperlink"/>
            <w:rFonts w:ascii="Times New Roman" w:cs="Times New Roman" w:eastAsia="Times New Roman" w:hAnsi="Times New Roman"/>
            <w:sz w:val="20"/>
            <w:szCs w:val="20"/>
          </w:rPr>
          <w:t xml:space="preserve">Liverpool Cancer Drug Interactions</w:t>
        </w:r>
      </w:hyperlink>
    </w:p>
    <w:p>
      <w:pPr>
        <w:spacing w:after="60" w:line="276"/>
      </w:pPr>
      <w:r>
        <w:rPr>
          <w:rFonts w:ascii="Times New Roman" w:cs="Times New Roman" w:eastAsia="Times New Roman" w:hAnsi="Times New Roman"/>
          <w:b/>
          <w:bCs/>
          <w:i w:val="false"/>
          <w:iCs w:val="false"/>
          <w:sz w:val="22"/>
          <w:szCs w:val="22"/>
        </w:rPr>
        <w:t xml:space="preserve">5. Термин «неоадъювантная терапия» означает лечение, проводимое:</w:t>
      </w:r>
    </w:p>
    <w:p>
      <w:pPr>
        <w:spacing w:after="30" w:line="250"/>
        <w:ind w:left="340"/>
      </w:pPr>
      <w:r>
        <w:rPr>
          <w:rFonts w:ascii="Times New Roman" w:cs="Times New Roman" w:eastAsia="Times New Roman" w:hAnsi="Times New Roman"/>
          <w:b w:val="false"/>
          <w:bCs w:val="false"/>
          <w:i w:val="false"/>
          <w:iCs w:val="false"/>
          <w:sz w:val="21"/>
          <w:szCs w:val="21"/>
        </w:rPr>
        <w:t xml:space="preserve">A. После радикальной операции</w:t>
      </w:r>
    </w:p>
    <w:p>
      <w:pPr>
        <w:spacing w:after="30" w:line="250"/>
        <w:ind w:left="340"/>
      </w:pPr>
      <w:r>
        <w:rPr>
          <w:rFonts w:ascii="Times New Roman" w:cs="Times New Roman" w:eastAsia="Times New Roman" w:hAnsi="Times New Roman"/>
          <w:b w:val="false"/>
          <w:bCs w:val="false"/>
          <w:i w:val="false"/>
          <w:iCs w:val="false"/>
          <w:sz w:val="21"/>
          <w:szCs w:val="21"/>
        </w:rPr>
        <w:t xml:space="preserve">B. До планируемого локального лечения</w:t>
      </w:r>
    </w:p>
    <w:p>
      <w:pPr>
        <w:spacing w:after="30" w:line="250"/>
        <w:ind w:left="340"/>
      </w:pPr>
      <w:r>
        <w:rPr>
          <w:rFonts w:ascii="Times New Roman" w:cs="Times New Roman" w:eastAsia="Times New Roman" w:hAnsi="Times New Roman"/>
          <w:b w:val="false"/>
          <w:bCs w:val="false"/>
          <w:i w:val="false"/>
          <w:iCs w:val="false"/>
          <w:sz w:val="21"/>
          <w:szCs w:val="21"/>
        </w:rPr>
        <w:t xml:space="preserve">C. Одновременно с лучевой терапией</w:t>
      </w:r>
    </w:p>
    <w:p>
      <w:pPr>
        <w:spacing w:after="30" w:line="250"/>
        <w:ind w:left="340"/>
      </w:pPr>
      <w:r>
        <w:rPr>
          <w:rFonts w:ascii="Times New Roman" w:cs="Times New Roman" w:eastAsia="Times New Roman" w:hAnsi="Times New Roman"/>
          <w:b w:val="false"/>
          <w:bCs w:val="false"/>
          <w:i w:val="false"/>
          <w:iCs w:val="false"/>
          <w:sz w:val="21"/>
          <w:szCs w:val="21"/>
        </w:rPr>
        <w:t xml:space="preserve">D. При метастатической болезни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Неоадъювантная терапия предшествует локальному лечению, адъювантная следует за ним, периоперационная включает оба этапа. Дополнительная ценность неоадъювантного подхода — возможность in vivo оценить чувствительность опухоли по степени патоморфологического ответа.</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g_6sd7ef3jy13pargdeb8">
        <w:r>
          <w:rPr>
            <w:rStyle w:val="Hyperlink"/>
            <w:rFonts w:ascii="Times New Roman" w:cs="Times New Roman" w:eastAsia="Times New Roman" w:hAnsi="Times New Roman"/>
            <w:sz w:val="20"/>
            <w:szCs w:val="20"/>
          </w:rPr>
          <w:t xml:space="preserve">Практические рекомендации RUSSCO</w:t>
        </w:r>
      </w:hyperlink>
    </w:p>
    <w:p>
      <w:pPr>
        <w:spacing w:after="60" w:line="276"/>
      </w:pPr>
      <w:r>
        <w:rPr>
          <w:rFonts w:ascii="Times New Roman" w:cs="Times New Roman" w:eastAsia="Times New Roman" w:hAnsi="Times New Roman"/>
          <w:b/>
          <w:bCs/>
          <w:i w:val="false"/>
          <w:iCs w:val="false"/>
          <w:sz w:val="22"/>
          <w:szCs w:val="22"/>
        </w:rPr>
        <w:t xml:space="preserve">6. При экстравазации везиканта (например, антрациклина) первоочередные действия:</w:t>
      </w:r>
    </w:p>
    <w:p>
      <w:pPr>
        <w:spacing w:after="30" w:line="250"/>
        <w:ind w:left="340"/>
      </w:pPr>
      <w:r>
        <w:rPr>
          <w:rFonts w:ascii="Times New Roman" w:cs="Times New Roman" w:eastAsia="Times New Roman" w:hAnsi="Times New Roman"/>
          <w:b w:val="false"/>
          <w:bCs w:val="false"/>
          <w:i w:val="false"/>
          <w:iCs w:val="false"/>
          <w:sz w:val="21"/>
          <w:szCs w:val="21"/>
        </w:rPr>
        <w:t xml:space="preserve">A. Немедленно прекратить введение, аспирировать остаток через катетер, не удаляя его сразу, приподнять конечность и применить местные меры и антидот при наличии</w:t>
      </w:r>
    </w:p>
    <w:p>
      <w:pPr>
        <w:spacing w:after="30" w:line="250"/>
        <w:ind w:left="340"/>
      </w:pPr>
      <w:r>
        <w:rPr>
          <w:rFonts w:ascii="Times New Roman" w:cs="Times New Roman" w:eastAsia="Times New Roman" w:hAnsi="Times New Roman"/>
          <w:b w:val="false"/>
          <w:bCs w:val="false"/>
          <w:i w:val="false"/>
          <w:iCs w:val="false"/>
          <w:sz w:val="21"/>
          <w:szCs w:val="21"/>
        </w:rPr>
        <w:t xml:space="preserve">B. Ввести физиологический раствор в место экстравазации</w:t>
      </w:r>
    </w:p>
    <w:p>
      <w:pPr>
        <w:spacing w:after="30" w:line="250"/>
        <w:ind w:left="340"/>
      </w:pPr>
      <w:r>
        <w:rPr>
          <w:rFonts w:ascii="Times New Roman" w:cs="Times New Roman" w:eastAsia="Times New Roman" w:hAnsi="Times New Roman"/>
          <w:b w:val="false"/>
          <w:bCs w:val="false"/>
          <w:i w:val="false"/>
          <w:iCs w:val="false"/>
          <w:sz w:val="21"/>
          <w:szCs w:val="21"/>
        </w:rPr>
        <w:t xml:space="preserve">C. Продолжить введение медленнее</w:t>
      </w:r>
    </w:p>
    <w:p>
      <w:pPr>
        <w:spacing w:after="30" w:line="250"/>
        <w:ind w:left="340"/>
      </w:pPr>
      <w:r>
        <w:rPr>
          <w:rFonts w:ascii="Times New Roman" w:cs="Times New Roman" w:eastAsia="Times New Roman" w:hAnsi="Times New Roman"/>
          <w:b w:val="false"/>
          <w:bCs w:val="false"/>
          <w:i w:val="false"/>
          <w:iCs w:val="false"/>
          <w:sz w:val="21"/>
          <w:szCs w:val="21"/>
        </w:rPr>
        <w:t xml:space="preserve">D. Наложить давящую повязку и согреть область</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Введение прекращается немедленно; через катетер аспирируется остаток препарата, и лишь затем катетер удаляется. Далее — возвышенное положение конечности, сухой холод для антрациклинов (для алкалоидов барвинка, напротив, тепло), при экстравазации антрациклинов рассматривается дексразоксан. Обязательны маркировка границ поражения, фотофиксация, документирование и консультация хирурга при некрозе.</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yqilcekfmihgfstd8e73z">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spacing w:after="60" w:line="276"/>
      </w:pPr>
      <w:r>
        <w:rPr>
          <w:rFonts w:ascii="Times New Roman" w:cs="Times New Roman" w:eastAsia="Times New Roman" w:hAnsi="Times New Roman"/>
          <w:b/>
          <w:bCs/>
          <w:i w:val="false"/>
          <w:iCs w:val="false"/>
          <w:sz w:val="22"/>
          <w:szCs w:val="22"/>
        </w:rPr>
        <w:t xml:space="preserve">7. Биоаналог отличается от оригинального препарата тем, что:</w:t>
      </w:r>
    </w:p>
    <w:p>
      <w:pPr>
        <w:spacing w:after="30" w:line="250"/>
        <w:ind w:left="340"/>
      </w:pPr>
      <w:r>
        <w:rPr>
          <w:rFonts w:ascii="Times New Roman" w:cs="Times New Roman" w:eastAsia="Times New Roman" w:hAnsi="Times New Roman"/>
          <w:b w:val="false"/>
          <w:bCs w:val="false"/>
          <w:i w:val="false"/>
          <w:iCs w:val="false"/>
          <w:sz w:val="21"/>
          <w:szCs w:val="21"/>
        </w:rPr>
        <w:t xml:space="preserve">A. Не требует клинических исследований</w:t>
      </w:r>
    </w:p>
    <w:p>
      <w:pPr>
        <w:spacing w:after="30" w:line="250"/>
        <w:ind w:left="340"/>
      </w:pPr>
      <w:r>
        <w:rPr>
          <w:rFonts w:ascii="Times New Roman" w:cs="Times New Roman" w:eastAsia="Times New Roman" w:hAnsi="Times New Roman"/>
          <w:b w:val="false"/>
          <w:bCs w:val="false"/>
          <w:i w:val="false"/>
          <w:iCs w:val="false"/>
          <w:sz w:val="21"/>
          <w:szCs w:val="21"/>
        </w:rPr>
        <w:t xml:space="preserve">B. Имеет иной механизм действия</w:t>
      </w:r>
    </w:p>
    <w:p>
      <w:pPr>
        <w:spacing w:after="30" w:line="250"/>
        <w:ind w:left="340"/>
      </w:pPr>
      <w:r>
        <w:rPr>
          <w:rFonts w:ascii="Times New Roman" w:cs="Times New Roman" w:eastAsia="Times New Roman" w:hAnsi="Times New Roman"/>
          <w:b w:val="false"/>
          <w:bCs w:val="false"/>
          <w:i w:val="false"/>
          <w:iCs w:val="false"/>
          <w:sz w:val="21"/>
          <w:szCs w:val="21"/>
        </w:rPr>
        <w:t xml:space="preserve">C. Полностью идентичен по химической структуре, как дженерик</w:t>
      </w:r>
    </w:p>
    <w:p>
      <w:pPr>
        <w:spacing w:after="30" w:line="250"/>
        <w:ind w:left="340"/>
      </w:pPr>
      <w:r>
        <w:rPr>
          <w:rFonts w:ascii="Times New Roman" w:cs="Times New Roman" w:eastAsia="Times New Roman" w:hAnsi="Times New Roman"/>
          <w:b w:val="false"/>
          <w:bCs w:val="false"/>
          <w:i w:val="false"/>
          <w:iCs w:val="false"/>
          <w:sz w:val="21"/>
          <w:szCs w:val="21"/>
        </w:rPr>
        <w:t xml:space="preserve">D. Является биологическим препаратом, сходство которого с оригиналом подтверждено сравнительными исследованиями качества, эффективности и безопасности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Биологические препараты невозможно воспроизвести абсолютно точно, поэтому для биоаналога требуется программа сравнительных исследований. Это отличает его от дженерика химического препарата, где достаточно доказательства биоэквивалентности. Замена оригинала биоаналогом допустима, но должна документироваться.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u2wakqqs-lhmn110yo3mi">
        <w:r>
          <w:rPr>
            <w:rStyle w:val="Hyperlink"/>
            <w:rFonts w:ascii="Times New Roman" w:cs="Times New Roman" w:eastAsia="Times New Roman" w:hAnsi="Times New Roman"/>
            <w:sz w:val="20"/>
            <w:szCs w:val="20"/>
          </w:rPr>
          <w:t xml:space="preserve">Практические рекомендации RUSSCO</w:t>
        </w:r>
      </w:hyperlink>
    </w:p>
    <w:p>
      <w:pPr>
        <w:spacing w:after="60" w:line="276"/>
      </w:pPr>
      <w:r>
        <w:rPr>
          <w:rFonts w:ascii="Times New Roman" w:cs="Times New Roman" w:eastAsia="Times New Roman" w:hAnsi="Times New Roman"/>
          <w:b/>
          <w:bCs/>
          <w:i w:val="false"/>
          <w:iCs w:val="false"/>
          <w:sz w:val="22"/>
          <w:szCs w:val="22"/>
        </w:rPr>
        <w:t xml:space="preserve">8. При каком уровне нейтрофилов, как правило, откладывается очередной цикл миелосупрессивной химиотерапии?</w:t>
      </w:r>
    </w:p>
    <w:p>
      <w:pPr>
        <w:spacing w:after="30" w:line="250"/>
        <w:ind w:left="340"/>
      </w:pPr>
      <w:r>
        <w:rPr>
          <w:rFonts w:ascii="Times New Roman" w:cs="Times New Roman" w:eastAsia="Times New Roman" w:hAnsi="Times New Roman"/>
          <w:b w:val="false"/>
          <w:bCs w:val="false"/>
          <w:i w:val="false"/>
          <w:iCs w:val="false"/>
          <w:sz w:val="21"/>
          <w:szCs w:val="21"/>
        </w:rPr>
        <w:t xml:space="preserve">A. Менее 0,5 × 10⁹/л</w:t>
      </w:r>
    </w:p>
    <w:p>
      <w:pPr>
        <w:spacing w:after="30" w:line="250"/>
        <w:ind w:left="340"/>
      </w:pPr>
      <w:r>
        <w:rPr>
          <w:rFonts w:ascii="Times New Roman" w:cs="Times New Roman" w:eastAsia="Times New Roman" w:hAnsi="Times New Roman"/>
          <w:b w:val="false"/>
          <w:bCs w:val="false"/>
          <w:i w:val="false"/>
          <w:iCs w:val="false"/>
          <w:sz w:val="21"/>
          <w:szCs w:val="21"/>
        </w:rPr>
        <w:t xml:space="preserve">B. Менее 2,0 × 10⁹/л</w:t>
      </w:r>
    </w:p>
    <w:p>
      <w:pPr>
        <w:spacing w:after="30" w:line="250"/>
        <w:ind w:left="340"/>
      </w:pPr>
      <w:r>
        <w:rPr>
          <w:rFonts w:ascii="Times New Roman" w:cs="Times New Roman" w:eastAsia="Times New Roman" w:hAnsi="Times New Roman"/>
          <w:b w:val="false"/>
          <w:bCs w:val="false"/>
          <w:i w:val="false"/>
          <w:iCs w:val="false"/>
          <w:sz w:val="21"/>
          <w:szCs w:val="21"/>
        </w:rPr>
        <w:t xml:space="preserve">C. Уровень нейтрофилов значения не имеет</w:t>
      </w:r>
    </w:p>
    <w:p>
      <w:pPr>
        <w:spacing w:after="30" w:line="250"/>
        <w:ind w:left="340"/>
      </w:pPr>
      <w:r>
        <w:rPr>
          <w:rFonts w:ascii="Times New Roman" w:cs="Times New Roman" w:eastAsia="Times New Roman" w:hAnsi="Times New Roman"/>
          <w:b w:val="false"/>
          <w:bCs w:val="false"/>
          <w:i w:val="false"/>
          <w:iCs w:val="false"/>
          <w:sz w:val="21"/>
          <w:szCs w:val="21"/>
        </w:rPr>
        <w:t xml:space="preserve">D. Менее 1,5 × 10⁹/л</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Общепринятый порог для начала очередного цикла — нейтрофилы не менее 1,5 × 10⁹/л и тромбоциты не менее 100 × 10⁹/л, если протокол не предусматривает иного. При повторных отсрочках или фебрильной нейтропении в анамнезе решается вопрос о редукции дозы либо о первичной профилактике Г-КСФ — выбор зависит от цели лечения: при радикальной задаче предпочтительна поддержка колониестимулирующими факторами, а не снижение дозы.</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olnrdehmg__aokitxqvmi">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spacing w:after="60" w:line="276"/>
      </w:pPr>
      <w:r>
        <w:rPr>
          <w:rFonts w:ascii="Times New Roman" w:cs="Times New Roman" w:eastAsia="Times New Roman" w:hAnsi="Times New Roman"/>
          <w:b/>
          <w:bCs/>
          <w:i w:val="false"/>
          <w:iCs w:val="false"/>
          <w:sz w:val="22"/>
          <w:szCs w:val="22"/>
        </w:rPr>
        <w:t xml:space="preserve">9. По критериям RECIST 1.1 частичный ответ определяется как:</w:t>
      </w:r>
    </w:p>
    <w:p>
      <w:pPr>
        <w:spacing w:after="30" w:line="250"/>
        <w:ind w:left="340"/>
      </w:pPr>
      <w:r>
        <w:rPr>
          <w:rFonts w:ascii="Times New Roman" w:cs="Times New Roman" w:eastAsia="Times New Roman" w:hAnsi="Times New Roman"/>
          <w:b w:val="false"/>
          <w:bCs w:val="false"/>
          <w:i w:val="false"/>
          <w:iCs w:val="false"/>
          <w:sz w:val="21"/>
          <w:szCs w:val="21"/>
        </w:rPr>
        <w:t xml:space="preserve">A. Уменьшение объёма опухоли на 30 %</w:t>
      </w:r>
    </w:p>
    <w:p>
      <w:pPr>
        <w:spacing w:after="30" w:line="250"/>
        <w:ind w:left="340"/>
      </w:pPr>
      <w:r>
        <w:rPr>
          <w:rFonts w:ascii="Times New Roman" w:cs="Times New Roman" w:eastAsia="Times New Roman" w:hAnsi="Times New Roman"/>
          <w:b w:val="false"/>
          <w:bCs w:val="false"/>
          <w:i w:val="false"/>
          <w:iCs w:val="false"/>
          <w:sz w:val="21"/>
          <w:szCs w:val="21"/>
        </w:rPr>
        <w:t xml:space="preserve">B. Уменьшение не менее чем на 50 %</w:t>
      </w:r>
    </w:p>
    <w:p>
      <w:pPr>
        <w:spacing w:after="30" w:line="250"/>
        <w:ind w:left="340"/>
      </w:pPr>
      <w:r>
        <w:rPr>
          <w:rFonts w:ascii="Times New Roman" w:cs="Times New Roman" w:eastAsia="Times New Roman" w:hAnsi="Times New Roman"/>
          <w:b w:val="false"/>
          <w:bCs w:val="false"/>
          <w:i w:val="false"/>
          <w:iCs w:val="false"/>
          <w:sz w:val="21"/>
          <w:szCs w:val="21"/>
        </w:rPr>
        <w:t xml:space="preserve">C. Любое уменьшение размеров</w:t>
      </w:r>
    </w:p>
    <w:p>
      <w:pPr>
        <w:spacing w:after="30" w:line="250"/>
        <w:ind w:left="340"/>
      </w:pPr>
      <w:r>
        <w:rPr>
          <w:rFonts w:ascii="Times New Roman" w:cs="Times New Roman" w:eastAsia="Times New Roman" w:hAnsi="Times New Roman"/>
          <w:b w:val="false"/>
          <w:bCs w:val="false"/>
          <w:i w:val="false"/>
          <w:iCs w:val="false"/>
          <w:sz w:val="21"/>
          <w:szCs w:val="21"/>
        </w:rPr>
        <w:t xml:space="preserve">D. Уменьшение суммы наибольших диаметров таргетных очагов не менее чем на 30 %</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Частичный ответ — уменьшение суммы наибольших диаметров таргетных очагов не менее чем на 30 % от исходной. Прогрессирование — увеличение не менее чем на 20 % при абсолютном приросте не менее 5 мм либо появление новых очагов. Оценивается сумма диаметров, а не объём.</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6figlyhfaafzd3uy30ozg">
        <w:r>
          <w:rPr>
            <w:rStyle w:val="Hyperlink"/>
            <w:rFonts w:ascii="Times New Roman" w:cs="Times New Roman" w:eastAsia="Times New Roman" w:hAnsi="Times New Roman"/>
            <w:sz w:val="20"/>
            <w:szCs w:val="20"/>
          </w:rPr>
          <w:t xml:space="preserve">RECIST 1.1</w:t>
        </w:r>
      </w:hyperlink>
    </w:p>
    <w:p>
      <w:pPr>
        <w:spacing w:after="60" w:line="276"/>
      </w:pPr>
      <w:r>
        <w:rPr>
          <w:rFonts w:ascii="Times New Roman" w:cs="Times New Roman" w:eastAsia="Times New Roman" w:hAnsi="Times New Roman"/>
          <w:b/>
          <w:bCs/>
          <w:i w:val="false"/>
          <w:iCs w:val="false"/>
          <w:sz w:val="22"/>
          <w:szCs w:val="22"/>
        </w:rPr>
        <w:t xml:space="preserve">10. Пациенту с клиренсом креатинина 35 мл/мин планируется цисплатин. Тактика?</w:t>
      </w:r>
    </w:p>
    <w:p>
      <w:pPr>
        <w:spacing w:after="30" w:line="250"/>
        <w:ind w:left="340"/>
      </w:pPr>
      <w:r>
        <w:rPr>
          <w:rFonts w:ascii="Times New Roman" w:cs="Times New Roman" w:eastAsia="Times New Roman" w:hAnsi="Times New Roman"/>
          <w:b w:val="false"/>
          <w:bCs w:val="false"/>
          <w:i w:val="false"/>
          <w:iCs w:val="false"/>
          <w:sz w:val="21"/>
          <w:szCs w:val="21"/>
        </w:rPr>
        <w:t xml:space="preserve">A. Рассмотреть замену на карбоплатин с расчётом дозы по формуле Калверта либо иной режим</w:t>
      </w:r>
    </w:p>
    <w:p>
      <w:pPr>
        <w:spacing w:after="30" w:line="250"/>
        <w:ind w:left="340"/>
      </w:pPr>
      <w:r>
        <w:rPr>
          <w:rFonts w:ascii="Times New Roman" w:cs="Times New Roman" w:eastAsia="Times New Roman" w:hAnsi="Times New Roman"/>
          <w:b w:val="false"/>
          <w:bCs w:val="false"/>
          <w:i w:val="false"/>
          <w:iCs w:val="false"/>
          <w:sz w:val="21"/>
          <w:szCs w:val="21"/>
        </w:rPr>
        <w:t xml:space="preserve">B. Снизить дозу цисплатина вдвое</w:t>
      </w:r>
    </w:p>
    <w:p>
      <w:pPr>
        <w:spacing w:after="30" w:line="250"/>
        <w:ind w:left="340"/>
      </w:pPr>
      <w:r>
        <w:rPr>
          <w:rFonts w:ascii="Times New Roman" w:cs="Times New Roman" w:eastAsia="Times New Roman" w:hAnsi="Times New Roman"/>
          <w:b w:val="false"/>
          <w:bCs w:val="false"/>
          <w:i w:val="false"/>
          <w:iCs w:val="false"/>
          <w:sz w:val="21"/>
          <w:szCs w:val="21"/>
        </w:rPr>
        <w:t xml:space="preserve">C. Отказаться от лекарственной терапии</w:t>
      </w:r>
    </w:p>
    <w:p>
      <w:pPr>
        <w:spacing w:after="30" w:line="250"/>
        <w:ind w:left="340"/>
      </w:pPr>
      <w:r>
        <w:rPr>
          <w:rFonts w:ascii="Times New Roman" w:cs="Times New Roman" w:eastAsia="Times New Roman" w:hAnsi="Times New Roman"/>
          <w:b w:val="false"/>
          <w:bCs w:val="false"/>
          <w:i w:val="false"/>
          <w:iCs w:val="false"/>
          <w:sz w:val="21"/>
          <w:szCs w:val="21"/>
        </w:rPr>
        <w:t xml:space="preserve">D. Назначить цисплатин в полной дозе с усиленной гидратацией</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Цисплатин нефротоксичен и при значимом снижении клиренса креатинина, как правило, не применяется. Стандартное решение — замена на карбоплатин с дозированием по целевой AUC либо выбор режима без препаратов платины. Произвольное уменьшение дозы цисплатина вдвое не решает проблему нефротоксичности и снижает эффективность.</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dbtrgycxoahyi8ohktoxa">
        <w:r>
          <w:rPr>
            <w:rStyle w:val="Hyperlink"/>
            <w:rFonts w:ascii="Times New Roman" w:cs="Times New Roman" w:eastAsia="Times New Roman" w:hAnsi="Times New Roman"/>
            <w:sz w:val="20"/>
            <w:szCs w:val="20"/>
          </w:rPr>
          <w:t xml:space="preserve">Протоколы лекарственной терапии RUSSCO</w:t>
        </w:r>
      </w:hyperlink>
    </w:p>
    <w:p>
      <w:r>
        <w:br w:type="page"/>
      </w:r>
    </w:p>
    <w:p>
      <w:pPr>
        <w:pStyle w:val="Heading2"/>
        <w:spacing w:after="130" w:before="260"/>
      </w:pPr>
      <w:r>
        <w:rPr>
          <w:rFonts w:ascii="Times New Roman" w:cs="Times New Roman" w:eastAsia="Times New Roman" w:hAnsi="Times New Roman"/>
          <w:b/>
          <w:bCs/>
          <w:sz w:val="26"/>
          <w:szCs w:val="26"/>
        </w:rPr>
        <w:t xml:space="preserve">Б2. Клинические задачи</w:t>
      </w:r>
    </w:p>
    <w:p>
      <w:pPr>
        <w:pStyle w:val="Heading3"/>
        <w:spacing w:after="130" w:before="260"/>
      </w:pPr>
      <w:r>
        <w:rPr>
          <w:rFonts w:ascii="Times New Roman" w:cs="Times New Roman" w:eastAsia="Times New Roman" w:hAnsi="Times New Roman"/>
          <w:b/>
          <w:bCs/>
          <w:sz w:val="23"/>
          <w:szCs w:val="23"/>
        </w:rPr>
        <w:t xml:space="preserve">Задача 1. Расчёт и оформление назначения</w:t>
      </w:r>
    </w:p>
    <w:p>
      <w:pPr>
        <w:spacing w:after="120" w:line="276"/>
      </w:pPr>
      <w:r>
        <w:rPr>
          <w:rFonts w:ascii="Times New Roman" w:cs="Times New Roman" w:eastAsia="Times New Roman" w:hAnsi="Times New Roman"/>
          <w:b w:val="false"/>
          <w:bCs w:val="false"/>
          <w:i w:val="false"/>
          <w:iCs w:val="false"/>
          <w:sz w:val="22"/>
          <w:szCs w:val="22"/>
        </w:rPr>
        <w:t xml:space="preserve">Женщина 63 лет, рост 162 см, масса 78 кг, креатинин 82 мкмоль/л. Планируется карбоплатин AUC 5 с паклитакселом 175 мг/м² каждые 3 недели.</w:t>
      </w:r>
    </w:p>
    <w:p>
      <w:pPr>
        <w:spacing w:after="120" w:line="276"/>
      </w:pPr>
      <w:r>
        <w:rPr>
          <w:rFonts w:ascii="Times New Roman" w:cs="Times New Roman" w:eastAsia="Times New Roman" w:hAnsi="Times New Roman"/>
          <w:b/>
          <w:bCs/>
          <w:i w:val="false"/>
          <w:iCs w:val="false"/>
          <w:sz w:val="22"/>
          <w:szCs w:val="22"/>
        </w:rPr>
        <w:t xml:space="preserve">Вопросы: 1) Как рассчитать дозы? 2) Что включить в премедикацию? 3) Что должно быть в листе назначений?</w:t>
      </w:r>
    </w:p>
    <w:p>
      <w:pPr>
        <w:spacing w:after="60" w:line="270"/>
      </w:pPr>
      <w:r>
        <w:rPr>
          <w:rFonts w:ascii="Times New Roman" w:cs="Times New Roman" w:eastAsia="Times New Roman" w:hAnsi="Times New Roman"/>
          <w:b w:val="false"/>
          <w:bCs w:val="false"/>
          <w:i/>
          <w:iCs/>
          <w:sz w:val="21"/>
          <w:szCs w:val="21"/>
        </w:rPr>
        <w:t xml:space="preserve">Эталонный ответ. Площадь поверхности тела рассчитывается по стандартной формуле (около 1,83 м²), доза паклитаксела — 175 мг/м² от фактической площади, без произвольного ограничения. Для карбоплатина рассчитывается СКФ, доза равна AUC 5, умноженной на сумму СКФ и 25. Премедикация перед паклитакселом обязательна: глюкокортикоид, блокатор H1- и H2-рецепторов — из-за риска реакций гиперчувствительности на растворитель. Антиэметическая профилактика соответствует умеренно-высокому эметогенному потенциалу. В листе назначений фиксируются: расчётные параметры, целевая AUC и использованная формула СКФ, доза и длительность инфузии каждого препарата, порядок введения, премедикация, сопроводительная терапия и контрольные показатели перед следующим циклом.</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d_pthipmyzminbxbwiskw">
        <w:r>
          <w:rPr>
            <w:rStyle w:val="Hyperlink"/>
            <w:rFonts w:ascii="Times New Roman" w:cs="Times New Roman" w:eastAsia="Times New Roman" w:hAnsi="Times New Roman"/>
            <w:sz w:val="20"/>
            <w:szCs w:val="20"/>
          </w:rPr>
          <w:t xml:space="preserve">Формула Калверта</w:t>
        </w:r>
      </w:hyperlink>
      <w:r>
        <w:rPr>
          <w:rFonts w:ascii="Times New Roman" w:cs="Times New Roman" w:eastAsia="Times New Roman" w:hAnsi="Times New Roman"/>
          <w:b w:val="false"/>
          <w:bCs w:val="false"/>
          <w:i w:val="false"/>
          <w:iCs w:val="false"/>
          <w:sz w:val="20"/>
          <w:szCs w:val="20"/>
        </w:rPr>
        <w:t xml:space="preserve"> · </w:t>
      </w:r>
      <w:hyperlink w:history="1" r:id="rIdi4di5rhbnpfr4_xafven9">
        <w:r>
          <w:rPr>
            <w:rStyle w:val="Hyperlink"/>
            <w:rFonts w:ascii="Times New Roman" w:cs="Times New Roman" w:eastAsia="Times New Roman" w:hAnsi="Times New Roman"/>
            <w:sz w:val="20"/>
            <w:szCs w:val="20"/>
          </w:rPr>
          <w:t xml:space="preserve">Протоколы RUSSCO</w:t>
        </w:r>
      </w:hyperlink>
    </w:p>
    <w:p>
      <w:pPr>
        <w:pStyle w:val="Heading3"/>
        <w:spacing w:after="130" w:before="260"/>
      </w:pPr>
      <w:r>
        <w:rPr>
          <w:rFonts w:ascii="Times New Roman" w:cs="Times New Roman" w:eastAsia="Times New Roman" w:hAnsi="Times New Roman"/>
          <w:b/>
          <w:bCs/>
          <w:sz w:val="23"/>
          <w:szCs w:val="23"/>
        </w:rPr>
        <w:t xml:space="preserve">Задача 2. Тяжёлая токсичность после первого цикла</w:t>
      </w:r>
    </w:p>
    <w:p>
      <w:pPr>
        <w:spacing w:after="120" w:line="276"/>
      </w:pPr>
      <w:r>
        <w:rPr>
          <w:rFonts w:ascii="Times New Roman" w:cs="Times New Roman" w:eastAsia="Times New Roman" w:hAnsi="Times New Roman"/>
          <w:b w:val="false"/>
          <w:bCs w:val="false"/>
          <w:i w:val="false"/>
          <w:iCs w:val="false"/>
          <w:sz w:val="22"/>
          <w:szCs w:val="22"/>
        </w:rPr>
        <w:t xml:space="preserve">Мужчина 60 лет получил первый цикл FOLFOX. На 7-й день — нейтрофилы 0,2 × 10⁹/л, тромбоциты 40 × 10⁹/л, тяжёлый мукозит, диарея 6 раз в сутки. Ранее химиотерапию не получал.</w:t>
      </w:r>
    </w:p>
    <w:p>
      <w:pPr>
        <w:spacing w:after="120" w:line="276"/>
      </w:pPr>
      <w:r>
        <w:rPr>
          <w:rFonts w:ascii="Times New Roman" w:cs="Times New Roman" w:eastAsia="Times New Roman" w:hAnsi="Times New Roman"/>
          <w:b/>
          <w:bCs/>
          <w:i w:val="false"/>
          <w:iCs w:val="false"/>
          <w:sz w:val="22"/>
          <w:szCs w:val="22"/>
        </w:rPr>
        <w:t xml:space="preserve">Вопросы: 1) О чём заставляет думать такая картина? 2) Неотложные действия? 3) Как поступить с дальнейшим лечением?</w:t>
      </w:r>
    </w:p>
    <w:p>
      <w:pPr>
        <w:spacing w:after="60" w:line="270"/>
      </w:pPr>
      <w:r>
        <w:rPr>
          <w:rFonts w:ascii="Times New Roman" w:cs="Times New Roman" w:eastAsia="Times New Roman" w:hAnsi="Times New Roman"/>
          <w:b w:val="false"/>
          <w:bCs w:val="false"/>
          <w:i/>
          <w:iCs/>
          <w:sz w:val="21"/>
          <w:szCs w:val="21"/>
        </w:rPr>
        <w:t xml:space="preserve">Эталонный ответ. Столь тяжёлая токсичность после первого цикла типична для дефицита DPD. Неотложно: госпитализация, оценка на фебрильную нейтропению и при лихорадке — эмпирическая антибактериальная терапия в течение первого часа, Г-КСФ, регидратация, лечение мукозита и диареи; при подтверждённом дефиците DPD рассматривается введение уридинтриацетата при его доступности. Обязательно тестирование DPYD. При частичном дефиците дальнейшая терапия возможна с существенно сниженной дозой и тщательным мониторингом, при полном — фторпиримидины противопоказаны и требуется альтернативный режим. Результат должен быть внесён в медицинскую документацию, а пациент — информирован, чтобы предупреждать врачей в будущем.</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llydzwe6mahfs3runqegk">
        <w:r>
          <w:rPr>
            <w:rStyle w:val="Hyperlink"/>
            <w:rFonts w:ascii="Times New Roman" w:cs="Times New Roman" w:eastAsia="Times New Roman" w:hAnsi="Times New Roman"/>
            <w:sz w:val="20"/>
            <w:szCs w:val="20"/>
          </w:rPr>
          <w:t xml:space="preserve">Фармакогенетика DPYD</w:t>
        </w:r>
      </w:hyperlink>
      <w:r>
        <w:rPr>
          <w:rFonts w:ascii="Times New Roman" w:cs="Times New Roman" w:eastAsia="Times New Roman" w:hAnsi="Times New Roman"/>
          <w:b w:val="false"/>
          <w:bCs w:val="false"/>
          <w:i w:val="false"/>
          <w:iCs w:val="false"/>
          <w:sz w:val="20"/>
          <w:szCs w:val="20"/>
        </w:rPr>
        <w:t xml:space="preserve"> · </w:t>
      </w:r>
      <w:hyperlink w:history="1" r:id="rIdematetbqczgwxzxuxau3e">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pStyle w:val="Heading3"/>
        <w:spacing w:after="130" w:before="260"/>
      </w:pPr>
      <w:r>
        <w:rPr>
          <w:rFonts w:ascii="Times New Roman" w:cs="Times New Roman" w:eastAsia="Times New Roman" w:hAnsi="Times New Roman"/>
          <w:b/>
          <w:bCs/>
          <w:sz w:val="23"/>
          <w:szCs w:val="23"/>
        </w:rPr>
        <w:t xml:space="preserve">Задача 3. Сопутствующая терапия и взаимодействия</w:t>
      </w:r>
    </w:p>
    <w:p>
      <w:pPr>
        <w:spacing w:after="120" w:line="276"/>
      </w:pPr>
      <w:r>
        <w:rPr>
          <w:rFonts w:ascii="Times New Roman" w:cs="Times New Roman" w:eastAsia="Times New Roman" w:hAnsi="Times New Roman"/>
          <w:b w:val="false"/>
          <w:bCs w:val="false"/>
          <w:i w:val="false"/>
          <w:iCs w:val="false"/>
          <w:sz w:val="22"/>
          <w:szCs w:val="22"/>
        </w:rPr>
        <w:t xml:space="preserve">Пациент 71 года получает ингибитор тирозинкиназы внутрь. Принимает омепразол по поводу гастроэзофагеальной рефлюксной болезни, амиодарон, аторвастатин и зверобой, назначенный себе самостоятельно «для настроения».</w:t>
      </w:r>
    </w:p>
    <w:p>
      <w:pPr>
        <w:spacing w:after="120" w:line="276"/>
      </w:pPr>
      <w:r>
        <w:rPr>
          <w:rFonts w:ascii="Times New Roman" w:cs="Times New Roman" w:eastAsia="Times New Roman" w:hAnsi="Times New Roman"/>
          <w:b/>
          <w:bCs/>
          <w:i w:val="false"/>
          <w:iCs w:val="false"/>
          <w:sz w:val="22"/>
          <w:szCs w:val="22"/>
        </w:rPr>
        <w:t xml:space="preserve">Вопросы: 1) Какие взаимодействия наиболее опасны? 2) Что проверить? 3) Какие рекомендации дать?</w:t>
      </w:r>
    </w:p>
    <w:p>
      <w:pPr>
        <w:spacing w:after="60" w:line="270"/>
      </w:pPr>
      <w:r>
        <w:rPr>
          <w:rFonts w:ascii="Times New Roman" w:cs="Times New Roman" w:eastAsia="Times New Roman" w:hAnsi="Times New Roman"/>
          <w:b w:val="false"/>
          <w:bCs w:val="false"/>
          <w:i/>
          <w:iCs/>
          <w:sz w:val="21"/>
          <w:szCs w:val="21"/>
        </w:rPr>
        <w:t xml:space="preserve">Эталонный ответ. Ингибиторы протонной помпы существенно снижают всасывание ряда пероральных ингибиторов тирозинкиназ за счёт повышения pH желудочного содержимого — эффективность лечения может быть утрачена. Зверобой является мощным индуктором CYP3A4 и снижает концентрацию многих противоопухолевых препаратов; его приём недопустим. Амиодарон в сочетании с препаратами, удлиняющими интервал QT, повышает риск тяжёлых аритмий, требуется контроль ЭКГ и электролитов. Каждое сочетание проверяется в профильной базе. Пациенту разъясняется, что безрецептурные средства и растительные препараты — тоже лекарства, и любые дополнения к терапии согласуются с онкологом.</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chwt6cofg4kelsrbxm-no">
        <w:r>
          <w:rPr>
            <w:rStyle w:val="Hyperlink"/>
            <w:rFonts w:ascii="Times New Roman" w:cs="Times New Roman" w:eastAsia="Times New Roman" w:hAnsi="Times New Roman"/>
            <w:sz w:val="20"/>
            <w:szCs w:val="20"/>
          </w:rPr>
          <w:t xml:space="preserve">Liverpool Cancer Drug Interactions</w:t>
        </w:r>
      </w:hyperlink>
      <w:r>
        <w:rPr>
          <w:rFonts w:ascii="Times New Roman" w:cs="Times New Roman" w:eastAsia="Times New Roman" w:hAnsi="Times New Roman"/>
          <w:b w:val="false"/>
          <w:bCs w:val="false"/>
          <w:i w:val="false"/>
          <w:iCs w:val="false"/>
          <w:sz w:val="20"/>
          <w:szCs w:val="20"/>
        </w:rPr>
        <w:t xml:space="preserve"> · </w:t>
      </w:r>
      <w:hyperlink w:history="1" r:id="rIdlvk1dnb0nqxpcxspvlx2t">
        <w:r>
          <w:rPr>
            <w:rStyle w:val="Hyperlink"/>
            <w:rFonts w:ascii="Times New Roman" w:cs="Times New Roman" w:eastAsia="Times New Roman" w:hAnsi="Times New Roman"/>
            <w:sz w:val="20"/>
            <w:szCs w:val="20"/>
          </w:rPr>
          <w:t xml:space="preserve">Протоколы RUSSCO</w:t>
        </w:r>
      </w:hyperlink>
    </w:p>
    <w:p>
      <w:pPr>
        <w:pStyle w:val="Heading3"/>
        <w:spacing w:after="130" w:before="260"/>
      </w:pPr>
      <w:r>
        <w:rPr>
          <w:rFonts w:ascii="Times New Roman" w:cs="Times New Roman" w:eastAsia="Times New Roman" w:hAnsi="Times New Roman"/>
          <w:b/>
          <w:bCs/>
          <w:sz w:val="23"/>
          <w:szCs w:val="23"/>
        </w:rPr>
        <w:t xml:space="preserve">Задача 4. Оценка эффекта</w:t>
      </w:r>
    </w:p>
    <w:p>
      <w:pPr>
        <w:spacing w:after="120" w:line="276"/>
      </w:pPr>
      <w:r>
        <w:rPr>
          <w:rFonts w:ascii="Times New Roman" w:cs="Times New Roman" w:eastAsia="Times New Roman" w:hAnsi="Times New Roman"/>
          <w:b w:val="false"/>
          <w:bCs w:val="false"/>
          <w:i w:val="false"/>
          <w:iCs w:val="false"/>
          <w:sz w:val="22"/>
          <w:szCs w:val="22"/>
        </w:rPr>
        <w:t xml:space="preserve">После 3 циклов терапии сумма наибольших диаметров таргетных очагов уменьшилась с 92 до 71 мм. Новых очагов нет. Нетаргетный очаг в лёгком без динамики. Пациент чувствует себя лучше, набрал 3 кг.</w:t>
      </w:r>
    </w:p>
    <w:p>
      <w:pPr>
        <w:spacing w:after="120" w:line="276"/>
      </w:pPr>
      <w:r>
        <w:rPr>
          <w:rFonts w:ascii="Times New Roman" w:cs="Times New Roman" w:eastAsia="Times New Roman" w:hAnsi="Times New Roman"/>
          <w:b/>
          <w:bCs/>
          <w:i w:val="false"/>
          <w:iCs w:val="false"/>
          <w:sz w:val="22"/>
          <w:szCs w:val="22"/>
        </w:rPr>
        <w:t xml:space="preserve">Вопросы: 1) Как оценить эффект по RECIST 1.1? 2) Продолжать ли лечение? 3) Какая ошибка типична при оценке?</w:t>
      </w:r>
    </w:p>
    <w:p>
      <w:pPr>
        <w:spacing w:after="60" w:line="270"/>
      </w:pPr>
      <w:r>
        <w:rPr>
          <w:rFonts w:ascii="Times New Roman" w:cs="Times New Roman" w:eastAsia="Times New Roman" w:hAnsi="Times New Roman"/>
          <w:b w:val="false"/>
          <w:bCs w:val="false"/>
          <w:i/>
          <w:iCs/>
          <w:sz w:val="21"/>
          <w:szCs w:val="21"/>
        </w:rPr>
        <w:t xml:space="preserve">Эталонный ответ. Уменьшение составляет около 23 % — этого недостаточно для частичного ответа, требующего не менее 30 %. Формально это стабилизация. Лечение продолжается: стабилизация с клиническим улучшением — благоприятный результат, а критерии RECIST созданы для сравнения групп в исследованиях, а не для единоличного решения по конкретному больному. Типичные ошибки: оценивать разные очаги на разных исследованиях, менять методику визуализации между контролями, включать в таргетные слишком мелкие или плохо измеряемые очаги, а также ориентироваться исключительно на рентгенологическую картину, игнорируя самочувствие и функциональный статус пациента.</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a4qvjme5d-ckypzzcd4h3">
        <w:r>
          <w:rPr>
            <w:rStyle w:val="Hyperlink"/>
            <w:rFonts w:ascii="Times New Roman" w:cs="Times New Roman" w:eastAsia="Times New Roman" w:hAnsi="Times New Roman"/>
            <w:sz w:val="20"/>
            <w:szCs w:val="20"/>
          </w:rPr>
          <w:t xml:space="preserve">RECIST 1.1</w:t>
        </w:r>
      </w:hyperlink>
      <w:r>
        <w:rPr>
          <w:rFonts w:ascii="Times New Roman" w:cs="Times New Roman" w:eastAsia="Times New Roman" w:hAnsi="Times New Roman"/>
          <w:b w:val="false"/>
          <w:bCs w:val="false"/>
          <w:i w:val="false"/>
          <w:iCs w:val="false"/>
          <w:sz w:val="20"/>
          <w:szCs w:val="20"/>
        </w:rPr>
        <w:t xml:space="preserve"> · </w:t>
      </w:r>
      <w:hyperlink w:history="1" r:id="rIdqpaxs1ynfwtvwigiwpptg">
        <w:r>
          <w:rPr>
            <w:rStyle w:val="Hyperlink"/>
            <w:rFonts w:ascii="Times New Roman" w:cs="Times New Roman" w:eastAsia="Times New Roman" w:hAnsi="Times New Roman"/>
            <w:sz w:val="20"/>
            <w:szCs w:val="20"/>
          </w:rPr>
          <w:t xml:space="preserve">Практические рекомендации RUSSCO</w:t>
        </w:r>
      </w:hyperlink>
    </w:p>
    <w:p>
      <w:pPr>
        <w:pStyle w:val="Heading2"/>
        <w:spacing w:after="130" w:before="260"/>
      </w:pPr>
      <w:r>
        <w:rPr>
          <w:rFonts w:ascii="Times New Roman" w:cs="Times New Roman" w:eastAsia="Times New Roman" w:hAnsi="Times New Roman"/>
          <w:b/>
          <w:bCs/>
          <w:sz w:val="26"/>
          <w:szCs w:val="26"/>
        </w:rPr>
        <w:t xml:space="preserve">Б3. Дополнительные материалы</w:t>
      </w:r>
    </w:p>
    <w:p>
      <w:pPr>
        <w:pStyle w:val="Heading3"/>
        <w:spacing w:after="130" w:before="260"/>
      </w:pPr>
      <w:r>
        <w:rPr>
          <w:rFonts w:ascii="Times New Roman" w:cs="Times New Roman" w:eastAsia="Times New Roman" w:hAnsi="Times New Roman"/>
          <w:b/>
          <w:bCs/>
          <w:sz w:val="23"/>
          <w:szCs w:val="23"/>
        </w:rPr>
        <w:t xml:space="preserve">Вопросы для устного разбора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при радикальной задаче лечения предпочтительнее поддержка Г-КСФ, а не редукция дозы?</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 объяснить пациенту разницу между оригинальным препаратом и биоаналогом?</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Какие взаимодействия вы проверяете у каждого пациента, начинающего пероральную таргетную терапию?</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Что должно быть в протоколе назначения, чтобы его мог безопасно выполнить другой врач?</w:t>
      </w:r>
    </w:p>
    <w:p>
      <w:pPr>
        <w:pStyle w:val="Heading3"/>
        <w:spacing w:after="130" w:before="260"/>
      </w:pPr>
      <w:r>
        <w:rPr>
          <w:rFonts w:ascii="Times New Roman" w:cs="Times New Roman" w:eastAsia="Times New Roman" w:hAnsi="Times New Roman"/>
          <w:b/>
          <w:bCs/>
          <w:sz w:val="23"/>
          <w:szCs w:val="23"/>
        </w:rPr>
        <w:t xml:space="preserve">Чек-лист по теме (для дневника ординатора)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Навык</w:t>
            </w:r>
          </w:p>
        </w:tc>
        <w:tc>
          <w:tcPr>
            <w:tcW w:type="dxa" w:w="41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Отметка</w:t>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Самостоятельно рассчитал площадь поверхности тела, СКФ и дозу по формуле Калверта</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Оформил полный лист назначений цикла с премедикацией и сопроводительной терапией</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Проверил лекарственные взаимодействия в профильной базе и изменил назначение по результату</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Принял решение о редукции дозы или отсрочке цикла на основании CTCAE</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Оценил эффект лечения по критериям RECIST 1.1</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bl>
    <w:p>
      <w:pPr>
        <w:spacing w:after="120" w:line="276"/>
      </w:pPr>
      <w:r>
        <w:rPr>
          <w:rFonts w:ascii="Times New Roman" w:cs="Times New Roman" w:eastAsia="Times New Roman" w:hAnsi="Times New Roman"/>
          <w:b w:val="false"/>
          <w:bCs w:val="false"/>
          <w:i w:val="false"/>
          <w:iCs w:val="false"/>
          <w:sz w:val="22"/>
          <w:szCs w:val="22"/>
        </w:rPr>
        <w:t xml:space="preserve"/>
      </w:r>
    </w:p>
    <w:p>
      <w:pPr>
        <w:spacing w:after="120" w:line="276"/>
      </w:pPr>
      <w:r>
        <w:rPr>
          <w:rFonts w:ascii="Times New Roman" w:cs="Times New Roman" w:eastAsia="Times New Roman" w:hAnsi="Times New Roman"/>
          <w:b w:val="false"/>
          <w:bCs w:val="false"/>
          <w:i/>
          <w:iCs/>
          <w:sz w:val="22"/>
          <w:szCs w:val="22"/>
        </w:rPr>
        <w:t xml:space="preserve">Материал подготовлен по состоянию на август 2026 г. Перед началом учебного года проверить актуальность редакций клинических рекомендаций и работоспособность ссылок.</w:t>
      </w:r>
    </w:p>
    <w:sectPr>
      <w:pgSz w:w="11906" w:h="16838" w:orient="portrait"/>
      <w:pgMar w:top="1000" w:right="9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3fzujjbk-3vsjq-ar-w" Type="http://schemas.openxmlformats.org/officeDocument/2006/relationships/hyperlink" Target="https://ld.russco.org/Protocols" TargetMode="External"/><Relationship Id="rIdqxnr962qtpiciffojgu9s" Type="http://schemas.openxmlformats.org/officeDocument/2006/relationships/hyperlink" Target="https://www.rosoncoweb.ru/standarts/RUSSCO/" TargetMode="External"/><Relationship Id="rIdqn90l_oxu13lnzw1y-tet" Type="http://schemas.openxmlformats.org/officeDocument/2006/relationships/hyperlink" Target="https://rosoncoweb.ru/standarts/protocols/resources/" TargetMode="External"/><Relationship Id="rIdjgkzyw1ksuutuhwf2bjvg" Type="http://schemas.openxmlformats.org/officeDocument/2006/relationships/hyperlink" Target="https://cr.minzdrav.gov.ru/clin_recomend" TargetMode="External"/><Relationship Id="rIdai3chwrl7kxuuwc87x0fq" Type="http://schemas.openxmlformats.org/officeDocument/2006/relationships/hyperlink" Target="https://ctep.cancer.gov/protocoldevelopment/electronic_applications/ctc.htm" TargetMode="External"/><Relationship Id="rIddqrtsscuaxia0z5grzatw" Type="http://schemas.openxmlformats.org/officeDocument/2006/relationships/hyperlink" Target="https://cancer-druginteractions.org/" TargetMode="External"/><Relationship Id="rIds9yzqfg4fsvra2oj3ss-w" Type="http://schemas.openxmlformats.org/officeDocument/2006/relationships/hyperlink" Target="https://www.mdcalc.com/" TargetMode="External"/><Relationship Id="rId-p5l9xa206ikk9slcecd4" Type="http://schemas.openxmlformats.org/officeDocument/2006/relationships/hyperlink" Target="https://www.ncbi.nlm.nih.gov/books/NBK12354/" TargetMode="External"/><Relationship Id="rIdc12zofdidiks0or7vxzmr" Type="http://schemas.openxmlformats.org/officeDocument/2006/relationships/hyperlink" Target="https://clinicaltrials.gov/" TargetMode="External"/><Relationship Id="rIdxjx41-f8saedx3ypxoqwa" Type="http://schemas.openxmlformats.org/officeDocument/2006/relationships/hyperlink" Target="https://pubmed.ncbi.nlm.nih.gov/?term=Calvert+carboplatin+dosage+formula+AUC" TargetMode="External"/><Relationship Id="rIdeyeemt156h5hgojlonrc5" Type="http://schemas.openxmlformats.org/officeDocument/2006/relationships/hyperlink" Target="https://pubmed.ncbi.nlm.nih.gov/?term=DPYD+genotyping+fluoropyrimidine+toxicity" TargetMode="External"/><Relationship Id="rIdb7qjwirzgkhubfmiloeau" Type="http://schemas.openxmlformats.org/officeDocument/2006/relationships/hyperlink" Target="https://pubmed.ncbi.nlm.nih.gov/?term=UGT1A1+irinotecan+toxicity" TargetMode="External"/><Relationship Id="rIdohub8qa94tzeiyu42ywil" Type="http://schemas.openxmlformats.org/officeDocument/2006/relationships/hyperlink" Target="https://pubmed.ncbi.nlm.nih.gov/?term=ASCO+guideline+chemotherapy+dosing+obese+adult+cancer" TargetMode="External"/><Relationship Id="rIdcr31gpbrj4qajxyrhavlu" Type="http://schemas.openxmlformats.org/officeDocument/2006/relationships/hyperlink" Target="https://pubmed.ncbi.nlm.nih.gov/?term=RECIST+1.1+response+evaluation+criteria" TargetMode="External"/><Relationship Id="rIdv70ruqhdimbxgpdzqd609" Type="http://schemas.openxmlformats.org/officeDocument/2006/relationships/hyperlink" Target="https://www.rosoncoweb.ru/events/2026/05/16/" TargetMode="External"/><Relationship Id="rIdl2oipoeyecly6bzacnlp-" Type="http://schemas.openxmlformats.org/officeDocument/2006/relationships/hyperlink" Target="https://www.rosoncoweb.ru/events/2025/05/27/" TargetMode="External"/><Relationship Id="rIdf7kgrkkuhvw0sdyo5lprw" Type="http://schemas.openxmlformats.org/officeDocument/2006/relationships/hyperlink" Target="https://oncologypro.esmo.org/esmo-e-learning" TargetMode="External"/><Relationship Id="rId9j-c3xirpcnaxuk75luru" Type="http://schemas.openxmlformats.org/officeDocument/2006/relationships/hyperlink" Target="https://www.rosoncoweb.ru/events/archive/" TargetMode="External"/><Relationship Id="rIdrgg_s0fj65fn5r9xnk6it" Type="http://schemas.openxmlformats.org/officeDocument/2006/relationships/hyperlink" Target="https://www.rosoncoweb.ru/events/webinar/archive/" TargetMode="External"/><Relationship Id="rIdypg8n7hsk-y6_tarfazn6" Type="http://schemas.openxmlformats.org/officeDocument/2006/relationships/hyperlink" Target="https://pubmed.ncbi.nlm.nih.gov/?term=Calvert+carboplatin+dosage+formula+AUC" TargetMode="External"/><Relationship Id="rIdihlr4hhjkq75dciw6xusv" Type="http://schemas.openxmlformats.org/officeDocument/2006/relationships/hyperlink" Target="https://pubmed.ncbi.nlm.nih.gov/?term=ASCO+guideline+chemotherapy+dosing+obese+adult+cancer" TargetMode="External"/><Relationship Id="rId7xsjpq1wwsjc7d1qarogz" Type="http://schemas.openxmlformats.org/officeDocument/2006/relationships/hyperlink" Target="https://pubmed.ncbi.nlm.nih.gov/?term=DPYD+genotyping+fluoropyrimidine+toxicity" TargetMode="External"/><Relationship Id="rId1ntit5ocqe3wybs3nplcr" Type="http://schemas.openxmlformats.org/officeDocument/2006/relationships/hyperlink" Target="https://cancer-druginteractions.org/" TargetMode="External"/><Relationship Id="rIdg_6sd7ef3jy13pargdeb8" Type="http://schemas.openxmlformats.org/officeDocument/2006/relationships/hyperlink" Target="https://www.rosoncoweb.ru/standarts/RUSSCO/" TargetMode="External"/><Relationship Id="rIdyqilcekfmihgfstd8e73z" Type="http://schemas.openxmlformats.org/officeDocument/2006/relationships/hyperlink" Target="https://www.rosoncoweb.ru/standarts/suptherapy/" TargetMode="External"/><Relationship Id="rIdu2wakqqs-lhmn110yo3mi" Type="http://schemas.openxmlformats.org/officeDocument/2006/relationships/hyperlink" Target="https://www.rosoncoweb.ru/standarts/RUSSCO/" TargetMode="External"/><Relationship Id="rIdolnrdehmg__aokitxqvmi" Type="http://schemas.openxmlformats.org/officeDocument/2006/relationships/hyperlink" Target="https://www.rosoncoweb.ru/standarts/suptherapy/" TargetMode="External"/><Relationship Id="rId6figlyhfaafzd3uy30ozg" Type="http://schemas.openxmlformats.org/officeDocument/2006/relationships/hyperlink" Target="https://pubmed.ncbi.nlm.nih.gov/?term=RECIST+1.1+response+evaluation+criteria" TargetMode="External"/><Relationship Id="rIddbtrgycxoahyi8ohktoxa" Type="http://schemas.openxmlformats.org/officeDocument/2006/relationships/hyperlink" Target="https://ld.russco.org/Protocols" TargetMode="External"/><Relationship Id="rIdd_pthipmyzminbxbwiskw" Type="http://schemas.openxmlformats.org/officeDocument/2006/relationships/hyperlink" Target="https://pubmed.ncbi.nlm.nih.gov/?term=Calvert+carboplatin+dosage+formula+AUC" TargetMode="External"/><Relationship Id="rIdi4di5rhbnpfr4_xafven9" Type="http://schemas.openxmlformats.org/officeDocument/2006/relationships/hyperlink" Target="https://ld.russco.org/Protocols" TargetMode="External"/><Relationship Id="rIdllydzwe6mahfs3runqegk" Type="http://schemas.openxmlformats.org/officeDocument/2006/relationships/hyperlink" Target="https://pubmed.ncbi.nlm.nih.gov/?term=DPYD+genotyping+fluoropyrimidine+toxicity" TargetMode="External"/><Relationship Id="rIdematetbqczgwxzxuxau3e" Type="http://schemas.openxmlformats.org/officeDocument/2006/relationships/hyperlink" Target="https://www.rosoncoweb.ru/standarts/suptherapy/" TargetMode="External"/><Relationship Id="rIdchwt6cofg4kelsrbxm-no" Type="http://schemas.openxmlformats.org/officeDocument/2006/relationships/hyperlink" Target="https://cancer-druginteractions.org/" TargetMode="External"/><Relationship Id="rIdlvk1dnb0nqxpcxspvlx2t" Type="http://schemas.openxmlformats.org/officeDocument/2006/relationships/hyperlink" Target="https://ld.russco.org/Protocols" TargetMode="External"/><Relationship Id="rIda4qvjme5d-ckypzzcd4h3" Type="http://schemas.openxmlformats.org/officeDocument/2006/relationships/hyperlink" Target="https://pubmed.ncbi.nlm.nih.gov/?term=RECIST+1.1+response+evaluation+criteria" TargetMode="External"/><Relationship Id="rIdqpaxs1ynfwtvwigiwpptg" Type="http://schemas.openxmlformats.org/officeDocument/2006/relationships/hyperlink" Target="https://www.rosoncoweb.ru/standarts/RUSSCO/" TargetMode="External"/><Relationship Id="rId44" Type="http://schemas.openxmlformats.org/officeDocument/2006/relationships/fontTable" Target="fontTable.xml"/><Relationship Id="rId7" Type="http://schemas.openxmlformats.org/officeDocument/2006/relationships/hyperlink" Target="https://www.cancer.gov/about-cancer/treatment/types" TargetMode="External"/><Relationship Id="rId8" Type="http://schemas.openxmlformats.org/officeDocument/2006/relationships/hyperlink" Target="https://dctd.cancer.gov/research/ctep-trials/for-sites/adverse-events/ctcae-v6.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Лекарственная терапия злокачественных опухолей: классификация препаратов и принципы назначения</dc:title>
  <dc:creator>Кафедра онкологии ИУВ НМХЦ им. Н.И. Пирогова</dc:creator>
  <cp:lastModifiedBy>Un-named</cp:lastModifiedBy>
  <cp:revision>1</cp:revision>
  <dcterms:created xsi:type="dcterms:W3CDTF">2026-08-27T09:34:16.336Z</dcterms:created>
  <dcterms:modified xsi:type="dcterms:W3CDTF">2026-08-27T09:34:16.336Z</dcterms:modified>
</cp:coreProperties>
</file>

<file path=docProps/custom.xml><?xml version="1.0" encoding="utf-8"?>
<Properties xmlns="http://schemas.openxmlformats.org/officeDocument/2006/custom-properties" xmlns:vt="http://schemas.openxmlformats.org/officeDocument/2006/docPropsVTypes"/>
</file>