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val="false"/>
          <w:bCs w:val="false"/>
          <w:i w:val="false"/>
          <w:iCs w:val="false"/>
          <w:sz w:val="20"/>
          <w:szCs w:val="20"/>
        </w:rPr>
        <w:t xml:space="preserve">Кафедра онкологии ИУВ ФГБУ «НМХЦ им. Н.И. Пирогова» Минздрава России</w:t>
      </w:r>
    </w:p>
    <w:p>
      <w:pPr>
        <w:spacing w:after="120"/>
        <w:jc w:val="center"/>
      </w:pPr>
      <w:r>
        <w:rPr>
          <w:rFonts w:ascii="Times New Roman" w:cs="Times New Roman" w:eastAsia="Times New Roman" w:hAnsi="Times New Roman"/>
          <w:b/>
          <w:bCs/>
          <w:i w:val="false"/>
          <w:iCs w:val="false"/>
          <w:sz w:val="28"/>
          <w:szCs w:val="28"/>
        </w:rPr>
        <w:t xml:space="preserve">УЧЕБНЫЙ МОДУЛЬ М-19</w:t>
      </w:r>
    </w:p>
    <w:p>
      <w:pPr>
        <w:spacing w:after="80"/>
        <w:jc w:val="center"/>
      </w:pPr>
      <w:r>
        <w:rPr>
          <w:rFonts w:ascii="Times New Roman" w:cs="Times New Roman" w:eastAsia="Times New Roman" w:hAnsi="Times New Roman"/>
          <w:b/>
          <w:bCs/>
          <w:i w:val="false"/>
          <w:iCs w:val="false"/>
          <w:sz w:val="26"/>
          <w:szCs w:val="26"/>
        </w:rPr>
        <w:t xml:space="preserve">Молекулярная генетика и трансляционная медицина в онкологии</w:t>
      </w:r>
    </w:p>
    <w:p>
      <w:pPr>
        <w:spacing w:after="300"/>
        <w:jc w:val="center"/>
      </w:pPr>
      <w:r>
        <w:rPr>
          <w:rFonts w:ascii="Times New Roman" w:cs="Times New Roman" w:eastAsia="Times New Roman" w:hAnsi="Times New Roman"/>
          <w:b w:val="false"/>
          <w:bCs w:val="false"/>
          <w:i/>
          <w:iCs/>
          <w:sz w:val="22"/>
          <w:szCs w:val="22"/>
        </w:rPr>
        <w:t xml:space="preserve">Лекция 14.10.2026 · Онлайн-конференция · раздел «Общая онкология»</w:t>
      </w:r>
    </w:p>
    <w:p>
      <w:pPr>
        <w:spacing w:after="120" w:line="276"/>
      </w:pPr>
      <w:r>
        <w:rPr>
          <w:rFonts w:ascii="Times New Roman" w:cs="Times New Roman" w:eastAsia="Times New Roman" w:hAnsi="Times New Roman"/>
          <w:b w:val="false"/>
          <w:bCs w:val="false"/>
          <w:i/>
          <w:iCs/>
          <w:sz w:val="22"/>
          <w:szCs w:val="22"/>
        </w:rPr>
        <w:t xml:space="preserve">Все ссылки активны. Молекулярный отчёт сегодня приходит почти к каждому больному с распространённой опухолью, и умение его прочитать — базовый навык онколога. Модуль о том, какие исследования назначать, как интерпретировать находки по уровням доказательности и где границы метода.</w:t>
      </w:r>
    </w:p>
    <w:p>
      <w:pPr>
        <w:pStyle w:val="Heading1"/>
        <w:spacing w:after="130" w:before="260"/>
      </w:pPr>
      <w:r>
        <w:rPr>
          <w:rFonts w:ascii="Times New Roman" w:cs="Times New Roman" w:eastAsia="Times New Roman" w:hAnsi="Times New Roman"/>
          <w:b/>
          <w:bCs/>
          <w:sz w:val="30"/>
          <w:szCs w:val="30"/>
        </w:rPr>
        <w:t xml:space="preserve">Блок А. Библиотека материалов</w:t>
      </w:r>
    </w:p>
    <w:p>
      <w:pPr>
        <w:pStyle w:val="Heading2"/>
        <w:spacing w:after="130" w:before="260"/>
      </w:pPr>
      <w:r>
        <w:rPr>
          <w:rFonts w:ascii="Times New Roman" w:cs="Times New Roman" w:eastAsia="Times New Roman" w:hAnsi="Times New Roman"/>
          <w:b/>
          <w:bCs/>
          <w:sz w:val="26"/>
          <w:szCs w:val="26"/>
        </w:rPr>
        <w:t xml:space="preserve">А1. Рекомендации и нормативные документы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760"/>
      </w:tblGrid>
      <w:tr>
        <w:trPr>
          <w:tblHeader/>
        </w:trPr>
        <w:tc>
          <w:tcPr>
            <w:tcW w:type="dxa" w:w="21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Источник</w:t>
            </w:r>
          </w:p>
        </w:tc>
        <w:tc>
          <w:tcPr>
            <w:tcW w:type="dxa" w:w="45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даёт</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Рекомендации ESMO по применению секвенирования нового поколения</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Какие опухоли и в каком объёме тестировать, когда оправданы широкие панели, а когда достаточно точечных исследований.</w:t>
            </w:r>
          </w:p>
        </w:tc>
        <w:tc>
          <w:tcPr>
            <w:tcW w:type="dxa" w:w="2760"/>
            <w:tcMar>
              <w:top w:type="dxa" w:w="55"/>
              <w:left w:type="dxa" w:w="85"/>
              <w:bottom w:type="dxa" w:w="55"/>
              <w:right w:type="dxa" w:w="85"/>
            </w:tcMar>
          </w:tcPr>
          <w:p>
            <w:pPr>
              <w:spacing w:after="40" w:line="240"/>
            </w:pPr>
            <w:hyperlink w:history="1" r:id="rIdoagezi4zuytdn-e7afmci">
              <w:r>
                <w:rPr>
                  <w:rStyle w:val="Hyperlink"/>
                  <w:rFonts w:ascii="Times New Roman" w:cs="Times New Roman" w:eastAsia="Times New Roman" w:hAnsi="Times New Roman"/>
                  <w:sz w:val="19"/>
                  <w:szCs w:val="19"/>
                </w:rPr>
                <w:t xml:space="preserve">PubMed</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Шкала ESCAT</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Уровни клинической значимости молекулярной мишени — от подтверждённой в рандомизированных исследованиях до гипотетической. Обязательный инструмент интерпретации отчёта.</w:t>
            </w:r>
          </w:p>
        </w:tc>
        <w:tc>
          <w:tcPr>
            <w:tcW w:type="dxa" w:w="2760"/>
            <w:tcMar>
              <w:top w:type="dxa" w:w="55"/>
              <w:left w:type="dxa" w:w="85"/>
              <w:bottom w:type="dxa" w:w="55"/>
              <w:right w:type="dxa" w:w="85"/>
            </w:tcMar>
          </w:tcPr>
          <w:p>
            <w:pPr>
              <w:spacing w:after="40" w:line="240"/>
            </w:pPr>
            <w:hyperlink w:history="1" r:id="rIdeackbhitl4pjnnpxmpgvp">
              <w:r>
                <w:rPr>
                  <w:rStyle w:val="Hyperlink"/>
                  <w:rFonts w:ascii="Times New Roman" w:cs="Times New Roman" w:eastAsia="Times New Roman" w:hAnsi="Times New Roman"/>
                  <w:sz w:val="19"/>
                  <w:szCs w:val="19"/>
                </w:rPr>
                <w:t xml:space="preserve">PubMed</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OncoKB</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База клинической значимости альтераций с уровнями доказательности и привязкой к препаратам.</w:t>
            </w:r>
          </w:p>
        </w:tc>
        <w:tc>
          <w:tcPr>
            <w:tcW w:type="dxa" w:w="2760"/>
            <w:tcMar>
              <w:top w:type="dxa" w:w="55"/>
              <w:left w:type="dxa" w:w="85"/>
              <w:bottom w:type="dxa" w:w="55"/>
              <w:right w:type="dxa" w:w="85"/>
            </w:tcMar>
          </w:tcPr>
          <w:p>
            <w:pPr>
              <w:spacing w:after="40" w:line="240"/>
            </w:pPr>
            <w:hyperlink w:history="1" r:id="rIdfbyigc7wtjp4d-np8dhe4">
              <w:r>
                <w:rPr>
                  <w:rStyle w:val="Hyperlink"/>
                  <w:rFonts w:ascii="Times New Roman" w:cs="Times New Roman" w:eastAsia="Times New Roman" w:hAnsi="Times New Roman"/>
                  <w:sz w:val="19"/>
                  <w:szCs w:val="19"/>
                </w:rPr>
                <w:t xml:space="preserve">oncokb.org</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Клинические рекомендации Минздрава России</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Обязательный объём молекулярного тестирования по нозологиям.</w:t>
            </w:r>
          </w:p>
        </w:tc>
        <w:tc>
          <w:tcPr>
            <w:tcW w:type="dxa" w:w="2760"/>
            <w:tcMar>
              <w:top w:type="dxa" w:w="55"/>
              <w:left w:type="dxa" w:w="85"/>
              <w:bottom w:type="dxa" w:w="55"/>
              <w:right w:type="dxa" w:w="85"/>
            </w:tcMar>
          </w:tcPr>
          <w:p>
            <w:pPr>
              <w:spacing w:after="40" w:line="240"/>
            </w:pPr>
            <w:hyperlink w:history="1" r:id="rIdcsfyl-bykxfk4rdcptbtr">
              <w:r>
                <w:rPr>
                  <w:rStyle w:val="Hyperlink"/>
                  <w:rFonts w:ascii="Times New Roman" w:cs="Times New Roman" w:eastAsia="Times New Roman" w:hAnsi="Times New Roman"/>
                  <w:sz w:val="19"/>
                  <w:szCs w:val="19"/>
                </w:rPr>
                <w:t xml:space="preserve">cr.minzdrav.gov.ru</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Рекомендации ESMO по циркулирующей опухолевой ДНК</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Когда жидкостная биопсия обоснована, а когда её результат нельзя использовать.</w:t>
            </w:r>
          </w:p>
        </w:tc>
        <w:tc>
          <w:tcPr>
            <w:tcW w:type="dxa" w:w="2760"/>
            <w:tcMar>
              <w:top w:type="dxa" w:w="55"/>
              <w:left w:type="dxa" w:w="85"/>
              <w:bottom w:type="dxa" w:w="55"/>
              <w:right w:type="dxa" w:w="85"/>
            </w:tcMar>
          </w:tcPr>
          <w:p>
            <w:pPr>
              <w:spacing w:after="40" w:line="240"/>
            </w:pPr>
            <w:hyperlink w:history="1" r:id="rIdhcqzlf37ptbrnjdwwyz3z">
              <w:r>
                <w:rPr>
                  <w:rStyle w:val="Hyperlink"/>
                  <w:rFonts w:ascii="Times New Roman" w:cs="Times New Roman" w:eastAsia="Times New Roman" w:hAnsi="Times New Roman"/>
                  <w:sz w:val="19"/>
                  <w:szCs w:val="19"/>
                </w:rPr>
                <w:t xml:space="preserve">PubMed</w:t>
              </w:r>
            </w:hyperlink>
          </w:p>
        </w:tc>
      </w:tr>
    </w:tbl>
    <w:p>
      <w:pPr>
        <w:pStyle w:val="Heading2"/>
        <w:spacing w:after="130" w:before="260"/>
      </w:pPr>
      <w:r>
        <w:rPr>
          <w:rFonts w:ascii="Times New Roman" w:cs="Times New Roman" w:eastAsia="Times New Roman" w:hAnsi="Times New Roman"/>
          <w:b/>
          <w:bCs/>
          <w:sz w:val="26"/>
          <w:szCs w:val="26"/>
        </w:rPr>
        <w:t xml:space="preserve">А2. Обзоры и справочные ресурсы</w:t>
      </w:r>
    </w:p>
    <w:p>
      <w:pPr>
        <w:pStyle w:val="ListParagraph"/>
        <w:numPr>
          <w:ilvl w:val="0"/>
          <w:numId w:val="1"/>
        </w:numPr>
        <w:spacing w:after="60" w:line="276"/>
      </w:pPr>
      <w:hyperlink w:history="1" r:id="rIdxzkicz9kyz9whoicb7d59">
        <w:r>
          <w:rPr>
            <w:rStyle w:val="Hyperlink"/>
            <w:rFonts w:ascii="Times New Roman" w:cs="Times New Roman" w:eastAsia="Times New Roman" w:hAnsi="Times New Roman"/>
            <w:sz w:val="22"/>
            <w:szCs w:val="22"/>
          </w:rPr>
          <w:t xml:space="preserve">Клональное кроветворение и случайные находки при секвенировании опухоли</w:t>
        </w:r>
      </w:hyperlink>
      <w:r>
        <w:rPr>
          <w:rFonts w:ascii="Times New Roman" w:cs="Times New Roman" w:eastAsia="Times New Roman" w:hAnsi="Times New Roman"/>
          <w:b w:val="false"/>
          <w:bCs w:val="false"/>
          <w:i w:val="false"/>
          <w:iCs w:val="false"/>
          <w:sz w:val="22"/>
          <w:szCs w:val="22"/>
        </w:rPr>
        <w:t xml:space="preserve"> — как отличить мутацию опухоли от мутации клеток крови и почему это важно.</w:t>
      </w:r>
    </w:p>
    <w:p>
      <w:pPr>
        <w:pStyle w:val="ListParagraph"/>
        <w:numPr>
          <w:ilvl w:val="0"/>
          <w:numId w:val="1"/>
        </w:numPr>
        <w:spacing w:after="60" w:line="276"/>
      </w:pPr>
      <w:hyperlink w:history="1" r:id="rIdqjpafwdfh36paudjyx1fs">
        <w:r>
          <w:rPr>
            <w:rStyle w:val="Hyperlink"/>
            <w:rFonts w:ascii="Times New Roman" w:cs="Times New Roman" w:eastAsia="Times New Roman" w:hAnsi="Times New Roman"/>
            <w:sz w:val="22"/>
            <w:szCs w:val="22"/>
          </w:rPr>
          <w:t xml:space="preserve">Молекулярный консилиум</w:t>
        </w:r>
      </w:hyperlink>
      <w:r>
        <w:rPr>
          <w:rFonts w:ascii="Times New Roman" w:cs="Times New Roman" w:eastAsia="Times New Roman" w:hAnsi="Times New Roman"/>
          <w:b w:val="false"/>
          <w:bCs w:val="false"/>
          <w:i w:val="false"/>
          <w:iCs w:val="false"/>
          <w:sz w:val="22"/>
          <w:szCs w:val="22"/>
        </w:rPr>
        <w:t xml:space="preserve"> — организационная форма, повышающая долю больных, получающих терапию по результату тестирования.</w:t>
      </w:r>
    </w:p>
    <w:p>
      <w:pPr>
        <w:pStyle w:val="ListParagraph"/>
        <w:numPr>
          <w:ilvl w:val="0"/>
          <w:numId w:val="1"/>
        </w:numPr>
        <w:spacing w:after="60" w:line="276"/>
      </w:pPr>
      <w:hyperlink w:history="1" r:id="rIdlz10vsmsvpj05zpkrxpb9">
        <w:r>
          <w:rPr>
            <w:rStyle w:val="Hyperlink"/>
            <w:rFonts w:ascii="Times New Roman" w:cs="Times New Roman" w:eastAsia="Times New Roman" w:hAnsi="Times New Roman"/>
            <w:sz w:val="22"/>
            <w:szCs w:val="22"/>
          </w:rPr>
          <w:t xml:space="preserve">cBioPortal</w:t>
        </w:r>
      </w:hyperlink>
      <w:r>
        <w:rPr>
          <w:rFonts w:ascii="Times New Roman" w:cs="Times New Roman" w:eastAsia="Times New Roman" w:hAnsi="Times New Roman"/>
          <w:b w:val="false"/>
          <w:bCs w:val="false"/>
          <w:i w:val="false"/>
          <w:iCs w:val="false"/>
          <w:sz w:val="22"/>
          <w:szCs w:val="22"/>
        </w:rPr>
        <w:t xml:space="preserve"> · </w:t>
      </w:r>
      <w:hyperlink w:history="1" r:id="rIdzpoutenl5tmpybv-hazco">
        <w:r>
          <w:rPr>
            <w:rStyle w:val="Hyperlink"/>
            <w:rFonts w:ascii="Times New Roman" w:cs="Times New Roman" w:eastAsia="Times New Roman" w:hAnsi="Times New Roman"/>
            <w:sz w:val="22"/>
            <w:szCs w:val="22"/>
          </w:rPr>
          <w:t xml:space="preserve">COSMIC</w:t>
        </w:r>
      </w:hyperlink>
      <w:r>
        <w:rPr>
          <w:rFonts w:ascii="Times New Roman" w:cs="Times New Roman" w:eastAsia="Times New Roman" w:hAnsi="Times New Roman"/>
          <w:b w:val="false"/>
          <w:bCs w:val="false"/>
          <w:i w:val="false"/>
          <w:iCs w:val="false"/>
          <w:sz w:val="22"/>
          <w:szCs w:val="22"/>
        </w:rPr>
        <w:t xml:space="preserve"> — рабочие базы для оценки находок.</w:t>
      </w:r>
    </w:p>
    <w:p>
      <w:pPr>
        <w:pStyle w:val="ListParagraph"/>
        <w:numPr>
          <w:ilvl w:val="0"/>
          <w:numId w:val="1"/>
        </w:numPr>
        <w:spacing w:after="60" w:line="276"/>
      </w:pPr>
      <w:hyperlink w:history="1" r:id="rIdsdiolnzn9xrsnbhpc3tb_">
        <w:r>
          <w:rPr>
            <w:rStyle w:val="Hyperlink"/>
            <w:rFonts w:ascii="Times New Roman" w:cs="Times New Roman" w:eastAsia="Times New Roman" w:hAnsi="Times New Roman"/>
            <w:sz w:val="22"/>
            <w:szCs w:val="22"/>
          </w:rPr>
          <w:t xml:space="preserve">ClinicalTrials.gov</w:t>
        </w:r>
      </w:hyperlink>
      <w:r>
        <w:rPr>
          <w:rFonts w:ascii="Times New Roman" w:cs="Times New Roman" w:eastAsia="Times New Roman" w:hAnsi="Times New Roman"/>
          <w:b w:val="false"/>
          <w:bCs w:val="false"/>
          <w:i w:val="false"/>
          <w:iCs w:val="false"/>
          <w:sz w:val="22"/>
          <w:szCs w:val="22"/>
        </w:rPr>
        <w:t xml:space="preserve"> — поиск исследований под выявленную мишень.</w:t>
      </w:r>
    </w:p>
    <w:p>
      <w:pPr>
        <w:pStyle w:val="Heading2"/>
        <w:spacing w:after="130" w:before="260"/>
      </w:pPr>
      <w:r>
        <w:rPr>
          <w:rFonts w:ascii="Times New Roman" w:cs="Times New Roman" w:eastAsia="Times New Roman" w:hAnsi="Times New Roman"/>
          <w:b/>
          <w:bCs/>
          <w:sz w:val="26"/>
          <w:szCs w:val="26"/>
        </w:rPr>
        <w:t xml:space="preserve">А3. Ключевые исследования и работы</w:t>
      </w:r>
    </w:p>
    <w:p>
      <w:pPr>
        <w:pStyle w:val="Heading3"/>
        <w:spacing w:after="130" w:before="260"/>
      </w:pPr>
      <w:r>
        <w:rPr>
          <w:rFonts w:ascii="Times New Roman" w:cs="Times New Roman" w:eastAsia="Times New Roman" w:hAnsi="Times New Roman"/>
          <w:b/>
          <w:bCs/>
          <w:sz w:val="23"/>
          <w:szCs w:val="23"/>
        </w:rPr>
        <w:t xml:space="preserve">Тканенезависимые (агностические) показания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MSI-H и dMMR</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Первый тканенезависимый биомаркёр: ингибиторы контрольных точек эффективны независимо от локализации опухоли.</w:t>
            </w:r>
          </w:p>
        </w:tc>
        <w:tc>
          <w:tcPr>
            <w:tcW w:type="dxa" w:w="2760"/>
            <w:tcMar>
              <w:top w:type="dxa" w:w="55"/>
              <w:left w:type="dxa" w:w="85"/>
              <w:bottom w:type="dxa" w:w="55"/>
              <w:right w:type="dxa" w:w="85"/>
            </w:tcMar>
          </w:tcPr>
          <w:p>
            <w:pPr>
              <w:spacing w:after="40" w:line="240"/>
            </w:pPr>
            <w:hyperlink w:history="1" r:id="rIdobr13rw7v-auaomey3qlg">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Слияния NTRK</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Ларотректиниб и энтректиниб дают высокую частоту ответов при слияниях NTRK независимо от нозологии. Частота слияний менее 1 % в большинстве опухолей, но очень высока в редких формах — поэтому тестирование оправдано при отсутствии иных драйверов.</w:t>
            </w:r>
          </w:p>
        </w:tc>
        <w:tc>
          <w:tcPr>
            <w:tcW w:type="dxa" w:w="2760"/>
            <w:tcMar>
              <w:top w:type="dxa" w:w="55"/>
              <w:left w:type="dxa" w:w="85"/>
              <w:bottom w:type="dxa" w:w="55"/>
              <w:right w:type="dxa" w:w="85"/>
            </w:tcMar>
          </w:tcPr>
          <w:p>
            <w:pPr>
              <w:spacing w:after="40" w:line="240"/>
            </w:pPr>
            <w:hyperlink w:history="1" r:id="rIda7fufjunsv5_0v53z5svy">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Высокая мутационная нагрузка</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Тканенезависимое показание к пембролизумабу при нагрузке 10 мутаций на мегабазу и выше по данным KEYNOTE-158; предиктивная ценность неодинакова между нозологиями, что остаётся предметом дискуссии.</w:t>
            </w:r>
          </w:p>
        </w:tc>
        <w:tc>
          <w:tcPr>
            <w:tcW w:type="dxa" w:w="2760"/>
            <w:tcMar>
              <w:top w:type="dxa" w:w="55"/>
              <w:left w:type="dxa" w:w="85"/>
              <w:bottom w:type="dxa" w:w="55"/>
              <w:right w:type="dxa" w:w="85"/>
            </w:tcMar>
          </w:tcPr>
          <w:p>
            <w:pPr>
              <w:spacing w:after="40" w:line="240"/>
            </w:pPr>
            <w:hyperlink w:history="1" r:id="rId3vdgd4szde2d8jh3eefff">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BRAF V600E и RET</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Тканенезависимые показания к комбинации дабрафениба с траметинибом и к селперкатинибу соответственно.</w:t>
            </w:r>
          </w:p>
        </w:tc>
        <w:tc>
          <w:tcPr>
            <w:tcW w:type="dxa" w:w="2760"/>
            <w:tcMar>
              <w:top w:type="dxa" w:w="55"/>
              <w:left w:type="dxa" w:w="85"/>
              <w:bottom w:type="dxa" w:w="55"/>
              <w:right w:type="dxa" w:w="85"/>
            </w:tcMar>
          </w:tcPr>
          <w:p>
            <w:pPr>
              <w:spacing w:after="40" w:line="240"/>
            </w:pPr>
            <w:hyperlink w:history="1" r:id="rIdxnjwtgjz4xwpastqm1rw4">
              <w:r>
                <w:rPr>
                  <w:rStyle w:val="Hyperlink"/>
                  <w:rFonts w:ascii="Times New Roman" w:cs="Times New Roman" w:eastAsia="Times New Roman" w:hAnsi="Times New Roman"/>
                  <w:sz w:val="19"/>
                  <w:szCs w:val="19"/>
                </w:rPr>
                <w:t xml:space="preserve">OncoKB</w:t>
              </w:r>
            </w:hyperlink>
          </w:p>
        </w:tc>
      </w:tr>
    </w:tbl>
    <w:p>
      <w:pPr>
        <w:pStyle w:val="Heading3"/>
        <w:spacing w:after="130" w:before="260"/>
      </w:pPr>
      <w:r>
        <w:rPr>
          <w:rFonts w:ascii="Times New Roman" w:cs="Times New Roman" w:eastAsia="Times New Roman" w:hAnsi="Times New Roman"/>
          <w:b/>
          <w:bCs/>
          <w:sz w:val="23"/>
          <w:szCs w:val="23"/>
        </w:rPr>
        <w:t xml:space="preserve">Жидкостная биопсия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Циркулирующая опухолевая ДНК: диагностика мишеней</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Позволяет выявить драйверные нарушения без биопсии, отражает суммарный профиль всех очагов и удобна при недостатке ткани. Ключевое ограничение: отрицательный результат не исключает мутации и требует подтверждения на ткани.</w:t>
            </w:r>
          </w:p>
        </w:tc>
        <w:tc>
          <w:tcPr>
            <w:tcW w:type="dxa" w:w="2760"/>
            <w:tcMar>
              <w:top w:type="dxa" w:w="55"/>
              <w:left w:type="dxa" w:w="85"/>
              <w:bottom w:type="dxa" w:w="55"/>
              <w:right w:type="dxa" w:w="85"/>
            </w:tcMar>
          </w:tcPr>
          <w:p>
            <w:pPr>
              <w:spacing w:after="40" w:line="240"/>
            </w:pPr>
            <w:hyperlink w:history="1" r:id="rIdpi7mzthj3ubqlajgm5fuy">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DYNAMIC</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Определение циркулирующей опухолевой ДНК после операции по поводу рака ободочной кишки II стадии позволило сократить назначение адъювантной химиотерапии без ухудшения выживаемости. Первое рандомизированное подтверждение клинической пользы оценки остаточной болезни по ДНК плазмы при солидных опухолях.</w:t>
            </w:r>
          </w:p>
        </w:tc>
        <w:tc>
          <w:tcPr>
            <w:tcW w:type="dxa" w:w="2760"/>
            <w:tcMar>
              <w:top w:type="dxa" w:w="55"/>
              <w:left w:type="dxa" w:w="85"/>
              <w:bottom w:type="dxa" w:w="55"/>
              <w:right w:type="dxa" w:w="85"/>
            </w:tcMar>
          </w:tcPr>
          <w:p>
            <w:pPr>
              <w:spacing w:after="40" w:line="240"/>
            </w:pPr>
            <w:hyperlink w:history="1" r:id="rIddh0s_hea02jdanr6t6201">
              <w:r>
                <w:rPr>
                  <w:rStyle w:val="Hyperlink"/>
                  <w:rFonts w:ascii="Times New Roman" w:cs="Times New Roman" w:eastAsia="Times New Roman" w:hAnsi="Times New Roman"/>
                  <w:sz w:val="19"/>
                  <w:szCs w:val="19"/>
                </w:rPr>
                <w:t xml:space="preserve">PubMed</w:t>
              </w:r>
            </w:hyperlink>
          </w:p>
        </w:tc>
      </w:tr>
    </w:tbl>
    <w:p>
      <w:pPr>
        <w:pStyle w:val="Heading2"/>
        <w:spacing w:after="130" w:before="260"/>
      </w:pPr>
      <w:r>
        <w:rPr>
          <w:rFonts w:ascii="Times New Roman" w:cs="Times New Roman" w:eastAsia="Times New Roman" w:hAnsi="Times New Roman"/>
          <w:b/>
          <w:bCs/>
          <w:sz w:val="26"/>
          <w:szCs w:val="26"/>
        </w:rPr>
        <w:t xml:space="preserve">А4. Лекции и видеоматериалы</w:t>
      </w:r>
    </w:p>
    <w:p>
      <w:pPr>
        <w:pStyle w:val="ListParagraph"/>
        <w:numPr>
          <w:ilvl w:val="0"/>
          <w:numId w:val="1"/>
        </w:numPr>
        <w:spacing w:after="60" w:line="276"/>
      </w:pPr>
      <w:hyperlink w:history="1" r:id="rId_yfliiltscqxtkpw0rajx">
        <w:r>
          <w:rPr>
            <w:rStyle w:val="Hyperlink"/>
            <w:rFonts w:ascii="Times New Roman" w:cs="Times New Roman" w:eastAsia="Times New Roman" w:hAnsi="Times New Roman"/>
            <w:sz w:val="22"/>
            <w:szCs w:val="22"/>
          </w:rPr>
          <w:t xml:space="preserve">NGS: 1500 образцов НМРЛ в реальной практике РФ</w:t>
        </w:r>
      </w:hyperlink>
      <w:r>
        <w:rPr>
          <w:rFonts w:ascii="Times New Roman" w:cs="Times New Roman" w:eastAsia="Times New Roman" w:hAnsi="Times New Roman"/>
          <w:b w:val="false"/>
          <w:bCs w:val="false"/>
          <w:i w:val="false"/>
          <w:iCs w:val="false"/>
          <w:sz w:val="22"/>
          <w:szCs w:val="22"/>
        </w:rPr>
        <w:t xml:space="preserve"> — к.м.н. К.А. Саранцева. XI Конференция RUSSCO «Рак лёгкого и другие опухоли грудной клетки», апрель 2025.</w:t>
      </w:r>
    </w:p>
    <w:p>
      <w:pPr>
        <w:pStyle w:val="ListParagraph"/>
        <w:numPr>
          <w:ilvl w:val="0"/>
          <w:numId w:val="1"/>
        </w:numPr>
        <w:spacing w:after="60" w:line="276"/>
      </w:pPr>
      <w:hyperlink w:history="1" r:id="rIdmfbtp27txoot3wvsgrtxt">
        <w:r>
          <w:rPr>
            <w:rStyle w:val="Hyperlink"/>
            <w:rFonts w:ascii="Times New Roman" w:cs="Times New Roman" w:eastAsia="Times New Roman" w:hAnsi="Times New Roman"/>
            <w:sz w:val="22"/>
            <w:szCs w:val="22"/>
          </w:rPr>
          <w:t xml:space="preserve">Молекулярно-генетическая диагностика рака лёгкого в «идеальной» ситуации</w:t>
        </w:r>
      </w:hyperlink>
      <w:r>
        <w:rPr>
          <w:rFonts w:ascii="Times New Roman" w:cs="Times New Roman" w:eastAsia="Times New Roman" w:hAnsi="Times New Roman"/>
          <w:b w:val="false"/>
          <w:bCs w:val="false"/>
          <w:i w:val="false"/>
          <w:iCs w:val="false"/>
          <w:sz w:val="22"/>
          <w:szCs w:val="22"/>
        </w:rPr>
        <w:t xml:space="preserve"> — член-корр. РАН Е.Н. Имянитов. XI Конференция RUSSCO «Рак лёгкого и другие опухоли грудной клетки», апрель 2025.</w:t>
      </w:r>
    </w:p>
    <w:p>
      <w:pPr>
        <w:pStyle w:val="ListParagraph"/>
        <w:numPr>
          <w:ilvl w:val="0"/>
          <w:numId w:val="1"/>
        </w:numPr>
        <w:spacing w:after="60" w:line="276"/>
      </w:pPr>
      <w:hyperlink w:history="1" r:id="rIdr_tigsuazv5z2bur-egd2">
        <w:r>
          <w:rPr>
            <w:rStyle w:val="Hyperlink"/>
            <w:rFonts w:ascii="Times New Roman" w:cs="Times New Roman" w:eastAsia="Times New Roman" w:hAnsi="Times New Roman"/>
            <w:sz w:val="22"/>
            <w:szCs w:val="22"/>
          </w:rPr>
          <w:t xml:space="preserve">Циркулирующая опухолевая ДНК как предиктор эффекта ингибиторов тирозинкиназ</w:t>
        </w:r>
      </w:hyperlink>
      <w:r>
        <w:rPr>
          <w:rFonts w:ascii="Times New Roman" w:cs="Times New Roman" w:eastAsia="Times New Roman" w:hAnsi="Times New Roman"/>
          <w:b w:val="false"/>
          <w:bCs w:val="false"/>
          <w:i w:val="false"/>
          <w:iCs w:val="false"/>
          <w:sz w:val="22"/>
          <w:szCs w:val="22"/>
        </w:rPr>
        <w:t xml:space="preserve"> — к.м.н. А.С. Жабина. XI Конференция RUSSCO «Рак лёгкого и другие опухоли грудной клетки», апрель 2025.</w:t>
      </w:r>
    </w:p>
    <w:p>
      <w:pPr>
        <w:pStyle w:val="ListParagraph"/>
        <w:numPr>
          <w:ilvl w:val="0"/>
          <w:numId w:val="1"/>
        </w:numPr>
        <w:spacing w:after="60" w:line="276"/>
      </w:pPr>
      <w:hyperlink w:history="1" r:id="rIdiofkv6px1w_ftcdyv_w4e">
        <w:r>
          <w:rPr>
            <w:rStyle w:val="Hyperlink"/>
            <w:rFonts w:ascii="Times New Roman" w:cs="Times New Roman" w:eastAsia="Times New Roman" w:hAnsi="Times New Roman"/>
            <w:sz w:val="22"/>
            <w:szCs w:val="22"/>
          </w:rPr>
          <w:t xml:space="preserve">Циркулирующая опухолевая ДНК до и после операции</w:t>
        </w:r>
      </w:hyperlink>
      <w:r>
        <w:rPr>
          <w:rFonts w:ascii="Times New Roman" w:cs="Times New Roman" w:eastAsia="Times New Roman" w:hAnsi="Times New Roman"/>
          <w:b w:val="false"/>
          <w:bCs w:val="false"/>
          <w:i w:val="false"/>
          <w:iCs w:val="false"/>
          <w:sz w:val="22"/>
          <w:szCs w:val="22"/>
        </w:rPr>
        <w:t xml:space="preserve"> — д-р М.Г. Гордиев. XI Конференция RUSSCO «Рак лёгкого и другие опухоли грудной клетки», апрель 2025.</w:t>
      </w:r>
    </w:p>
    <w:p>
      <w:pPr>
        <w:pStyle w:val="ListParagraph"/>
        <w:numPr>
          <w:ilvl w:val="0"/>
          <w:numId w:val="1"/>
        </w:numPr>
        <w:spacing w:after="60" w:line="276"/>
      </w:pPr>
      <w:hyperlink w:history="1" r:id="rIdkybcikimwsylxlz0dwcg4">
        <w:r>
          <w:rPr>
            <w:rStyle w:val="Hyperlink"/>
            <w:rFonts w:ascii="Times New Roman" w:cs="Times New Roman" w:eastAsia="Times New Roman" w:hAnsi="Times New Roman"/>
            <w:sz w:val="22"/>
            <w:szCs w:val="22"/>
          </w:rPr>
          <w:t xml:space="preserve">Конференции «Иммуноонкология» и «Агностические маркеры в онкологии», 23–24.05.2025</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vbl2jcylteyapf6pyen0c">
        <w:r>
          <w:rPr>
            <w:rStyle w:val="Hyperlink"/>
            <w:rFonts w:ascii="Times New Roman" w:cs="Times New Roman" w:eastAsia="Times New Roman" w:hAnsi="Times New Roman"/>
            <w:sz w:val="22"/>
            <w:szCs w:val="22"/>
          </w:rPr>
          <w:t xml:space="preserve">Конференции «Иммуноонкология» и «Агностические маркеры в онкологии», 13–15.03.2024</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vuc0wgormcubw7cnr5tzt">
        <w:r>
          <w:rPr>
            <w:rStyle w:val="Hyperlink"/>
            <w:rFonts w:ascii="Times New Roman" w:cs="Times New Roman" w:eastAsia="Times New Roman" w:hAnsi="Times New Roman"/>
            <w:sz w:val="22"/>
            <w:szCs w:val="22"/>
          </w:rPr>
          <w:t xml:space="preserve">ESMO E-Learning</w:t>
        </w:r>
      </w:hyperlink>
      <w:r>
        <w:rPr>
          <w:rFonts w:ascii="Times New Roman" w:cs="Times New Roman" w:eastAsia="Times New Roman" w:hAnsi="Times New Roman"/>
          <w:b w:val="false"/>
          <w:bCs w:val="false"/>
          <w:i w:val="false"/>
          <w:iCs w:val="false"/>
          <w:sz w:val="22"/>
          <w:szCs w:val="22"/>
        </w:rPr>
        <w:t xml:space="preserve"> — модули с тестами и баллами CME.</w:t>
      </w:r>
    </w:p>
    <w:p>
      <w:pPr>
        <w:pStyle w:val="ListParagraph"/>
        <w:numPr>
          <w:ilvl w:val="0"/>
          <w:numId w:val="1"/>
        </w:numPr>
        <w:spacing w:after="60" w:line="276"/>
      </w:pPr>
      <w:hyperlink w:history="1" r:id="rIdpuadjjmumugxxllnjmy8l">
        <w:r>
          <w:rPr>
            <w:rStyle w:val="Hyperlink"/>
            <w:rFonts w:ascii="Times New Roman" w:cs="Times New Roman" w:eastAsia="Times New Roman" w:hAnsi="Times New Roman"/>
            <w:sz w:val="22"/>
            <w:szCs w:val="22"/>
          </w:rPr>
          <w:t xml:space="preserve">Полный видеоархив конференций RUSSCO</w:t>
        </w:r>
      </w:hyperlink>
      <w:r>
        <w:rPr>
          <w:rFonts w:ascii="Times New Roman" w:cs="Times New Roman" w:eastAsia="Times New Roman" w:hAnsi="Times New Roman"/>
          <w:b w:val="false"/>
          <w:bCs w:val="false"/>
          <w:i w:val="false"/>
          <w:iCs w:val="false"/>
          <w:sz w:val="22"/>
          <w:szCs w:val="22"/>
        </w:rPr>
        <w:t xml:space="preserve"> · </w:t>
      </w:r>
      <w:hyperlink w:history="1" r:id="rIdon8sej9f7l2ryaghwvtre">
        <w:r>
          <w:rPr>
            <w:rStyle w:val="Hyperlink"/>
            <w:rFonts w:ascii="Times New Roman" w:cs="Times New Roman" w:eastAsia="Times New Roman" w:hAnsi="Times New Roman"/>
            <w:sz w:val="22"/>
            <w:szCs w:val="22"/>
          </w:rPr>
          <w:t xml:space="preserve">архив вебинаров</w:t>
        </w:r>
      </w:hyperlink>
      <w:r>
        <w:rPr>
          <w:rFonts w:ascii="Times New Roman" w:cs="Times New Roman" w:eastAsia="Times New Roman" w:hAnsi="Times New Roman"/>
          <w:b w:val="false"/>
          <w:bCs w:val="false"/>
          <w:i w:val="false"/>
          <w:iCs w:val="false"/>
          <w:sz w:val="22"/>
          <w:szCs w:val="22"/>
        </w:rPr>
        <w:t xml:space="preserve"> — если нужной темы нет в списке выше.</w:t>
      </w:r>
    </w:p>
    <w:p>
      <w:pPr>
        <w:spacing w:after="120" w:line="276"/>
      </w:pPr>
      <w:r>
        <w:rPr>
          <w:rFonts w:ascii="Times New Roman" w:cs="Times New Roman" w:eastAsia="Times New Roman" w:hAnsi="Times New Roman"/>
          <w:b w:val="false"/>
          <w:bCs w:val="false"/>
          <w:i/>
          <w:iCs/>
          <w:sz w:val="22"/>
          <w:szCs w:val="22"/>
        </w:rPr>
        <w:t xml:space="preserve">Ссылки на лекции сотрудников кафедры по этой теме собираются отдельно — пришлите названия докладов или ссылки на записи, добавлю в модуль.</w:t>
      </w:r>
    </w:p>
    <w:p>
      <w:pPr>
        <w:pStyle w:val="Heading2"/>
        <w:spacing w:after="130" w:before="260"/>
      </w:pPr>
      <w:r>
        <w:rPr>
          <w:rFonts w:ascii="Times New Roman" w:cs="Times New Roman" w:eastAsia="Times New Roman" w:hAnsi="Times New Roman"/>
          <w:b/>
          <w:bCs/>
          <w:sz w:val="26"/>
          <w:szCs w:val="26"/>
        </w:rPr>
        <w:t xml:space="preserve">А5. О переводе англоязычных работ</w:t>
      </w:r>
    </w:p>
    <w:p>
      <w:pPr>
        <w:spacing w:after="120" w:line="276"/>
      </w:pPr>
      <w:r>
        <w:rPr>
          <w:rFonts w:ascii="Times New Roman" w:cs="Times New Roman" w:eastAsia="Times New Roman" w:hAnsi="Times New Roman"/>
          <w:b w:val="false"/>
          <w:bCs w:val="false"/>
          <w:i w:val="false"/>
          <w:iCs w:val="false"/>
          <w:sz w:val="22"/>
          <w:szCs w:val="22"/>
        </w:rPr>
        <w:t xml:space="preserve">Полный перевод статей и рекомендаций публиковать нельзя — это нарушение авторских прав издателей. Законное решение: русскоязычная аннотация на 3–5 предложений (дизайн, популяция, конечные точки, результат, что меняет в практике) плюс активная ссылка на оригинал. Именно так оформлены таблицы выше. Для документов с официальным русским переводом приоритет отдаётся рекомендациям RUSSCO и КР Минздрава.</w:t>
      </w:r>
    </w:p>
    <w:p>
      <w:r>
        <w:br w:type="page"/>
      </w:r>
    </w:p>
    <w:p>
      <w:r>
        <w:rPr>
          <w:b/>
          <w:sz w:val="22"/>
        </w:rPr>
        <w:t>А6. Актуализация источников и стандартов — 2026</w:t>
      </w:r>
    </w:p>
    <w:p>
      <w:r>
        <w:rPr>
          <w:b/>
        </w:rPr>
        <w:t xml:space="preserve">ESMO Precision Medicine Working Group recommendations for tumour NGS (2024). </w:t>
      </w:r>
      <w:r>
        <w:t xml:space="preserve">Добавить рекомендации ESMO 2024 по использованию NGS при распространённых опухолях и связать показания к тестированию с клинической полезностью. </w:t>
      </w:r>
      <w:hyperlink r:id="rId7">
        <w:r>
          <w:rPr>
            <w:color w:val="0563C1"/>
            <w:u w:val="single"/>
          </w:rPr>
          <w:t>Открыть источник</w:t>
        </w:r>
      </w:hyperlink>
    </w:p>
    <w:p>
      <w:r>
        <w:rPr>
          <w:b/>
        </w:rPr>
        <w:t xml:space="preserve">OncoKB and CIViC. </w:t>
      </w:r>
      <w:r>
        <w:t xml:space="preserve">Оставить OncoKB/CIViC как базы интерпретации вариантов, но не называть их клиническими рекомендациями. </w:t>
      </w:r>
      <w:hyperlink r:id="rIdfbyigc7wtjp4d-np8dhe4">
        <w:r>
          <w:rPr>
            <w:color w:val="0563C1"/>
            <w:u w:val="single"/>
          </w:rPr>
          <w:t>Открыть источник</w:t>
        </w:r>
      </w:hyperlink>
    </w:p>
    <w:p/>
    <w:p>
      <w:pPr>
        <w:pStyle w:val="Heading1"/>
        <w:spacing w:after="130" w:before="260"/>
      </w:pPr>
      <w:r>
        <w:rPr>
          <w:rFonts w:ascii="Times New Roman" w:cs="Times New Roman" w:eastAsia="Times New Roman" w:hAnsi="Times New Roman"/>
          <w:b/>
          <w:bCs/>
          <w:sz w:val="30"/>
          <w:szCs w:val="30"/>
        </w:rPr>
        <w:t xml:space="preserve">Блок Б. Проверочные материалы</w:t>
      </w:r>
    </w:p>
    <w:p>
      <w:pPr>
        <w:pStyle w:val="Heading2"/>
        <w:spacing w:after="130" w:before="260"/>
      </w:pPr>
      <w:r>
        <w:rPr>
          <w:rFonts w:ascii="Times New Roman" w:cs="Times New Roman" w:eastAsia="Times New Roman" w:hAnsi="Times New Roman"/>
          <w:b/>
          <w:bCs/>
          <w:sz w:val="26"/>
          <w:szCs w:val="26"/>
        </w:rPr>
        <w:t xml:space="preserve">Б1. Тестовые задания (10 вопросов)</w:t>
      </w:r>
    </w:p>
    <w:p>
      <w:pPr>
        <w:spacing w:after="120" w:line="276"/>
      </w:pPr>
      <w:r>
        <w:rPr>
          <w:rFonts w:ascii="Times New Roman" w:cs="Times New Roman" w:eastAsia="Times New Roman" w:hAnsi="Times New Roman"/>
          <w:b w:val="false"/>
          <w:bCs w:val="false"/>
          <w:i/>
          <w:iCs/>
          <w:sz w:val="22"/>
          <w:szCs w:val="22"/>
        </w:rPr>
        <w:t xml:space="preserve">Один лучший ответ. Формат приближен к экзаменационному стилю ESMO и RUSSCO. Пояснения предназначены для разбора после теста и для версии с автопроверкой на сайте.</w:t>
      </w:r>
    </w:p>
    <w:p>
      <w:pPr>
        <w:spacing w:after="60" w:line="276"/>
      </w:pPr>
      <w:r>
        <w:rPr>
          <w:rFonts w:ascii="Times New Roman" w:cs="Times New Roman" w:eastAsia="Times New Roman" w:hAnsi="Times New Roman"/>
          <w:b/>
          <w:bCs/>
          <w:i w:val="false"/>
          <w:iCs w:val="false"/>
          <w:sz w:val="22"/>
          <w:szCs w:val="22"/>
        </w:rPr>
        <w:t xml:space="preserve">1. Шкала ESCAT предназначена для:</w:t>
      </w:r>
    </w:p>
    <w:p>
      <w:pPr>
        <w:spacing w:after="30" w:line="250"/>
        <w:ind w:left="340"/>
      </w:pPr>
      <w:r>
        <w:rPr>
          <w:rFonts w:ascii="Times New Roman" w:cs="Times New Roman" w:eastAsia="Times New Roman" w:hAnsi="Times New Roman"/>
          <w:b w:val="false"/>
          <w:bCs w:val="false"/>
          <w:i w:val="false"/>
          <w:iCs w:val="false"/>
          <w:sz w:val="21"/>
          <w:szCs w:val="21"/>
        </w:rPr>
        <w:t xml:space="preserve">A. Оценки токсичности</w:t>
      </w:r>
    </w:p>
    <w:p>
      <w:pPr>
        <w:spacing w:after="30" w:line="250"/>
        <w:ind w:left="340"/>
      </w:pPr>
      <w:r>
        <w:rPr>
          <w:rFonts w:ascii="Times New Roman" w:cs="Times New Roman" w:eastAsia="Times New Roman" w:hAnsi="Times New Roman"/>
          <w:b w:val="false"/>
          <w:bCs w:val="false"/>
          <w:i w:val="false"/>
          <w:iCs w:val="false"/>
          <w:sz w:val="21"/>
          <w:szCs w:val="21"/>
        </w:rPr>
        <w:t xml:space="preserve">B. Оценки ответа</w:t>
      </w:r>
    </w:p>
    <w:p>
      <w:pPr>
        <w:spacing w:after="30" w:line="250"/>
        <w:ind w:left="340"/>
      </w:pPr>
      <w:r>
        <w:rPr>
          <w:rFonts w:ascii="Times New Roman" w:cs="Times New Roman" w:eastAsia="Times New Roman" w:hAnsi="Times New Roman"/>
          <w:b w:val="false"/>
          <w:bCs w:val="false"/>
          <w:i w:val="false"/>
          <w:iCs w:val="false"/>
          <w:sz w:val="21"/>
          <w:szCs w:val="21"/>
        </w:rPr>
        <w:t xml:space="preserve">C. Ранжирования клинической значимости молекулярной мишени по уровню доказательности</w:t>
      </w:r>
    </w:p>
    <w:p>
      <w:pPr>
        <w:spacing w:after="30" w:line="250"/>
        <w:ind w:left="340"/>
      </w:pPr>
      <w:r>
        <w:rPr>
          <w:rFonts w:ascii="Times New Roman" w:cs="Times New Roman" w:eastAsia="Times New Roman" w:hAnsi="Times New Roman"/>
          <w:b w:val="false"/>
          <w:bCs w:val="false"/>
          <w:i w:val="false"/>
          <w:iCs w:val="false"/>
          <w:sz w:val="21"/>
          <w:szCs w:val="21"/>
        </w:rPr>
        <w:t xml:space="preserve">D. Стадирования</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C</w:t>
      </w:r>
    </w:p>
    <w:p>
      <w:pPr>
        <w:spacing w:after="40" w:line="250"/>
        <w:ind w:left="340"/>
      </w:pPr>
      <w:r>
        <w:rPr>
          <w:rFonts w:ascii="Times New Roman" w:cs="Times New Roman" w:eastAsia="Times New Roman" w:hAnsi="Times New Roman"/>
          <w:b w:val="false"/>
          <w:bCs w:val="false"/>
          <w:i/>
          <w:iCs/>
          <w:sz w:val="21"/>
          <w:szCs w:val="21"/>
        </w:rPr>
        <w:t xml:space="preserve">Пояснение. Уровень I означает мишень, эффективность воздействия на которую подтверждена в проспективных рандомизированных исследованиях при данной нозологии; далее по нисходящей — от подтверждения в исследованиях без рандомизации до данных доклинических моделей. Без такого ранжирования отчёт NGS превращается в список находок без указания, какие из них можно использовать.</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ta44-ewuvpq2ex4sr6sgs">
        <w:r>
          <w:rPr>
            <w:rStyle w:val="Hyperlink"/>
            <w:rFonts w:ascii="Times New Roman" w:cs="Times New Roman" w:eastAsia="Times New Roman" w:hAnsi="Times New Roman"/>
            <w:sz w:val="20"/>
            <w:szCs w:val="20"/>
          </w:rPr>
          <w:t xml:space="preserve">Шкала ESCAT</w:t>
        </w:r>
      </w:hyperlink>
    </w:p>
    <w:p>
      <w:pPr>
        <w:spacing w:after="60" w:line="276"/>
      </w:pPr>
      <w:r>
        <w:rPr>
          <w:rFonts w:ascii="Times New Roman" w:cs="Times New Roman" w:eastAsia="Times New Roman" w:hAnsi="Times New Roman"/>
          <w:b/>
          <w:bCs/>
          <w:i w:val="false"/>
          <w:iCs w:val="false"/>
          <w:sz w:val="22"/>
          <w:szCs w:val="22"/>
        </w:rPr>
        <w:t xml:space="preserve">2. Вариант с неопределённой клинической значимостью (VUS) в отчёте означает:</w:t>
      </w:r>
    </w:p>
    <w:p>
      <w:pPr>
        <w:spacing w:after="30" w:line="250"/>
        <w:ind w:left="340"/>
      </w:pPr>
      <w:r>
        <w:rPr>
          <w:rFonts w:ascii="Times New Roman" w:cs="Times New Roman" w:eastAsia="Times New Roman" w:hAnsi="Times New Roman"/>
          <w:b w:val="false"/>
          <w:bCs w:val="false"/>
          <w:i w:val="false"/>
          <w:iCs w:val="false"/>
          <w:sz w:val="21"/>
          <w:szCs w:val="21"/>
        </w:rPr>
        <w:t xml:space="preserve">A. Находку, влияние которой на функцию гена и на прогноз неизвестно; основанием для лечения не является</w:t>
      </w:r>
    </w:p>
    <w:p>
      <w:pPr>
        <w:spacing w:after="30" w:line="250"/>
        <w:ind w:left="340"/>
      </w:pPr>
      <w:r>
        <w:rPr>
          <w:rFonts w:ascii="Times New Roman" w:cs="Times New Roman" w:eastAsia="Times New Roman" w:hAnsi="Times New Roman"/>
          <w:b w:val="false"/>
          <w:bCs w:val="false"/>
          <w:i w:val="false"/>
          <w:iCs w:val="false"/>
          <w:sz w:val="21"/>
          <w:szCs w:val="21"/>
        </w:rPr>
        <w:t xml:space="preserve">B. Доброкачественный полиморфизм</w:t>
      </w:r>
    </w:p>
    <w:p>
      <w:pPr>
        <w:spacing w:after="30" w:line="250"/>
        <w:ind w:left="340"/>
      </w:pPr>
      <w:r>
        <w:rPr>
          <w:rFonts w:ascii="Times New Roman" w:cs="Times New Roman" w:eastAsia="Times New Roman" w:hAnsi="Times New Roman"/>
          <w:b w:val="false"/>
          <w:bCs w:val="false"/>
          <w:i w:val="false"/>
          <w:iCs w:val="false"/>
          <w:sz w:val="21"/>
          <w:szCs w:val="21"/>
        </w:rPr>
        <w:t xml:space="preserve">C. Показание к таргетной терапии</w:t>
      </w:r>
    </w:p>
    <w:p>
      <w:pPr>
        <w:spacing w:after="30" w:line="250"/>
        <w:ind w:left="340"/>
      </w:pPr>
      <w:r>
        <w:rPr>
          <w:rFonts w:ascii="Times New Roman" w:cs="Times New Roman" w:eastAsia="Times New Roman" w:hAnsi="Times New Roman"/>
          <w:b w:val="false"/>
          <w:bCs w:val="false"/>
          <w:i w:val="false"/>
          <w:iCs w:val="false"/>
          <w:sz w:val="21"/>
          <w:szCs w:val="21"/>
        </w:rPr>
        <w:t xml:space="preserve">D. Ошибку лаборатории</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VUS не служит основанием ни для терапии, ни для решений о профилактических вмешательствах при герминальном тестировании. Со временем классификация может измениться в обе стороны, поэтому периодическая переоценка целесообразна. Назначение таргетного препарата по VUS — распространённая и вредная ошибка.</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r4d34ztsce6bbztgxwkyl">
        <w:r>
          <w:rPr>
            <w:rStyle w:val="Hyperlink"/>
            <w:rFonts w:ascii="Times New Roman" w:cs="Times New Roman" w:eastAsia="Times New Roman" w:hAnsi="Times New Roman"/>
            <w:sz w:val="20"/>
            <w:szCs w:val="20"/>
          </w:rPr>
          <w:t xml:space="preserve">Рекомендации ESMO по NGS</w:t>
        </w:r>
      </w:hyperlink>
    </w:p>
    <w:p>
      <w:pPr>
        <w:spacing w:after="60" w:line="276"/>
      </w:pPr>
      <w:r>
        <w:rPr>
          <w:rFonts w:ascii="Times New Roman" w:cs="Times New Roman" w:eastAsia="Times New Roman" w:hAnsi="Times New Roman"/>
          <w:b/>
          <w:bCs/>
          <w:i w:val="false"/>
          <w:iCs w:val="false"/>
          <w:sz w:val="22"/>
          <w:szCs w:val="22"/>
        </w:rPr>
        <w:t xml:space="preserve">3. Как отличить герминальную мутацию от соматической при секвенировании опухоли без парного образца крови?</w:t>
      </w:r>
    </w:p>
    <w:p>
      <w:pPr>
        <w:spacing w:after="30" w:line="250"/>
        <w:ind w:left="340"/>
      </w:pPr>
      <w:r>
        <w:rPr>
          <w:rFonts w:ascii="Times New Roman" w:cs="Times New Roman" w:eastAsia="Times New Roman" w:hAnsi="Times New Roman"/>
          <w:b w:val="false"/>
          <w:bCs w:val="false"/>
          <w:i w:val="false"/>
          <w:iCs w:val="false"/>
          <w:sz w:val="21"/>
          <w:szCs w:val="21"/>
        </w:rPr>
        <w:t xml:space="preserve">A. По частоте аллеля можно заподозрить, но надёжное разграничение требует исследования нормальной ткани или крови</w:t>
      </w:r>
    </w:p>
    <w:p>
      <w:pPr>
        <w:spacing w:after="30" w:line="250"/>
        <w:ind w:left="340"/>
      </w:pPr>
      <w:r>
        <w:rPr>
          <w:rFonts w:ascii="Times New Roman" w:cs="Times New Roman" w:eastAsia="Times New Roman" w:hAnsi="Times New Roman"/>
          <w:b w:val="false"/>
          <w:bCs w:val="false"/>
          <w:i w:val="false"/>
          <w:iCs w:val="false"/>
          <w:sz w:val="21"/>
          <w:szCs w:val="21"/>
        </w:rPr>
        <w:t xml:space="preserve">B. Никак</w:t>
      </w:r>
    </w:p>
    <w:p>
      <w:pPr>
        <w:spacing w:after="30" w:line="250"/>
        <w:ind w:left="340"/>
      </w:pPr>
      <w:r>
        <w:rPr>
          <w:rFonts w:ascii="Times New Roman" w:cs="Times New Roman" w:eastAsia="Times New Roman" w:hAnsi="Times New Roman"/>
          <w:b w:val="false"/>
          <w:bCs w:val="false"/>
          <w:i w:val="false"/>
          <w:iCs w:val="false"/>
          <w:sz w:val="21"/>
          <w:szCs w:val="21"/>
        </w:rPr>
        <w:t xml:space="preserve">C. Однозначно по типу гена</w:t>
      </w:r>
    </w:p>
    <w:p>
      <w:pPr>
        <w:spacing w:after="30" w:line="250"/>
        <w:ind w:left="340"/>
      </w:pPr>
      <w:r>
        <w:rPr>
          <w:rFonts w:ascii="Times New Roman" w:cs="Times New Roman" w:eastAsia="Times New Roman" w:hAnsi="Times New Roman"/>
          <w:b w:val="false"/>
          <w:bCs w:val="false"/>
          <w:i w:val="false"/>
          <w:iCs w:val="false"/>
          <w:sz w:val="21"/>
          <w:szCs w:val="21"/>
        </w:rPr>
        <w:t xml:space="preserve">D. По уровню экспрессии</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Частота аллеля около 50 % в гене, связанном с наследственным синдромом, повышает подозрение на герминальную природу, но подтверждение требует исследования нормальной ткани — обычно крови или буккального эпителия. Это критично: герминальная мутация означает необходимость генетического консультирования и каскадного тестирования родственников.</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e5-aqkybzn0zjzlsem0wl">
        <w:r>
          <w:rPr>
            <w:rStyle w:val="Hyperlink"/>
            <w:rFonts w:ascii="Times New Roman" w:cs="Times New Roman" w:eastAsia="Times New Roman" w:hAnsi="Times New Roman"/>
            <w:sz w:val="20"/>
            <w:szCs w:val="20"/>
          </w:rPr>
          <w:t xml:space="preserve">Рекомендации ESMO по NGS</w:t>
        </w:r>
      </w:hyperlink>
    </w:p>
    <w:p>
      <w:pPr>
        <w:spacing w:after="60" w:line="276"/>
      </w:pPr>
      <w:r>
        <w:rPr>
          <w:rFonts w:ascii="Times New Roman" w:cs="Times New Roman" w:eastAsia="Times New Roman" w:hAnsi="Times New Roman"/>
          <w:b/>
          <w:bCs/>
          <w:i w:val="false"/>
          <w:iCs w:val="false"/>
          <w:sz w:val="22"/>
          <w:szCs w:val="22"/>
        </w:rPr>
        <w:t xml:space="preserve">4. Клональное кроветворение при секвенировании опухолевой ткани проявляется как:</w:t>
      </w:r>
    </w:p>
    <w:p>
      <w:pPr>
        <w:spacing w:after="30" w:line="250"/>
        <w:ind w:left="340"/>
      </w:pPr>
      <w:r>
        <w:rPr>
          <w:rFonts w:ascii="Times New Roman" w:cs="Times New Roman" w:eastAsia="Times New Roman" w:hAnsi="Times New Roman"/>
          <w:b w:val="false"/>
          <w:bCs w:val="false"/>
          <w:i w:val="false"/>
          <w:iCs w:val="false"/>
          <w:sz w:val="21"/>
          <w:szCs w:val="21"/>
        </w:rPr>
        <w:t xml:space="preserve">A. Признак гемобластоза</w:t>
      </w:r>
    </w:p>
    <w:p>
      <w:pPr>
        <w:spacing w:after="30" w:line="250"/>
        <w:ind w:left="340"/>
      </w:pPr>
      <w:r>
        <w:rPr>
          <w:rFonts w:ascii="Times New Roman" w:cs="Times New Roman" w:eastAsia="Times New Roman" w:hAnsi="Times New Roman"/>
          <w:b w:val="false"/>
          <w:bCs w:val="false"/>
          <w:i w:val="false"/>
          <w:iCs w:val="false"/>
          <w:sz w:val="21"/>
          <w:szCs w:val="21"/>
        </w:rPr>
        <w:t xml:space="preserve">B. Артефакт фиксации</w:t>
      </w:r>
    </w:p>
    <w:p>
      <w:pPr>
        <w:spacing w:after="30" w:line="250"/>
        <w:ind w:left="340"/>
      </w:pPr>
      <w:r>
        <w:rPr>
          <w:rFonts w:ascii="Times New Roman" w:cs="Times New Roman" w:eastAsia="Times New Roman" w:hAnsi="Times New Roman"/>
          <w:b w:val="false"/>
          <w:bCs w:val="false"/>
          <w:i w:val="false"/>
          <w:iCs w:val="false"/>
          <w:sz w:val="21"/>
          <w:szCs w:val="21"/>
        </w:rPr>
        <w:t xml:space="preserve">C. Мутации в генах DNMT3A, TET2, ASXL1, происходящие из клеток крови в опухолевой ткани, а не из опухоли</w:t>
      </w:r>
    </w:p>
    <w:p>
      <w:pPr>
        <w:spacing w:after="30" w:line="250"/>
        <w:ind w:left="340"/>
      </w:pPr>
      <w:r>
        <w:rPr>
          <w:rFonts w:ascii="Times New Roman" w:cs="Times New Roman" w:eastAsia="Times New Roman" w:hAnsi="Times New Roman"/>
          <w:b w:val="false"/>
          <w:bCs w:val="false"/>
          <w:i w:val="false"/>
          <w:iCs w:val="false"/>
          <w:sz w:val="21"/>
          <w:szCs w:val="21"/>
        </w:rPr>
        <w:t xml:space="preserve">D. Ошибка биоинформатики</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C</w:t>
      </w:r>
    </w:p>
    <w:p>
      <w:pPr>
        <w:spacing w:after="40" w:line="250"/>
        <w:ind w:left="340"/>
      </w:pPr>
      <w:r>
        <w:rPr>
          <w:rFonts w:ascii="Times New Roman" w:cs="Times New Roman" w:eastAsia="Times New Roman" w:hAnsi="Times New Roman"/>
          <w:b w:val="false"/>
          <w:bCs w:val="false"/>
          <w:i/>
          <w:iCs/>
          <w:sz w:val="21"/>
          <w:szCs w:val="21"/>
        </w:rPr>
        <w:t xml:space="preserve">Пояснение. Кровь присутствует в любом образце опухоли и в плазме, поэтому мутации возрастного клонального кроветворения регулярно попадают в отчёт. Принять их за опухолевые — ошибка, ведущая к неверным выводам, особенно при анализе циркулирующей ДНК. Разграничение проводится сопоставлением с образцом крови и по спектру генов.</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wr-eoqj9zq36fmgsfzhsb">
        <w:r>
          <w:rPr>
            <w:rStyle w:val="Hyperlink"/>
            <w:rFonts w:ascii="Times New Roman" w:cs="Times New Roman" w:eastAsia="Times New Roman" w:hAnsi="Times New Roman"/>
            <w:sz w:val="20"/>
            <w:szCs w:val="20"/>
          </w:rPr>
          <w:t xml:space="preserve">Клональное кроветворение</w:t>
        </w:r>
      </w:hyperlink>
    </w:p>
    <w:p>
      <w:pPr>
        <w:spacing w:after="60" w:line="276"/>
      </w:pPr>
      <w:r>
        <w:rPr>
          <w:rFonts w:ascii="Times New Roman" w:cs="Times New Roman" w:eastAsia="Times New Roman" w:hAnsi="Times New Roman"/>
          <w:b/>
          <w:bCs/>
          <w:i w:val="false"/>
          <w:iCs w:val="false"/>
          <w:sz w:val="22"/>
          <w:szCs w:val="22"/>
        </w:rPr>
        <w:t xml:space="preserve">5. Основное ограничение отрицательного результата исследования циркулирующей опухолевой ДНК:</w:t>
      </w:r>
    </w:p>
    <w:p>
      <w:pPr>
        <w:spacing w:after="30" w:line="250"/>
        <w:ind w:left="340"/>
      </w:pPr>
      <w:r>
        <w:rPr>
          <w:rFonts w:ascii="Times New Roman" w:cs="Times New Roman" w:eastAsia="Times New Roman" w:hAnsi="Times New Roman"/>
          <w:b w:val="false"/>
          <w:bCs w:val="false"/>
          <w:i w:val="false"/>
          <w:iCs w:val="false"/>
          <w:sz w:val="21"/>
          <w:szCs w:val="21"/>
        </w:rPr>
        <w:t xml:space="preserve">A. Отрицательный результат не исключает мутации: опухоль может выделять мало ДНК, и требуется подтверждение на ткани</w:t>
      </w:r>
    </w:p>
    <w:p>
      <w:pPr>
        <w:spacing w:after="30" w:line="250"/>
        <w:ind w:left="340"/>
      </w:pPr>
      <w:r>
        <w:rPr>
          <w:rFonts w:ascii="Times New Roman" w:cs="Times New Roman" w:eastAsia="Times New Roman" w:hAnsi="Times New Roman"/>
          <w:b w:val="false"/>
          <w:bCs w:val="false"/>
          <w:i w:val="false"/>
          <w:iCs w:val="false"/>
          <w:sz w:val="21"/>
          <w:szCs w:val="21"/>
        </w:rPr>
        <w:t xml:space="preserve">B. Требует биопсии в любом случае</w:t>
      </w:r>
    </w:p>
    <w:p>
      <w:pPr>
        <w:spacing w:after="30" w:line="250"/>
        <w:ind w:left="340"/>
      </w:pPr>
      <w:r>
        <w:rPr>
          <w:rFonts w:ascii="Times New Roman" w:cs="Times New Roman" w:eastAsia="Times New Roman" w:hAnsi="Times New Roman"/>
          <w:b w:val="false"/>
          <w:bCs w:val="false"/>
          <w:i w:val="false"/>
          <w:iCs w:val="false"/>
          <w:sz w:val="21"/>
          <w:szCs w:val="21"/>
        </w:rPr>
        <w:t xml:space="preserve">C. Метод неприменим в онкологии</w:t>
      </w:r>
    </w:p>
    <w:p>
      <w:pPr>
        <w:spacing w:after="30" w:line="250"/>
        <w:ind w:left="340"/>
      </w:pPr>
      <w:r>
        <w:rPr>
          <w:rFonts w:ascii="Times New Roman" w:cs="Times New Roman" w:eastAsia="Times New Roman" w:hAnsi="Times New Roman"/>
          <w:b w:val="false"/>
          <w:bCs w:val="false"/>
          <w:i w:val="false"/>
          <w:iCs w:val="false"/>
          <w:sz w:val="21"/>
          <w:szCs w:val="21"/>
        </w:rPr>
        <w:t xml:space="preserve">D. Отрицательный результат исключает мутацию</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Количество опухолевой ДНК в плазме зависит от объёма опухоли, локализации и васкуляризации; при малом объёме, а также при метастазах только в мозг выделение ДНК минимально. Поэтому отрицательный результат при клиническом подозрении требует тканевого исследования, тогда как положительный обычно достоверен из-за высокой специфичности.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pvzwa_l6pt-r6bmvedisb">
        <w:r>
          <w:rPr>
            <w:rStyle w:val="Hyperlink"/>
            <w:rFonts w:ascii="Times New Roman" w:cs="Times New Roman" w:eastAsia="Times New Roman" w:hAnsi="Times New Roman"/>
            <w:sz w:val="20"/>
            <w:szCs w:val="20"/>
          </w:rPr>
          <w:t xml:space="preserve">Рекомендации ESMO по циркулирующей опухолевой ДНК</w:t>
        </w:r>
      </w:hyperlink>
    </w:p>
    <w:p>
      <w:pPr>
        <w:spacing w:after="60" w:line="276"/>
      </w:pPr>
      <w:r>
        <w:rPr>
          <w:rFonts w:ascii="Times New Roman" w:cs="Times New Roman" w:eastAsia="Times New Roman" w:hAnsi="Times New Roman"/>
          <w:b/>
          <w:bCs/>
          <w:i w:val="false"/>
          <w:iCs w:val="false"/>
          <w:sz w:val="22"/>
          <w:szCs w:val="22"/>
        </w:rPr>
        <w:t xml:space="preserve">6. Что показало исследование DYNAMIC при раке ободочной кишки II стадии?</w:t>
      </w:r>
    </w:p>
    <w:p>
      <w:pPr>
        <w:spacing w:after="30" w:line="250"/>
        <w:ind w:left="340"/>
      </w:pPr>
      <w:r>
        <w:rPr>
          <w:rFonts w:ascii="Times New Roman" w:cs="Times New Roman" w:eastAsia="Times New Roman" w:hAnsi="Times New Roman"/>
          <w:b w:val="false"/>
          <w:bCs w:val="false"/>
          <w:i w:val="false"/>
          <w:iCs w:val="false"/>
          <w:sz w:val="21"/>
          <w:szCs w:val="21"/>
        </w:rPr>
        <w:t xml:space="preserve">A. Циркулирующая ДНК неинформативна</w:t>
      </w:r>
    </w:p>
    <w:p>
      <w:pPr>
        <w:spacing w:after="30" w:line="250"/>
        <w:ind w:left="340"/>
      </w:pPr>
      <w:r>
        <w:rPr>
          <w:rFonts w:ascii="Times New Roman" w:cs="Times New Roman" w:eastAsia="Times New Roman" w:hAnsi="Times New Roman"/>
          <w:b w:val="false"/>
          <w:bCs w:val="false"/>
          <w:i w:val="false"/>
          <w:iCs w:val="false"/>
          <w:sz w:val="21"/>
          <w:szCs w:val="21"/>
        </w:rPr>
        <w:t xml:space="preserve">B. Тактика, основанная на определении циркулирующей опухолевой ДНК после операции, позволила существенно сократить назначение химиотерапии без ухудшения выживаемости</w:t>
      </w:r>
    </w:p>
    <w:p>
      <w:pPr>
        <w:spacing w:after="30" w:line="250"/>
        <w:ind w:left="340"/>
      </w:pPr>
      <w:r>
        <w:rPr>
          <w:rFonts w:ascii="Times New Roman" w:cs="Times New Roman" w:eastAsia="Times New Roman" w:hAnsi="Times New Roman"/>
          <w:b w:val="false"/>
          <w:bCs w:val="false"/>
          <w:i w:val="false"/>
          <w:iCs w:val="false"/>
          <w:sz w:val="21"/>
          <w:szCs w:val="21"/>
        </w:rPr>
        <w:t xml:space="preserve">C. Химиотерапия показана всем</w:t>
      </w:r>
    </w:p>
    <w:p>
      <w:pPr>
        <w:spacing w:after="30" w:line="250"/>
        <w:ind w:left="340"/>
      </w:pPr>
      <w:r>
        <w:rPr>
          <w:rFonts w:ascii="Times New Roman" w:cs="Times New Roman" w:eastAsia="Times New Roman" w:hAnsi="Times New Roman"/>
          <w:b w:val="false"/>
          <w:bCs w:val="false"/>
          <w:i w:val="false"/>
          <w:iCs w:val="false"/>
          <w:sz w:val="21"/>
          <w:szCs w:val="21"/>
        </w:rPr>
        <w:t xml:space="preserve">D. Адъювантная химиотерапия не нужна никому</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Это первое рандомизированное подтверждение клинической пользы оценки молекулярной остаточной болезни при солидной опухоли. Логика та же, что при гемобластозах: лечить тех, у кого болезнь осталась, и не лечить тех, у кого её нет. Метод активно изучается и в других нозологиях.</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p-7dhrwko2dg8luvcqplb">
        <w:r>
          <w:rPr>
            <w:rStyle w:val="Hyperlink"/>
            <w:rFonts w:ascii="Times New Roman" w:cs="Times New Roman" w:eastAsia="Times New Roman" w:hAnsi="Times New Roman"/>
            <w:sz w:val="20"/>
            <w:szCs w:val="20"/>
          </w:rPr>
          <w:t xml:space="preserve">DYNAMIC</w:t>
        </w:r>
      </w:hyperlink>
    </w:p>
    <w:p>
      <w:pPr>
        <w:spacing w:after="60" w:line="276"/>
      </w:pPr>
      <w:r>
        <w:rPr>
          <w:rFonts w:ascii="Times New Roman" w:cs="Times New Roman" w:eastAsia="Times New Roman" w:hAnsi="Times New Roman"/>
          <w:b/>
          <w:bCs/>
          <w:i w:val="false"/>
          <w:iCs w:val="false"/>
          <w:sz w:val="22"/>
          <w:szCs w:val="22"/>
        </w:rPr>
        <w:t xml:space="preserve">7. Слияния NTRK характеризуются тем, что:</w:t>
      </w:r>
    </w:p>
    <w:p>
      <w:pPr>
        <w:spacing w:after="30" w:line="250"/>
        <w:ind w:left="340"/>
      </w:pPr>
      <w:r>
        <w:rPr>
          <w:rFonts w:ascii="Times New Roman" w:cs="Times New Roman" w:eastAsia="Times New Roman" w:hAnsi="Times New Roman"/>
          <w:b w:val="false"/>
          <w:bCs w:val="false"/>
          <w:i w:val="false"/>
          <w:iCs w:val="false"/>
          <w:sz w:val="21"/>
          <w:szCs w:val="21"/>
        </w:rPr>
        <w:t xml:space="preserve">A. Выявляются только методом иммуногистохимии</w:t>
      </w:r>
    </w:p>
    <w:p>
      <w:pPr>
        <w:spacing w:after="30" w:line="250"/>
        <w:ind w:left="340"/>
      </w:pPr>
      <w:r>
        <w:rPr>
          <w:rFonts w:ascii="Times New Roman" w:cs="Times New Roman" w:eastAsia="Times New Roman" w:hAnsi="Times New Roman"/>
          <w:b w:val="false"/>
          <w:bCs w:val="false"/>
          <w:i w:val="false"/>
          <w:iCs w:val="false"/>
          <w:sz w:val="21"/>
          <w:szCs w:val="21"/>
        </w:rPr>
        <w:t xml:space="preserve">B. Встречаются часто во всех опухолях</w:t>
      </w:r>
    </w:p>
    <w:p>
      <w:pPr>
        <w:spacing w:after="30" w:line="250"/>
        <w:ind w:left="340"/>
      </w:pPr>
      <w:r>
        <w:rPr>
          <w:rFonts w:ascii="Times New Roman" w:cs="Times New Roman" w:eastAsia="Times New Roman" w:hAnsi="Times New Roman"/>
          <w:b w:val="false"/>
          <w:bCs w:val="false"/>
          <w:i w:val="false"/>
          <w:iCs w:val="false"/>
          <w:sz w:val="21"/>
          <w:szCs w:val="21"/>
        </w:rPr>
        <w:t xml:space="preserve">C. Не имеют клинического значения</w:t>
      </w:r>
    </w:p>
    <w:p>
      <w:pPr>
        <w:spacing w:after="30" w:line="250"/>
        <w:ind w:left="340"/>
      </w:pPr>
      <w:r>
        <w:rPr>
          <w:rFonts w:ascii="Times New Roman" w:cs="Times New Roman" w:eastAsia="Times New Roman" w:hAnsi="Times New Roman"/>
          <w:b w:val="false"/>
          <w:bCs w:val="false"/>
          <w:i w:val="false"/>
          <w:iCs w:val="false"/>
          <w:sz w:val="21"/>
          <w:szCs w:val="21"/>
        </w:rPr>
        <w:t xml:space="preserve">D. Редки в большинстве нозологий, но очень часты в отдельных редких формах; служат тканенезависимым показанием к ингибиторам TRK</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Частота менее 1 % в большинстве распространённых опухолей и близка к 100 % в отдельных редких формах, например в секреторной карциноме слюнной железы и инфантильной фибросаркоме. Ларотректиниб и энтректиниб дают высокую частоту ответов независимо от локализации. Для выявления слияний предпочтительны методики на основе РНК: панели на ДНК могут их пропускать.</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mbddc8pfgivxtq9qplyko">
        <w:r>
          <w:rPr>
            <w:rStyle w:val="Hyperlink"/>
            <w:rFonts w:ascii="Times New Roman" w:cs="Times New Roman" w:eastAsia="Times New Roman" w:hAnsi="Times New Roman"/>
            <w:sz w:val="20"/>
            <w:szCs w:val="20"/>
          </w:rPr>
          <w:t xml:space="preserve">Слияния NTRK</w:t>
        </w:r>
      </w:hyperlink>
    </w:p>
    <w:p>
      <w:pPr>
        <w:spacing w:after="60" w:line="276"/>
      </w:pPr>
      <w:r>
        <w:rPr>
          <w:rFonts w:ascii="Times New Roman" w:cs="Times New Roman" w:eastAsia="Times New Roman" w:hAnsi="Times New Roman"/>
          <w:b/>
          <w:bCs/>
          <w:i w:val="false"/>
          <w:iCs w:val="false"/>
          <w:sz w:val="22"/>
          <w:szCs w:val="22"/>
        </w:rPr>
        <w:t xml:space="preserve">8. Когда широкая панель NGS даёт наибольшую практическую пользу?</w:t>
      </w:r>
    </w:p>
    <w:p>
      <w:pPr>
        <w:spacing w:after="30" w:line="250"/>
        <w:ind w:left="340"/>
      </w:pPr>
      <w:r>
        <w:rPr>
          <w:rFonts w:ascii="Times New Roman" w:cs="Times New Roman" w:eastAsia="Times New Roman" w:hAnsi="Times New Roman"/>
          <w:b w:val="false"/>
          <w:bCs w:val="false"/>
          <w:i w:val="false"/>
          <w:iCs w:val="false"/>
          <w:sz w:val="21"/>
          <w:szCs w:val="21"/>
        </w:rPr>
        <w:t xml:space="preserve">A. Только при скрининге</w:t>
      </w:r>
    </w:p>
    <w:p>
      <w:pPr>
        <w:spacing w:after="30" w:line="250"/>
        <w:ind w:left="340"/>
      </w:pPr>
      <w:r>
        <w:rPr>
          <w:rFonts w:ascii="Times New Roman" w:cs="Times New Roman" w:eastAsia="Times New Roman" w:hAnsi="Times New Roman"/>
          <w:b w:val="false"/>
          <w:bCs w:val="false"/>
          <w:i w:val="false"/>
          <w:iCs w:val="false"/>
          <w:sz w:val="21"/>
          <w:szCs w:val="21"/>
        </w:rPr>
        <w:t xml:space="preserve">B. Только при гемобластозах</w:t>
      </w:r>
    </w:p>
    <w:p>
      <w:pPr>
        <w:spacing w:after="30" w:line="250"/>
        <w:ind w:left="340"/>
      </w:pPr>
      <w:r>
        <w:rPr>
          <w:rFonts w:ascii="Times New Roman" w:cs="Times New Roman" w:eastAsia="Times New Roman" w:hAnsi="Times New Roman"/>
          <w:b w:val="false"/>
          <w:bCs w:val="false"/>
          <w:i w:val="false"/>
          <w:iCs w:val="false"/>
          <w:sz w:val="21"/>
          <w:szCs w:val="21"/>
        </w:rPr>
        <w:t xml:space="preserve">C. При любой опухоли на любой стадии</w:t>
      </w:r>
    </w:p>
    <w:p>
      <w:pPr>
        <w:spacing w:after="30" w:line="250"/>
        <w:ind w:left="340"/>
      </w:pPr>
      <w:r>
        <w:rPr>
          <w:rFonts w:ascii="Times New Roman" w:cs="Times New Roman" w:eastAsia="Times New Roman" w:hAnsi="Times New Roman"/>
          <w:b w:val="false"/>
          <w:bCs w:val="false"/>
          <w:i w:val="false"/>
          <w:iCs w:val="false"/>
          <w:sz w:val="21"/>
          <w:szCs w:val="21"/>
        </w:rPr>
        <w:t xml:space="preserve">D. При распространённой опухоли, когда исчерпаны или ограничены стандартные опции, а также в нозологиях с большим числом действенных мишеней</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Рекомендации ESMO указывают нозологии, где широкое секвенирование оправдано рутинно, — в частности немелкоклеточный рак лёгкого, холангиокарцинома, опухоли из невыявленного очага. В остальных случаях оно применяется при исчерпании стандартных опций или в рамках исследований. Панель без клинического вопроса порождает находки, с которыми нечего делать.</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3gfvtp3l8x-wxq1-uyh2s">
        <w:r>
          <w:rPr>
            <w:rStyle w:val="Hyperlink"/>
            <w:rFonts w:ascii="Times New Roman" w:cs="Times New Roman" w:eastAsia="Times New Roman" w:hAnsi="Times New Roman"/>
            <w:sz w:val="20"/>
            <w:szCs w:val="20"/>
          </w:rPr>
          <w:t xml:space="preserve">Рекомендации ESMO по NGS</w:t>
        </w:r>
      </w:hyperlink>
    </w:p>
    <w:p>
      <w:pPr>
        <w:spacing w:after="60" w:line="276"/>
      </w:pPr>
      <w:r>
        <w:rPr>
          <w:rFonts w:ascii="Times New Roman" w:cs="Times New Roman" w:eastAsia="Times New Roman" w:hAnsi="Times New Roman"/>
          <w:b/>
          <w:bCs/>
          <w:i w:val="false"/>
          <w:iCs w:val="false"/>
          <w:sz w:val="22"/>
          <w:szCs w:val="22"/>
        </w:rPr>
        <w:t xml:space="preserve">9. Для выявления слияний генов предпочтительнее использовать:</w:t>
      </w:r>
    </w:p>
    <w:p>
      <w:pPr>
        <w:spacing w:after="30" w:line="250"/>
        <w:ind w:left="340"/>
      </w:pPr>
      <w:r>
        <w:rPr>
          <w:rFonts w:ascii="Times New Roman" w:cs="Times New Roman" w:eastAsia="Times New Roman" w:hAnsi="Times New Roman"/>
          <w:b w:val="false"/>
          <w:bCs w:val="false"/>
          <w:i w:val="false"/>
          <w:iCs w:val="false"/>
          <w:sz w:val="21"/>
          <w:szCs w:val="21"/>
        </w:rPr>
        <w:t xml:space="preserve">A. Только флуоресцентную гибридизацию</w:t>
      </w:r>
    </w:p>
    <w:p>
      <w:pPr>
        <w:spacing w:after="30" w:line="250"/>
        <w:ind w:left="340"/>
      </w:pPr>
      <w:r>
        <w:rPr>
          <w:rFonts w:ascii="Times New Roman" w:cs="Times New Roman" w:eastAsia="Times New Roman" w:hAnsi="Times New Roman"/>
          <w:b w:val="false"/>
          <w:bCs w:val="false"/>
          <w:i w:val="false"/>
          <w:iCs w:val="false"/>
          <w:sz w:val="21"/>
          <w:szCs w:val="21"/>
        </w:rPr>
        <w:t xml:space="preserve">B. Панели на основе ДНК</w:t>
      </w:r>
    </w:p>
    <w:p>
      <w:pPr>
        <w:spacing w:after="30" w:line="250"/>
        <w:ind w:left="340"/>
      </w:pPr>
      <w:r>
        <w:rPr>
          <w:rFonts w:ascii="Times New Roman" w:cs="Times New Roman" w:eastAsia="Times New Roman" w:hAnsi="Times New Roman"/>
          <w:b w:val="false"/>
          <w:bCs w:val="false"/>
          <w:i w:val="false"/>
          <w:iCs w:val="false"/>
          <w:sz w:val="21"/>
          <w:szCs w:val="21"/>
        </w:rPr>
        <w:t xml:space="preserve">C. Методики на основе РНК либо специализированные ДНК-панели с покрытием интронов</w:t>
      </w:r>
    </w:p>
    <w:p>
      <w:pPr>
        <w:spacing w:after="30" w:line="250"/>
        <w:ind w:left="340"/>
      </w:pPr>
      <w:r>
        <w:rPr>
          <w:rFonts w:ascii="Times New Roman" w:cs="Times New Roman" w:eastAsia="Times New Roman" w:hAnsi="Times New Roman"/>
          <w:b w:val="false"/>
          <w:bCs w:val="false"/>
          <w:i w:val="false"/>
          <w:iCs w:val="false"/>
          <w:sz w:val="21"/>
          <w:szCs w:val="21"/>
        </w:rPr>
        <w:t xml:space="preserve">D. Иммуногистохимию</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C</w:t>
      </w:r>
    </w:p>
    <w:p>
      <w:pPr>
        <w:spacing w:after="40" w:line="250"/>
        <w:ind w:left="340"/>
      </w:pPr>
      <w:r>
        <w:rPr>
          <w:rFonts w:ascii="Times New Roman" w:cs="Times New Roman" w:eastAsia="Times New Roman" w:hAnsi="Times New Roman"/>
          <w:b w:val="false"/>
          <w:bCs w:val="false"/>
          <w:i/>
          <w:iCs/>
          <w:sz w:val="21"/>
          <w:szCs w:val="21"/>
        </w:rPr>
        <w:t xml:space="preserve">Пояснение. Точки разрыва при слияниях часто лежат в крупных интронах, плохо покрываемых стандартными ДНК-панелями. Секвенирование РНК напрямую выявляет химерный транскрипт. Иммуногистохимия применима как скрининговый метод для отдельных мишеней (ALK, ROS1, пан-TRK), но требует подтверждения.</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kb2ohgms_ooabrkvzgfdf">
        <w:r>
          <w:rPr>
            <w:rStyle w:val="Hyperlink"/>
            <w:rFonts w:ascii="Times New Roman" w:cs="Times New Roman" w:eastAsia="Times New Roman" w:hAnsi="Times New Roman"/>
            <w:sz w:val="20"/>
            <w:szCs w:val="20"/>
          </w:rPr>
          <w:t xml:space="preserve">Рекомендации ESMO по NGS</w:t>
        </w:r>
      </w:hyperlink>
    </w:p>
    <w:p>
      <w:pPr>
        <w:spacing w:after="60" w:line="276"/>
      </w:pPr>
      <w:r>
        <w:rPr>
          <w:rFonts w:ascii="Times New Roman" w:cs="Times New Roman" w:eastAsia="Times New Roman" w:hAnsi="Times New Roman"/>
          <w:b/>
          <w:bCs/>
          <w:i w:val="false"/>
          <w:iCs w:val="false"/>
          <w:sz w:val="22"/>
          <w:szCs w:val="22"/>
        </w:rPr>
        <w:t xml:space="preserve">10. Что такое молекулярный консилиум и зачем он нужен?</w:t>
      </w:r>
    </w:p>
    <w:p>
      <w:pPr>
        <w:spacing w:after="30" w:line="250"/>
        <w:ind w:left="340"/>
      </w:pPr>
      <w:r>
        <w:rPr>
          <w:rFonts w:ascii="Times New Roman" w:cs="Times New Roman" w:eastAsia="Times New Roman" w:hAnsi="Times New Roman"/>
          <w:b w:val="false"/>
          <w:bCs w:val="false"/>
          <w:i w:val="false"/>
          <w:iCs w:val="false"/>
          <w:sz w:val="21"/>
          <w:szCs w:val="21"/>
        </w:rPr>
        <w:t xml:space="preserve">A. Мультидисциплинарное обсуждение молекулярных отчётов, повышающее долю больных, реально получающих терапию по результату тестирования</w:t>
      </w:r>
    </w:p>
    <w:p>
      <w:pPr>
        <w:spacing w:after="30" w:line="250"/>
        <w:ind w:left="340"/>
      </w:pPr>
      <w:r>
        <w:rPr>
          <w:rFonts w:ascii="Times New Roman" w:cs="Times New Roman" w:eastAsia="Times New Roman" w:hAnsi="Times New Roman"/>
          <w:b w:val="false"/>
          <w:bCs w:val="false"/>
          <w:i w:val="false"/>
          <w:iCs w:val="false"/>
          <w:sz w:val="21"/>
          <w:szCs w:val="21"/>
        </w:rPr>
        <w:t xml:space="preserve">B. Формальная процедура</w:t>
      </w:r>
    </w:p>
    <w:p>
      <w:pPr>
        <w:spacing w:after="30" w:line="250"/>
        <w:ind w:left="340"/>
      </w:pPr>
      <w:r>
        <w:rPr>
          <w:rFonts w:ascii="Times New Roman" w:cs="Times New Roman" w:eastAsia="Times New Roman" w:hAnsi="Times New Roman"/>
          <w:b w:val="false"/>
          <w:bCs w:val="false"/>
          <w:i w:val="false"/>
          <w:iCs w:val="false"/>
          <w:sz w:val="21"/>
          <w:szCs w:val="21"/>
        </w:rPr>
        <w:t xml:space="preserve">C. Способ ускорить анализ</w:t>
      </w:r>
    </w:p>
    <w:p>
      <w:pPr>
        <w:spacing w:after="30" w:line="250"/>
        <w:ind w:left="340"/>
      </w:pPr>
      <w:r>
        <w:rPr>
          <w:rFonts w:ascii="Times New Roman" w:cs="Times New Roman" w:eastAsia="Times New Roman" w:hAnsi="Times New Roman"/>
          <w:b w:val="false"/>
          <w:bCs w:val="false"/>
          <w:i w:val="false"/>
          <w:iCs w:val="false"/>
          <w:sz w:val="21"/>
          <w:szCs w:val="21"/>
        </w:rPr>
        <w:t xml:space="preserve">D. Замена патоморфологическому заключению</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Разрыв между числом выявленных мишеней и числом больных, реально получивших соответствующее лечение, велик. Молекулярный консилиум с участием онколога, патолога, генетика и биоинформатика этот разрыв сокращает: он ранжирует находки по ESCAT, проверяет доступность препаратов и подбирает клинические исследования.</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eedu6w4ol1zc_gt-nxjsq">
        <w:r>
          <w:rPr>
            <w:rStyle w:val="Hyperlink"/>
            <w:rFonts w:ascii="Times New Roman" w:cs="Times New Roman" w:eastAsia="Times New Roman" w:hAnsi="Times New Roman"/>
            <w:sz w:val="20"/>
            <w:szCs w:val="20"/>
          </w:rPr>
          <w:t xml:space="preserve">Молекулярный консилиум</w:t>
        </w:r>
      </w:hyperlink>
    </w:p>
    <w:p>
      <w:r>
        <w:br w:type="page"/>
      </w:r>
    </w:p>
    <w:p>
      <w:pPr>
        <w:pStyle w:val="Heading2"/>
        <w:spacing w:after="130" w:before="260"/>
      </w:pPr>
      <w:r>
        <w:rPr>
          <w:rFonts w:ascii="Times New Roman" w:cs="Times New Roman" w:eastAsia="Times New Roman" w:hAnsi="Times New Roman"/>
          <w:b/>
          <w:bCs/>
          <w:sz w:val="26"/>
          <w:szCs w:val="26"/>
        </w:rPr>
        <w:t xml:space="preserve">Б2. Клинические задачи</w:t>
      </w:r>
    </w:p>
    <w:p>
      <w:pPr>
        <w:pStyle w:val="Heading3"/>
        <w:spacing w:after="130" w:before="260"/>
      </w:pPr>
      <w:r>
        <w:rPr>
          <w:rFonts w:ascii="Times New Roman" w:cs="Times New Roman" w:eastAsia="Times New Roman" w:hAnsi="Times New Roman"/>
          <w:b/>
          <w:bCs/>
          <w:sz w:val="23"/>
          <w:szCs w:val="23"/>
        </w:rPr>
        <w:t xml:space="preserve">Задача 1. Разбор отчёта NGS</w:t>
      </w:r>
    </w:p>
    <w:p>
      <w:pPr>
        <w:spacing w:after="120" w:line="276"/>
      </w:pPr>
      <w:r>
        <w:rPr>
          <w:rFonts w:ascii="Times New Roman" w:cs="Times New Roman" w:eastAsia="Times New Roman" w:hAnsi="Times New Roman"/>
          <w:b w:val="false"/>
          <w:bCs w:val="false"/>
          <w:i w:val="false"/>
          <w:iCs w:val="false"/>
          <w:sz w:val="22"/>
          <w:szCs w:val="22"/>
        </w:rPr>
        <w:t xml:space="preserve">Больной с распространённой холангиокарциномой. Отчёт: слияние FGFR2-BICC1, мутация TP53 p.R248W, амплификация MDM2, а также 8 вариантов с неопределённой значимостью.</w:t>
      </w:r>
    </w:p>
    <w:p>
      <w:pPr>
        <w:spacing w:after="120" w:line="276"/>
      </w:pPr>
      <w:r>
        <w:rPr>
          <w:rFonts w:ascii="Times New Roman" w:cs="Times New Roman" w:eastAsia="Times New Roman" w:hAnsi="Times New Roman"/>
          <w:b/>
          <w:bCs/>
          <w:i w:val="false"/>
          <w:iCs w:val="false"/>
          <w:sz w:val="22"/>
          <w:szCs w:val="22"/>
        </w:rPr>
        <w:t xml:space="preserve">Вопросы: 1) Что действенно? 2) Как ранжировать по ESCAT? 3) Что делать с VUS?</w:t>
      </w:r>
    </w:p>
    <w:p>
      <w:pPr>
        <w:spacing w:after="60" w:line="270"/>
      </w:pPr>
      <w:r>
        <w:rPr>
          <w:rFonts w:ascii="Times New Roman" w:cs="Times New Roman" w:eastAsia="Times New Roman" w:hAnsi="Times New Roman"/>
          <w:b w:val="false"/>
          <w:bCs w:val="false"/>
          <w:i/>
          <w:iCs/>
          <w:sz w:val="21"/>
          <w:szCs w:val="21"/>
        </w:rPr>
        <w:t xml:space="preserve">Эталонный ответ. Слияние FGFR2 — действенная мишень при холангиокарциноме с зарегистрированными ингибиторами FGFR, высокий уровень по ESCAT для данной нозологии. Мутация TP53 в подавляющем большинстве случаев не является мишенью и имеет прогностическое, а не предиктивное значение. Амплификация MDM2 представляет интерес как мишень исследуемых препаратов и соответствует низкому уровню ESCAT — основание искать клиническое исследование, а не назначать терапию вне протокола. Варианты с неопределённой значимостью в решениях не используются; их можно переоценить через год-два, когда базы обновятся. Практический вывод: из одиннадцати находок клиническое решение определяет одна.</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vmmwbr-qrxm7pwdl9f6sf">
        <w:r>
          <w:rPr>
            <w:rStyle w:val="Hyperlink"/>
            <w:rFonts w:ascii="Times New Roman" w:cs="Times New Roman" w:eastAsia="Times New Roman" w:hAnsi="Times New Roman"/>
            <w:sz w:val="20"/>
            <w:szCs w:val="20"/>
          </w:rPr>
          <w:t xml:space="preserve">Шкала ESCAT</w:t>
        </w:r>
      </w:hyperlink>
      <w:r>
        <w:rPr>
          <w:rFonts w:ascii="Times New Roman" w:cs="Times New Roman" w:eastAsia="Times New Roman" w:hAnsi="Times New Roman"/>
          <w:b w:val="false"/>
          <w:bCs w:val="false"/>
          <w:i w:val="false"/>
          <w:iCs w:val="false"/>
          <w:sz w:val="20"/>
          <w:szCs w:val="20"/>
        </w:rPr>
        <w:t xml:space="preserve"> · </w:t>
      </w:r>
      <w:hyperlink w:history="1" r:id="rIdgh5x0xzlz9cazcqjdaini">
        <w:r>
          <w:rPr>
            <w:rStyle w:val="Hyperlink"/>
            <w:rFonts w:ascii="Times New Roman" w:cs="Times New Roman" w:eastAsia="Times New Roman" w:hAnsi="Times New Roman"/>
            <w:sz w:val="20"/>
            <w:szCs w:val="20"/>
          </w:rPr>
          <w:t xml:space="preserve">OncoKB</w:t>
        </w:r>
      </w:hyperlink>
    </w:p>
    <w:p>
      <w:pPr>
        <w:pStyle w:val="Heading3"/>
        <w:spacing w:after="130" w:before="260"/>
      </w:pPr>
      <w:r>
        <w:rPr>
          <w:rFonts w:ascii="Times New Roman" w:cs="Times New Roman" w:eastAsia="Times New Roman" w:hAnsi="Times New Roman"/>
          <w:b/>
          <w:bCs/>
          <w:sz w:val="23"/>
          <w:szCs w:val="23"/>
        </w:rPr>
        <w:t xml:space="preserve">Задача 2. Мало ткани</w:t>
      </w:r>
    </w:p>
    <w:p>
      <w:pPr>
        <w:spacing w:after="120" w:line="276"/>
      </w:pPr>
      <w:r>
        <w:rPr>
          <w:rFonts w:ascii="Times New Roman" w:cs="Times New Roman" w:eastAsia="Times New Roman" w:hAnsi="Times New Roman"/>
          <w:b w:val="false"/>
          <w:bCs w:val="false"/>
          <w:i w:val="false"/>
          <w:iCs w:val="false"/>
          <w:sz w:val="22"/>
          <w:szCs w:val="22"/>
        </w:rPr>
        <w:t xml:space="preserve">Больная с аденокарциномой лёгкого. Материала биопсии хватило только на гистологический диагноз и PD-L1; на молекулярное исследование ткани не осталось. Состояние стабильное, времени на повторную биопсию нет.</w:t>
      </w:r>
    </w:p>
    <w:p>
      <w:pPr>
        <w:spacing w:after="120" w:line="276"/>
      </w:pPr>
      <w:r>
        <w:rPr>
          <w:rFonts w:ascii="Times New Roman" w:cs="Times New Roman" w:eastAsia="Times New Roman" w:hAnsi="Times New Roman"/>
          <w:b/>
          <w:bCs/>
          <w:i w:val="false"/>
          <w:iCs w:val="false"/>
          <w:sz w:val="22"/>
          <w:szCs w:val="22"/>
        </w:rPr>
        <w:t xml:space="preserve">Вопросы: 1) Какие опции? 2) Как трактовать результат? 3) Что если результат отрицательный?</w:t>
      </w:r>
    </w:p>
    <w:p>
      <w:pPr>
        <w:spacing w:after="60" w:line="270"/>
      </w:pPr>
      <w:r>
        <w:rPr>
          <w:rFonts w:ascii="Times New Roman" w:cs="Times New Roman" w:eastAsia="Times New Roman" w:hAnsi="Times New Roman"/>
          <w:b w:val="false"/>
          <w:bCs w:val="false"/>
          <w:i/>
          <w:iCs/>
          <w:sz w:val="21"/>
          <w:szCs w:val="21"/>
        </w:rPr>
        <w:t xml:space="preserve">Эталонный ответ. Обосновано исследование циркулирующей опухолевой ДНК: оно выявляет драйверные нарушения без биопсии и отражает суммарный профиль очагов. Положительный результат высокоспецифичен и служит основанием для назначения таргетной терапии. Отрицательный результат мутации не исключает: при малом объёме опухоли или отсутствии активного выделения ДНК чувствительность падает. Поэтому при отрицательном результате и сохраняющемся клиническом подозрении — молодой некурящий пациент, аденокарцинома — необходима повторная биопсия либо исследование архивного материала первичной опухоли, если он доступен.</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iblx7znwinj-gcxuaeqji">
        <w:r>
          <w:rPr>
            <w:rStyle w:val="Hyperlink"/>
            <w:rFonts w:ascii="Times New Roman" w:cs="Times New Roman" w:eastAsia="Times New Roman" w:hAnsi="Times New Roman"/>
            <w:sz w:val="20"/>
            <w:szCs w:val="20"/>
          </w:rPr>
          <w:t xml:space="preserve">Рекомендации ESMO по циркулирующей опухолевой ДНК</w:t>
        </w:r>
      </w:hyperlink>
      <w:r>
        <w:rPr>
          <w:rFonts w:ascii="Times New Roman" w:cs="Times New Roman" w:eastAsia="Times New Roman" w:hAnsi="Times New Roman"/>
          <w:b w:val="false"/>
          <w:bCs w:val="false"/>
          <w:i w:val="false"/>
          <w:iCs w:val="false"/>
          <w:sz w:val="20"/>
          <w:szCs w:val="20"/>
        </w:rPr>
        <w:t xml:space="preserve"> · </w:t>
      </w:r>
      <w:hyperlink w:history="1" r:id="rIdvlo0qc-ypb33brgxbmpxm">
        <w:r>
          <w:rPr>
            <w:rStyle w:val="Hyperlink"/>
            <w:rFonts w:ascii="Times New Roman" w:cs="Times New Roman" w:eastAsia="Times New Roman" w:hAnsi="Times New Roman"/>
            <w:sz w:val="20"/>
            <w:szCs w:val="20"/>
          </w:rPr>
          <w:t xml:space="preserve">Рекомендации ESMO по NGS</w:t>
        </w:r>
      </w:hyperlink>
    </w:p>
    <w:p>
      <w:pPr>
        <w:pStyle w:val="Heading3"/>
        <w:spacing w:after="130" w:before="260"/>
      </w:pPr>
      <w:r>
        <w:rPr>
          <w:rFonts w:ascii="Times New Roman" w:cs="Times New Roman" w:eastAsia="Times New Roman" w:hAnsi="Times New Roman"/>
          <w:b/>
          <w:bCs/>
          <w:sz w:val="23"/>
          <w:szCs w:val="23"/>
        </w:rPr>
        <w:t xml:space="preserve">Задача 3. Неожиданная находка</w:t>
      </w:r>
    </w:p>
    <w:p>
      <w:pPr>
        <w:spacing w:after="120" w:line="276"/>
      </w:pPr>
      <w:r>
        <w:rPr>
          <w:rFonts w:ascii="Times New Roman" w:cs="Times New Roman" w:eastAsia="Times New Roman" w:hAnsi="Times New Roman"/>
          <w:b w:val="false"/>
          <w:bCs w:val="false"/>
          <w:i w:val="false"/>
          <w:iCs w:val="false"/>
          <w:sz w:val="22"/>
          <w:szCs w:val="22"/>
        </w:rPr>
        <w:t xml:space="preserve">При секвенировании опухоли яичника у женщины 52 лет выявлена мутация BRCA2 с частотой аллеля 48 %. Семейный анамнез не отягощён.</w:t>
      </w:r>
    </w:p>
    <w:p>
      <w:pPr>
        <w:spacing w:after="120" w:line="276"/>
      </w:pPr>
      <w:r>
        <w:rPr>
          <w:rFonts w:ascii="Times New Roman" w:cs="Times New Roman" w:eastAsia="Times New Roman" w:hAnsi="Times New Roman"/>
          <w:b/>
          <w:bCs/>
          <w:i w:val="false"/>
          <w:iCs w:val="false"/>
          <w:sz w:val="22"/>
          <w:szCs w:val="22"/>
        </w:rPr>
        <w:t xml:space="preserve">Вопросы: 1) О чём говорит частота аллеля? 2) Что предпринять? 3) Какие следствия?</w:t>
      </w:r>
    </w:p>
    <w:p>
      <w:pPr>
        <w:spacing w:after="60" w:line="270"/>
      </w:pPr>
      <w:r>
        <w:rPr>
          <w:rFonts w:ascii="Times New Roman" w:cs="Times New Roman" w:eastAsia="Times New Roman" w:hAnsi="Times New Roman"/>
          <w:b w:val="false"/>
          <w:bCs w:val="false"/>
          <w:i/>
          <w:iCs/>
          <w:sz w:val="21"/>
          <w:szCs w:val="21"/>
        </w:rPr>
        <w:t xml:space="preserve">Эталонный ответ. Частота около 50 % характерна для герминальной мутации, присутствующей во всех клетках организма, тогда как соматические мутации обычно имеют иную частоту, зависящую от доли опухолевых клеток. Однако по одному опухолевому образцу подтвердить герминальную природу нельзя: нужно исследование крови или буккального эпителия. Следствия при подтверждении существенны: показания к PARP-ингибиторам, каскадное тестирование родственников первой степени, включая мужчин, у которых мутация BRCA2 повышает риск рака предстательной железы и молочной железы, обсуждение риск-снижающих вмешательств. Отсутствие отягощённого анамнеза герминальную мутацию не исключает.</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8cfgdwfmelzcvixewt8tl">
        <w:r>
          <w:rPr>
            <w:rStyle w:val="Hyperlink"/>
            <w:rFonts w:ascii="Times New Roman" w:cs="Times New Roman" w:eastAsia="Times New Roman" w:hAnsi="Times New Roman"/>
            <w:sz w:val="20"/>
            <w:szCs w:val="20"/>
          </w:rPr>
          <w:t xml:space="preserve">Рекомендации ESMO по NGS</w:t>
        </w:r>
      </w:hyperlink>
      <w:r>
        <w:rPr>
          <w:rFonts w:ascii="Times New Roman" w:cs="Times New Roman" w:eastAsia="Times New Roman" w:hAnsi="Times New Roman"/>
          <w:b w:val="false"/>
          <w:bCs w:val="false"/>
          <w:i w:val="false"/>
          <w:iCs w:val="false"/>
          <w:sz w:val="20"/>
          <w:szCs w:val="20"/>
        </w:rPr>
        <w:t xml:space="preserve"> · </w:t>
      </w:r>
      <w:hyperlink w:history="1" r:id="rIdx_qrrumvztslkmuv9lev1">
        <w:r>
          <w:rPr>
            <w:rStyle w:val="Hyperlink"/>
            <w:rFonts w:ascii="Times New Roman" w:cs="Times New Roman" w:eastAsia="Times New Roman" w:hAnsi="Times New Roman"/>
            <w:sz w:val="20"/>
            <w:szCs w:val="20"/>
          </w:rPr>
          <w:t xml:space="preserve">OncoKB</w:t>
        </w:r>
      </w:hyperlink>
    </w:p>
    <w:p>
      <w:pPr>
        <w:pStyle w:val="Heading3"/>
        <w:spacing w:after="130" w:before="260"/>
      </w:pPr>
      <w:r>
        <w:rPr>
          <w:rFonts w:ascii="Times New Roman" w:cs="Times New Roman" w:eastAsia="Times New Roman" w:hAnsi="Times New Roman"/>
          <w:b/>
          <w:bCs/>
          <w:sz w:val="23"/>
          <w:szCs w:val="23"/>
        </w:rPr>
        <w:t xml:space="preserve">Задача 4. Мутация в гене крови</w:t>
      </w:r>
    </w:p>
    <w:p>
      <w:pPr>
        <w:spacing w:after="120" w:line="276"/>
      </w:pPr>
      <w:r>
        <w:rPr>
          <w:rFonts w:ascii="Times New Roman" w:cs="Times New Roman" w:eastAsia="Times New Roman" w:hAnsi="Times New Roman"/>
          <w:b w:val="false"/>
          <w:bCs w:val="false"/>
          <w:i w:val="false"/>
          <w:iCs w:val="false"/>
          <w:sz w:val="22"/>
          <w:szCs w:val="22"/>
        </w:rPr>
        <w:t xml:space="preserve">В отчёте по циркулирующей опухолевой ДНК больного раком предстательной железы выявлены мутации DNMT3A и TET2 с частотой аллеля 3–4 % и мутация BRCA2 с частотой 0,8 %.</w:t>
      </w:r>
    </w:p>
    <w:p>
      <w:pPr>
        <w:spacing w:after="120" w:line="276"/>
      </w:pPr>
      <w:r>
        <w:rPr>
          <w:rFonts w:ascii="Times New Roman" w:cs="Times New Roman" w:eastAsia="Times New Roman" w:hAnsi="Times New Roman"/>
          <w:b/>
          <w:bCs/>
          <w:i w:val="false"/>
          <w:iCs w:val="false"/>
          <w:sz w:val="22"/>
          <w:szCs w:val="22"/>
        </w:rPr>
        <w:t xml:space="preserve">Вопросы: 1) Как трактовать находки? 2) Что необходимо? 3) Какова цена ошибки?</w:t>
      </w:r>
    </w:p>
    <w:p>
      <w:pPr>
        <w:spacing w:after="60" w:line="270"/>
      </w:pPr>
      <w:r>
        <w:rPr>
          <w:rFonts w:ascii="Times New Roman" w:cs="Times New Roman" w:eastAsia="Times New Roman" w:hAnsi="Times New Roman"/>
          <w:b w:val="false"/>
          <w:bCs w:val="false"/>
          <w:i/>
          <w:iCs/>
          <w:sz w:val="21"/>
          <w:szCs w:val="21"/>
        </w:rPr>
        <w:t xml:space="preserve">Эталонный ответ. DNMT3A и TET2 — классические гены клонального кроветворения; при относительно высокой частоте аллеля на фоне низкой опухолевой фракции они почти наверняка происходят из клеток крови, а не из опухоли, и клинического значения для лечения опухоли не имеют. Мутация BRCA2 с низкой частотой соответствует ожидаемой опухолевой фракции и потенциально действенна — она открывает путь к PARP-ингибитору. Необходимо сопоставление с образцом крови для разграничения источников и подтверждение находки на ткани при возможности. Цена ошибки двойная: приписав опухоли мутации кроветворения, врач сделает неверные выводы о её биологии, а пропустив BRCA2 — лишит больного эффективного препарата.</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ig5d-j1thtr1dts1biays">
        <w:r>
          <w:rPr>
            <w:rStyle w:val="Hyperlink"/>
            <w:rFonts w:ascii="Times New Roman" w:cs="Times New Roman" w:eastAsia="Times New Roman" w:hAnsi="Times New Roman"/>
            <w:sz w:val="20"/>
            <w:szCs w:val="20"/>
          </w:rPr>
          <w:t xml:space="preserve">Клональное кроветворение</w:t>
        </w:r>
      </w:hyperlink>
      <w:r>
        <w:rPr>
          <w:rFonts w:ascii="Times New Roman" w:cs="Times New Roman" w:eastAsia="Times New Roman" w:hAnsi="Times New Roman"/>
          <w:b w:val="false"/>
          <w:bCs w:val="false"/>
          <w:i w:val="false"/>
          <w:iCs w:val="false"/>
          <w:sz w:val="20"/>
          <w:szCs w:val="20"/>
        </w:rPr>
        <w:t xml:space="preserve"> · </w:t>
      </w:r>
      <w:hyperlink w:history="1" r:id="rIdqvxarcb1qpeminv4czyy2">
        <w:r>
          <w:rPr>
            <w:rStyle w:val="Hyperlink"/>
            <w:rFonts w:ascii="Times New Roman" w:cs="Times New Roman" w:eastAsia="Times New Roman" w:hAnsi="Times New Roman"/>
            <w:sz w:val="20"/>
            <w:szCs w:val="20"/>
          </w:rPr>
          <w:t xml:space="preserve">Рекомендации ESMO по циркулирующей опухолевой ДНК</w:t>
        </w:r>
      </w:hyperlink>
    </w:p>
    <w:p>
      <w:pPr>
        <w:pStyle w:val="Heading2"/>
        <w:spacing w:after="130" w:before="260"/>
      </w:pPr>
      <w:r>
        <w:rPr>
          <w:rFonts w:ascii="Times New Roman" w:cs="Times New Roman" w:eastAsia="Times New Roman" w:hAnsi="Times New Roman"/>
          <w:b/>
          <w:bCs/>
          <w:sz w:val="26"/>
          <w:szCs w:val="26"/>
        </w:rPr>
        <w:t xml:space="preserve">Б3. Дополнительные материалы</w:t>
      </w:r>
    </w:p>
    <w:p>
      <w:pPr>
        <w:pStyle w:val="Heading3"/>
        <w:spacing w:after="130" w:before="260"/>
      </w:pPr>
      <w:r>
        <w:rPr>
          <w:rFonts w:ascii="Times New Roman" w:cs="Times New Roman" w:eastAsia="Times New Roman" w:hAnsi="Times New Roman"/>
          <w:b/>
          <w:bCs/>
          <w:sz w:val="23"/>
          <w:szCs w:val="23"/>
        </w:rPr>
        <w:t xml:space="preserve">Вопросы для устного разбора</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отчёт NGS без ранжирования по ESCAT практически бесполезен?</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В каких ситуациях жидкостная биопсия предпочтительнее тканевой, а в каких её результат нельзя использовать?</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Как объяснить пациенту, что найденная мутация не означает наличия лекарства?</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Что нужно, чтобы молекулярный консилиум в отделении работал, а не существовал формально?</w:t>
      </w:r>
    </w:p>
    <w:p>
      <w:pPr>
        <w:pStyle w:val="Heading3"/>
        <w:spacing w:after="130" w:before="260"/>
      </w:pPr>
      <w:r>
        <w:rPr>
          <w:rFonts w:ascii="Times New Roman" w:cs="Times New Roman" w:eastAsia="Times New Roman" w:hAnsi="Times New Roman"/>
          <w:b/>
          <w:bCs/>
          <w:sz w:val="23"/>
          <w:szCs w:val="23"/>
        </w:rPr>
        <w:t xml:space="preserve">Чек-лист по теме (для дневника ординатора)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Навык</w:t>
            </w:r>
          </w:p>
        </w:tc>
        <w:tc>
          <w:tcPr>
            <w:tcW w:type="dxa" w:w="41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Отметка</w:t>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Самостоятельно разобрал отчёт NGS и проранжировал находки по ESCAT</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Проверил клиническую значимость альтерации в OncoKB</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Обосновал выбор между тканевым и жидкостным исследованием</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Распознал признаки клонального кроветворения в отчёте</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Подобрал клиническое исследование под выявленную мишень</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bl>
    <w:p>
      <w:pPr>
        <w:spacing w:after="120" w:line="276"/>
      </w:pPr>
      <w:r>
        <w:rPr>
          <w:rFonts w:ascii="Times New Roman" w:cs="Times New Roman" w:eastAsia="Times New Roman" w:hAnsi="Times New Roman"/>
          <w:b w:val="false"/>
          <w:bCs w:val="false"/>
          <w:i w:val="false"/>
          <w:iCs w:val="false"/>
          <w:sz w:val="22"/>
          <w:szCs w:val="22"/>
        </w:rPr>
        <w:t xml:space="preserve"/>
      </w:r>
    </w:p>
    <w:p>
      <w:pPr>
        <w:spacing w:after="120" w:line="276"/>
      </w:pPr>
      <w:r>
        <w:rPr>
          <w:rFonts w:ascii="Times New Roman" w:cs="Times New Roman" w:eastAsia="Times New Roman" w:hAnsi="Times New Roman"/>
          <w:b w:val="false"/>
          <w:bCs w:val="false"/>
          <w:i/>
          <w:iCs/>
          <w:sz w:val="22"/>
          <w:szCs w:val="22"/>
        </w:rPr>
        <w:t xml:space="preserve">Материал подготовлен по состоянию на август 2026 г. Перед началом учебного года проверить актуальность редакций клинических рекомендаций и работоспособность ссылок.</w:t>
      </w:r>
    </w:p>
    <w:sectPr>
      <w:pgSz w:w="11906" w:h="16838" w:orient="portrait"/>
      <w:pgMar w:top="1000" w:right="9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2E5496"/>
      <w:sz w:val="26"/>
      <w:szCs w:val="26"/>
    </w:rPr>
  </w:style>
  <w:style w:type="paragraph" w:styleId="Heading3">
    <w:name w:val="Heading 3"/>
    <w:basedOn w:val="Normal"/>
    <w:next w:val="Normal"/>
    <w:qFormat/>
    <w:rPr>
      <w:rFonts w:ascii="Times New Roman" w:cs="Times New Roman" w:eastAsia="Times New Roman" w:hAnsi="Times New Roman"/>
      <w:b/>
      <w:bCs/>
      <w:color w:val="2E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agezi4zuytdn-e7afmci" Type="http://schemas.openxmlformats.org/officeDocument/2006/relationships/hyperlink" Target="https://pubmed.ncbi.nlm.nih.gov/?term=ESMO+recommendations+use+next-generation+sequencing+metastatic+cancer" TargetMode="External"/><Relationship Id="rIdeackbhitl4pjnnpxmpgvp" Type="http://schemas.openxmlformats.org/officeDocument/2006/relationships/hyperlink" Target="https://pubmed.ncbi.nlm.nih.gov/?term=ESCAT+ESMO+scale+clinical+actionability+molecular+targets" TargetMode="External"/><Relationship Id="rIdfbyigc7wtjp4d-np8dhe4" Type="http://schemas.openxmlformats.org/officeDocument/2006/relationships/hyperlink" Target="https://www.oncokb.org/" TargetMode="External"/><Relationship Id="rIdcsfyl-bykxfk4rdcptbtr" Type="http://schemas.openxmlformats.org/officeDocument/2006/relationships/hyperlink" Target="https://cr.minzdrav.gov.ru/clin_recomend" TargetMode="External"/><Relationship Id="rIdhcqzlf37ptbrnjdwwyz3z" Type="http://schemas.openxmlformats.org/officeDocument/2006/relationships/hyperlink" Target="https://pubmed.ncbi.nlm.nih.gov/?term=circulating+tumour+DNA+clinical+utility+ESMO+recommendations" TargetMode="External"/><Relationship Id="rIdxzkicz9kyz9whoicb7d59" Type="http://schemas.openxmlformats.org/officeDocument/2006/relationships/hyperlink" Target="https://pubmed.ncbi.nlm.nih.gov/?term=clonal+hematopoiesis+incidental+findings+tumour+sequencing" TargetMode="External"/><Relationship Id="rIdqjpafwdfh36paudjyx1fs" Type="http://schemas.openxmlformats.org/officeDocument/2006/relationships/hyperlink" Target="https://pubmed.ncbi.nlm.nih.gov/?term=molecular+tumour+board+outcomes+precision+oncology" TargetMode="External"/><Relationship Id="rIdlz10vsmsvpj05zpkrxpb9" Type="http://schemas.openxmlformats.org/officeDocument/2006/relationships/hyperlink" Target="https://www.cbioportal.org/" TargetMode="External"/><Relationship Id="rIdzpoutenl5tmpybv-hazco" Type="http://schemas.openxmlformats.org/officeDocument/2006/relationships/hyperlink" Target="https://cancer.sanger.ac.uk/cosmic" TargetMode="External"/><Relationship Id="rIdsdiolnzn9xrsnbhpc3tb_" Type="http://schemas.openxmlformats.org/officeDocument/2006/relationships/hyperlink" Target="https://clinicaltrials.gov/" TargetMode="External"/><Relationship Id="rIdobr13rw7v-auaomey3qlg" Type="http://schemas.openxmlformats.org/officeDocument/2006/relationships/hyperlink" Target="https://pubmed.ncbi.nlm.nih.gov/?term=KEYNOTE-158+tumour+mutational+burden+pembrolizumab" TargetMode="External"/><Relationship Id="rIda7fufjunsv5_0v53z5svy" Type="http://schemas.openxmlformats.org/officeDocument/2006/relationships/hyperlink" Target="https://pubmed.ncbi.nlm.nih.gov/?term=larotrectinib+entrectinib+NTRK+fusion+tumour-agnostic" TargetMode="External"/><Relationship Id="rId3vdgd4szde2d8jh3eefff" Type="http://schemas.openxmlformats.org/officeDocument/2006/relationships/hyperlink" Target="https://pubmed.ncbi.nlm.nih.gov/?term=KEYNOTE-158+tumour+mutational+burden+pembrolizumab" TargetMode="External"/><Relationship Id="rIdxnjwtgjz4xwpastqm1rw4" Type="http://schemas.openxmlformats.org/officeDocument/2006/relationships/hyperlink" Target="https://www.oncokb.org/" TargetMode="External"/><Relationship Id="rIdpi7mzthj3ubqlajgm5fuy" Type="http://schemas.openxmlformats.org/officeDocument/2006/relationships/hyperlink" Target="https://pubmed.ncbi.nlm.nih.gov/?term=circulating+tumour+DNA+clinical+utility+ESMO+recommendations" TargetMode="External"/><Relationship Id="rIddh0s_hea02jdanr6t6201" Type="http://schemas.openxmlformats.org/officeDocument/2006/relationships/hyperlink" Target="https://pubmed.ncbi.nlm.nih.gov/?term=DYNAMIC+circulating+tumor+DNA+adjuvant+colon+cancer" TargetMode="External"/><Relationship Id="rId_yfliiltscqxtkpw0rajx" Type="http://schemas.openxmlformats.org/officeDocument/2006/relationships/hyperlink" Target="https://www.youtube.com/watch?v=Sk_r7lPlWO0" TargetMode="External"/><Relationship Id="rIdmfbtp27txoot3wvsgrtxt" Type="http://schemas.openxmlformats.org/officeDocument/2006/relationships/hyperlink" Target="https://www.youtube.com/watch?v=ZrcghOQxwTE" TargetMode="External"/><Relationship Id="rIdr_tigsuazv5z2bur-egd2" Type="http://schemas.openxmlformats.org/officeDocument/2006/relationships/hyperlink" Target="https://www.youtube.com/watch?v=OJasrM5iGJE" TargetMode="External"/><Relationship Id="rIdiofkv6px1w_ftcdyv_w4e" Type="http://schemas.openxmlformats.org/officeDocument/2006/relationships/hyperlink" Target="https://www.youtube.com/watch?v=-8WTxXohp8A" TargetMode="External"/><Relationship Id="rIdkybcikimwsylxlz0dwcg4" Type="http://schemas.openxmlformats.org/officeDocument/2006/relationships/hyperlink" Target="https://www.rosoncoweb.ru/events/2025/05/23/" TargetMode="External"/><Relationship Id="rIdvbl2jcylteyapf6pyen0c" Type="http://schemas.openxmlformats.org/officeDocument/2006/relationships/hyperlink" Target="https://www.rosoncoweb.ru/events/2024/03/13/" TargetMode="External"/><Relationship Id="rIdvuc0wgormcubw7cnr5tzt" Type="http://schemas.openxmlformats.org/officeDocument/2006/relationships/hyperlink" Target="https://oncologypro.esmo.org/esmo-e-learning" TargetMode="External"/><Relationship Id="rIdpuadjjmumugxxllnjmy8l" Type="http://schemas.openxmlformats.org/officeDocument/2006/relationships/hyperlink" Target="https://www.rosoncoweb.ru/events/archive/" TargetMode="External"/><Relationship Id="rIdon8sej9f7l2ryaghwvtre" Type="http://schemas.openxmlformats.org/officeDocument/2006/relationships/hyperlink" Target="https://www.rosoncoweb.ru/events/webinar/archive/" TargetMode="External"/><Relationship Id="rIdta44-ewuvpq2ex4sr6sgs" Type="http://schemas.openxmlformats.org/officeDocument/2006/relationships/hyperlink" Target="https://pubmed.ncbi.nlm.nih.gov/?term=ESCAT+ESMO+scale+clinical+actionability+molecular+targets" TargetMode="External"/><Relationship Id="rIdr4d34ztsce6bbztgxwkyl" Type="http://schemas.openxmlformats.org/officeDocument/2006/relationships/hyperlink" Target="https://pubmed.ncbi.nlm.nih.gov/?term=ESMO+recommendations+use+next-generation+sequencing+metastatic+cancer" TargetMode="External"/><Relationship Id="rIde5-aqkybzn0zjzlsem0wl" Type="http://schemas.openxmlformats.org/officeDocument/2006/relationships/hyperlink" Target="https://pubmed.ncbi.nlm.nih.gov/?term=ESMO+recommendations+use+next-generation+sequencing+metastatic+cancer" TargetMode="External"/><Relationship Id="rIdwr-eoqj9zq36fmgsfzhsb" Type="http://schemas.openxmlformats.org/officeDocument/2006/relationships/hyperlink" Target="https://pubmed.ncbi.nlm.nih.gov/?term=clonal+hematopoiesis+incidental+findings+tumour+sequencing" TargetMode="External"/><Relationship Id="rIdpvzwa_l6pt-r6bmvedisb" Type="http://schemas.openxmlformats.org/officeDocument/2006/relationships/hyperlink" Target="https://pubmed.ncbi.nlm.nih.gov/?term=circulating+tumour+DNA+clinical+utility+ESMO+recommendations" TargetMode="External"/><Relationship Id="rIdp-7dhrwko2dg8luvcqplb" Type="http://schemas.openxmlformats.org/officeDocument/2006/relationships/hyperlink" Target="https://pubmed.ncbi.nlm.nih.gov/?term=DYNAMIC+circulating+tumor+DNA+adjuvant+colon+cancer" TargetMode="External"/><Relationship Id="rIdmbddc8pfgivxtq9qplyko" Type="http://schemas.openxmlformats.org/officeDocument/2006/relationships/hyperlink" Target="https://pubmed.ncbi.nlm.nih.gov/?term=larotrectinib+entrectinib+NTRK+fusion+tumour-agnostic" TargetMode="External"/><Relationship Id="rId3gfvtp3l8x-wxq1-uyh2s" Type="http://schemas.openxmlformats.org/officeDocument/2006/relationships/hyperlink" Target="https://pubmed.ncbi.nlm.nih.gov/?term=ESMO+recommendations+use+next-generation+sequencing+metastatic+cancer" TargetMode="External"/><Relationship Id="rIdkb2ohgms_ooabrkvzgfdf" Type="http://schemas.openxmlformats.org/officeDocument/2006/relationships/hyperlink" Target="https://pubmed.ncbi.nlm.nih.gov/?term=ESMO+recommendations+use+next-generation+sequencing+metastatic+cancer" TargetMode="External"/><Relationship Id="rIdeedu6w4ol1zc_gt-nxjsq" Type="http://schemas.openxmlformats.org/officeDocument/2006/relationships/hyperlink" Target="https://pubmed.ncbi.nlm.nih.gov/?term=molecular+tumour+board+outcomes+precision+oncology" TargetMode="External"/><Relationship Id="rIdvmmwbr-qrxm7pwdl9f6sf" Type="http://schemas.openxmlformats.org/officeDocument/2006/relationships/hyperlink" Target="https://pubmed.ncbi.nlm.nih.gov/?term=ESCAT+ESMO+scale+clinical+actionability+molecular+targets" TargetMode="External"/><Relationship Id="rIdgh5x0xzlz9cazcqjdaini" Type="http://schemas.openxmlformats.org/officeDocument/2006/relationships/hyperlink" Target="https://www.oncokb.org/" TargetMode="External"/><Relationship Id="rIdiblx7znwinj-gcxuaeqji" Type="http://schemas.openxmlformats.org/officeDocument/2006/relationships/hyperlink" Target="https://pubmed.ncbi.nlm.nih.gov/?term=circulating+tumour+DNA+clinical+utility+ESMO+recommendations" TargetMode="External"/><Relationship Id="rIdvlo0qc-ypb33brgxbmpxm" Type="http://schemas.openxmlformats.org/officeDocument/2006/relationships/hyperlink" Target="https://pubmed.ncbi.nlm.nih.gov/?term=ESMO+recommendations+use+next-generation+sequencing+metastatic+cancer" TargetMode="External"/><Relationship Id="rId8cfgdwfmelzcvixewt8tl" Type="http://schemas.openxmlformats.org/officeDocument/2006/relationships/hyperlink" Target="https://pubmed.ncbi.nlm.nih.gov/?term=ESMO+recommendations+use+next-generation+sequencing+metastatic+cancer" TargetMode="External"/><Relationship Id="rIdx_qrrumvztslkmuv9lev1" Type="http://schemas.openxmlformats.org/officeDocument/2006/relationships/hyperlink" Target="https://www.oncokb.org/" TargetMode="External"/><Relationship Id="rIdig5d-j1thtr1dts1biays" Type="http://schemas.openxmlformats.org/officeDocument/2006/relationships/hyperlink" Target="https://pubmed.ncbi.nlm.nih.gov/?term=clonal+hematopoiesis+incidental+findings+tumour+sequencing" TargetMode="External"/><Relationship Id="rIdqvxarcb1qpeminv4czyy2" Type="http://schemas.openxmlformats.org/officeDocument/2006/relationships/hyperlink" Target="https://pubmed.ncbi.nlm.nih.gov/?term=circulating+tumour+DNA+clinical+utility+ESMO+recommendations" TargetMode="External"/><Relationship Id="rId50" Type="http://schemas.openxmlformats.org/officeDocument/2006/relationships/fontTable" Target="fontTable.xml"/><Relationship Id="rId7" Type="http://schemas.openxmlformats.org/officeDocument/2006/relationships/hyperlink" Target="https://pubmed.ncbi.nlm.nih.gov/?term=ESMO+Precision+Medicine+Working+Group+NGS+2024"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Молекулярная генетика и трансляционная медицина в онкологии</dc:title>
  <dc:creator>Кафедра онкологии ИУВ НМХЦ им. Н.И. Пирогова</dc:creator>
  <cp:lastModifiedBy>Un-named</cp:lastModifiedBy>
  <cp:revision>1</cp:revision>
  <dcterms:created xsi:type="dcterms:W3CDTF">2026-08-27T09:34:18.005Z</dcterms:created>
  <dcterms:modified xsi:type="dcterms:W3CDTF">2026-08-27T09:34:18.005Z</dcterms:modified>
</cp:coreProperties>
</file>

<file path=docProps/custom.xml><?xml version="1.0" encoding="utf-8"?>
<Properties xmlns="http://schemas.openxmlformats.org/officeDocument/2006/custom-properties" xmlns:vt="http://schemas.openxmlformats.org/officeDocument/2006/docPropsVTypes"/>
</file>