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val="false"/>
          <w:bCs w:val="false"/>
          <w:i w:val="false"/>
          <w:iCs w:val="false"/>
          <w:sz w:val="20"/>
          <w:szCs w:val="20"/>
        </w:rPr>
        <w:t xml:space="preserve">Кафедра онкологии ИУВ ФГБУ «НМХЦ им. Н.И. Пирогова» Минздрава России</w:t>
      </w:r>
    </w:p>
    <w:p>
      <w:pPr>
        <w:spacing w:after="120"/>
        <w:jc w:val="center"/>
      </w:pPr>
      <w:r>
        <w:rPr>
          <w:rFonts w:ascii="Times New Roman" w:cs="Times New Roman" w:eastAsia="Times New Roman" w:hAnsi="Times New Roman"/>
          <w:b/>
          <w:bCs/>
          <w:i w:val="false"/>
          <w:iCs w:val="false"/>
          <w:sz w:val="28"/>
          <w:szCs w:val="28"/>
        </w:rPr>
        <w:t xml:space="preserve">УЧЕБНЫЙ МОДУЛЬ М-22</w:t>
      </w:r>
    </w:p>
    <w:p>
      <w:pPr>
        <w:spacing w:after="80"/>
        <w:jc w:val="center"/>
      </w:pPr>
      <w:r>
        <w:rPr>
          <w:rFonts w:ascii="Times New Roman" w:cs="Times New Roman" w:eastAsia="Times New Roman" w:hAnsi="Times New Roman"/>
          <w:b/>
          <w:bCs/>
          <w:i w:val="false"/>
          <w:iCs w:val="false"/>
          <w:sz w:val="26"/>
          <w:szCs w:val="26"/>
        </w:rPr>
        <w:t xml:space="preserve">Множественная миелома и макроглобулинемия Вальденстрёма</w:t>
      </w:r>
    </w:p>
    <w:p>
      <w:pPr>
        <w:spacing w:after="300"/>
        <w:jc w:val="center"/>
      </w:pPr>
      <w:r>
        <w:rPr>
          <w:rFonts w:ascii="Times New Roman" w:cs="Times New Roman" w:eastAsia="Times New Roman" w:hAnsi="Times New Roman"/>
          <w:b w:val="false"/>
          <w:bCs w:val="false"/>
          <w:i/>
          <w:iCs/>
          <w:sz w:val="22"/>
          <w:szCs w:val="22"/>
        </w:rPr>
        <w:t xml:space="preserve">Лекция 18.10.2026 · Онлайн-конференция Академии RUSSCO · раздел «Частная онкология, ч. 3»</w:t>
      </w:r>
    </w:p>
    <w:p>
      <w:pPr>
        <w:spacing w:after="120" w:line="276"/>
      </w:pPr>
      <w:r>
        <w:rPr>
          <w:rFonts w:ascii="Times New Roman" w:cs="Times New Roman" w:eastAsia="Times New Roman" w:hAnsi="Times New Roman"/>
          <w:b w:val="false"/>
          <w:bCs w:val="false"/>
          <w:i/>
          <w:iCs/>
          <w:sz w:val="22"/>
          <w:szCs w:val="22"/>
        </w:rPr>
        <w:t xml:space="preserve">Все ссылки активны. За последние годы медиана выживаемости при множественной миеломе выросла в разы, и стандарт первой линии сместился к четырёхкомпонентным режимам, а при первом рецидиве иммунотерапия даёт результаты, каких раньше не было и у впервые выявленных больных.</w:t>
      </w:r>
    </w:p>
    <w:p>
      <w:pPr>
        <w:pStyle w:val="Heading1"/>
        <w:spacing w:after="130" w:before="260"/>
      </w:pPr>
      <w:r>
        <w:rPr>
          <w:rFonts w:ascii="Times New Roman" w:cs="Times New Roman" w:eastAsia="Times New Roman" w:hAnsi="Times New Roman"/>
          <w:b/>
          <w:bCs/>
          <w:sz w:val="30"/>
          <w:szCs w:val="30"/>
        </w:rPr>
        <w:t xml:space="preserve">Блок А. Библиотека материалов</w:t>
      </w:r>
    </w:p>
    <w:p>
      <w:pPr>
        <w:pStyle w:val="Heading2"/>
        <w:spacing w:after="130" w:before="260"/>
      </w:pPr>
      <w:r>
        <w:rPr>
          <w:rFonts w:ascii="Times New Roman" w:cs="Times New Roman" w:eastAsia="Times New Roman" w:hAnsi="Times New Roman"/>
          <w:b/>
          <w:bCs/>
          <w:sz w:val="26"/>
          <w:szCs w:val="26"/>
        </w:rPr>
        <w:t xml:space="preserve">А1. Рекомендации и нормативные документы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760"/>
      </w:tblGrid>
      <w:tr>
        <w:trPr>
          <w:tblHeader/>
        </w:trPr>
        <w:tc>
          <w:tcPr>
            <w:tcW w:type="dxa" w:w="21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Источник</w:t>
            </w:r>
          </w:p>
        </w:tc>
        <w:tc>
          <w:tcPr>
            <w:tcW w:type="dxa" w:w="45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даёт</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Критерии IMWG</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Диагноз миеломы: критерии CRAB и биомаркёры SLiM; разграничение с моноклональной гаммапатией неопределённого значения и тлеющей миеломой.</w:t>
            </w:r>
          </w:p>
        </w:tc>
        <w:tc>
          <w:tcPr>
            <w:tcW w:type="dxa" w:w="2760"/>
            <w:tcMar>
              <w:top w:type="dxa" w:w="55"/>
              <w:left w:type="dxa" w:w="85"/>
              <w:bottom w:type="dxa" w:w="55"/>
              <w:right w:type="dxa" w:w="85"/>
            </w:tcMar>
          </w:tcPr>
          <w:p>
            <w:pPr>
              <w:spacing w:after="40" w:line="240"/>
            </w:pPr>
            <w:hyperlink w:history="1" r:id="rId8six7gu_8byfdaypbcpr1">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Система R-ISS и R2-ISS</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Стадирование по β2-микроглобулину, альбумину, лактатдегидрогеназе и цитогенетике; R2-ISS дополнительно учитывает прирост 1q.</w:t>
            </w:r>
          </w:p>
        </w:tc>
        <w:tc>
          <w:tcPr>
            <w:tcW w:type="dxa" w:w="2760"/>
            <w:tcMar>
              <w:top w:type="dxa" w:w="55"/>
              <w:left w:type="dxa" w:w="85"/>
              <w:bottom w:type="dxa" w:w="55"/>
              <w:right w:type="dxa" w:w="85"/>
            </w:tcMar>
          </w:tcPr>
          <w:p>
            <w:pPr>
              <w:spacing w:after="40" w:line="240"/>
            </w:pPr>
            <w:hyperlink w:history="1" r:id="rId9k6azhd77zicd5xht05fs">
              <w:r>
                <w:rPr>
                  <w:rStyle w:val="Hyperlink"/>
                  <w:rFonts w:ascii="Times New Roman" w:cs="Times New Roman" w:eastAsia="Times New Roman" w:hAnsi="Times New Roman"/>
                  <w:sz w:val="19"/>
                  <w:szCs w:val="19"/>
                </w:rPr>
                <w:t xml:space="preserve">PubMed</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Клинические рекомендации Минздрава России</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Юридическое основание диагностики и лечения в РФ.</w:t>
            </w:r>
          </w:p>
        </w:tc>
        <w:tc>
          <w:tcPr>
            <w:tcW w:type="dxa" w:w="2760"/>
            <w:tcMar>
              <w:top w:type="dxa" w:w="55"/>
              <w:left w:type="dxa" w:w="85"/>
              <w:bottom w:type="dxa" w:w="55"/>
              <w:right w:type="dxa" w:w="85"/>
            </w:tcMar>
          </w:tcPr>
          <w:p>
            <w:pPr>
              <w:spacing w:after="40" w:line="240"/>
            </w:pPr>
            <w:hyperlink w:history="1" r:id="rIdtppxmygfhgm4qmubtfbhb">
              <w:r>
                <w:rPr>
                  <w:rStyle w:val="Hyperlink"/>
                  <w:rFonts w:ascii="Times New Roman" w:cs="Times New Roman" w:eastAsia="Times New Roman" w:hAnsi="Times New Roman"/>
                  <w:sz w:val="19"/>
                  <w:szCs w:val="19"/>
                </w:rPr>
                <w:t xml:space="preserve">cr.minzdrav.gov.ru</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ESMO Clinical Practice Guidelines: множественная миелома</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Европейские алгоритмы по линиям терапии.</w:t>
            </w:r>
          </w:p>
        </w:tc>
        <w:tc>
          <w:tcPr>
            <w:tcW w:type="dxa" w:w="2760"/>
            <w:tcMar>
              <w:top w:type="dxa" w:w="55"/>
              <w:left w:type="dxa" w:w="85"/>
              <w:bottom w:type="dxa" w:w="55"/>
              <w:right w:type="dxa" w:w="85"/>
            </w:tcMar>
          </w:tcPr>
          <w:p>
            <w:pPr>
              <w:spacing w:after="40" w:line="240"/>
            </w:pPr>
            <w:hyperlink w:history="1" r:id="rIdnrdkbavl9usld9dfavkpy">
              <w:r>
                <w:rPr>
                  <w:rStyle w:val="Hyperlink"/>
                  <w:rFonts w:ascii="Times New Roman" w:cs="Times New Roman" w:eastAsia="Times New Roman" w:hAnsi="Times New Roman"/>
                  <w:sz w:val="19"/>
                  <w:szCs w:val="19"/>
                </w:rPr>
                <w:t xml:space="preserve">esmo.org/guidelines</w:t>
              </w:r>
            </w:hyperlink>
          </w:p>
        </w:tc>
      </w:tr>
      <w:tr>
        <w:tc>
          <w:tcPr>
            <w:tcW w:type="dxa" w:w="21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NCCN Guidelines: Multiple Myeloma</w:t>
            </w:r>
          </w:p>
        </w:tc>
        <w:tc>
          <w:tcPr>
            <w:tcW w:type="dxa" w:w="45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Оперативно отражают появление четырёхкомпонентных режимов и клеточной терапии.</w:t>
            </w:r>
          </w:p>
        </w:tc>
        <w:tc>
          <w:tcPr>
            <w:tcW w:type="dxa" w:w="2760"/>
            <w:tcMar>
              <w:top w:type="dxa" w:w="55"/>
              <w:left w:type="dxa" w:w="85"/>
              <w:bottom w:type="dxa" w:w="55"/>
              <w:right w:type="dxa" w:w="85"/>
            </w:tcMar>
          </w:tcPr>
          <w:p>
            <w:pPr>
              <w:spacing w:after="40" w:line="240"/>
            </w:pPr>
            <w:hyperlink w:history="1" r:id="rIduws5q4zq8ptz1zi52vs3u">
              <w:r>
                <w:rPr>
                  <w:rStyle w:val="Hyperlink"/>
                  <w:rFonts w:ascii="Times New Roman" w:cs="Times New Roman" w:eastAsia="Times New Roman" w:hAnsi="Times New Roman"/>
                  <w:sz w:val="19"/>
                  <w:szCs w:val="19"/>
                </w:rPr>
                <w:t xml:space="preserve">nccn.org/guidelines</w:t>
              </w:r>
            </w:hyperlink>
          </w:p>
        </w:tc>
      </w:tr>
    </w:tbl>
    <w:p>
      <w:pPr>
        <w:pStyle w:val="Heading2"/>
        <w:spacing w:after="130" w:before="260"/>
      </w:pPr>
      <w:r>
        <w:rPr>
          <w:rFonts w:ascii="Times New Roman" w:cs="Times New Roman" w:eastAsia="Times New Roman" w:hAnsi="Times New Roman"/>
          <w:b/>
          <w:bCs/>
          <w:sz w:val="26"/>
          <w:szCs w:val="26"/>
        </w:rPr>
        <w:t xml:space="preserve">А2. Обзоры и справочные ресурсы</w:t>
      </w:r>
    </w:p>
    <w:p>
      <w:pPr>
        <w:pStyle w:val="ListParagraph"/>
        <w:numPr>
          <w:ilvl w:val="0"/>
          <w:numId w:val="1"/>
        </w:numPr>
        <w:spacing w:after="60" w:line="276"/>
      </w:pPr>
      <w:hyperlink w:history="1" r:id="rIdmcvm_q8hmni8em-69qa-v">
        <w:r>
          <w:rPr>
            <w:rStyle w:val="Hyperlink"/>
            <w:rFonts w:ascii="Times New Roman" w:cs="Times New Roman" w:eastAsia="Times New Roman" w:hAnsi="Times New Roman"/>
            <w:sz w:val="22"/>
            <w:szCs w:val="22"/>
          </w:rPr>
          <w:t xml:space="preserve">Измеримая остаточная болезнь при миеломе</w:t>
        </w:r>
      </w:hyperlink>
      <w:r>
        <w:rPr>
          <w:rFonts w:ascii="Times New Roman" w:cs="Times New Roman" w:eastAsia="Times New Roman" w:hAnsi="Times New Roman"/>
          <w:b w:val="false"/>
          <w:bCs w:val="false"/>
          <w:i w:val="false"/>
          <w:iCs w:val="false"/>
          <w:sz w:val="22"/>
          <w:szCs w:val="22"/>
        </w:rPr>
        <w:t xml:space="preserve"> — её отсутствие связано с лучшей выживаемостью; активно обсуждается как конечная точка исследований и ориентир для тактики.</w:t>
      </w:r>
    </w:p>
    <w:p>
      <w:pPr>
        <w:pStyle w:val="ListParagraph"/>
        <w:numPr>
          <w:ilvl w:val="0"/>
          <w:numId w:val="1"/>
        </w:numPr>
        <w:spacing w:after="60" w:line="276"/>
      </w:pPr>
      <w:hyperlink w:history="1" r:id="rIdqqenn8z2uwui5xgarzfaw">
        <w:r>
          <w:rPr>
            <w:rStyle w:val="Hyperlink"/>
            <w:rFonts w:ascii="Times New Roman" w:cs="Times New Roman" w:eastAsia="Times New Roman" w:hAnsi="Times New Roman"/>
            <w:sz w:val="22"/>
            <w:szCs w:val="22"/>
          </w:rPr>
          <w:t xml:space="preserve">Лечение костной болезни</w:t>
        </w:r>
      </w:hyperlink>
      <w:r>
        <w:rPr>
          <w:rFonts w:ascii="Times New Roman" w:cs="Times New Roman" w:eastAsia="Times New Roman" w:hAnsi="Times New Roman"/>
          <w:b w:val="false"/>
          <w:bCs w:val="false"/>
          <w:i w:val="false"/>
          <w:iCs w:val="false"/>
          <w:sz w:val="22"/>
          <w:szCs w:val="22"/>
        </w:rPr>
        <w:t xml:space="preserve"> — бисфосфонаты и деносумаб, профилактика остеонекроза челюсти.</w:t>
      </w:r>
    </w:p>
    <w:p>
      <w:pPr>
        <w:pStyle w:val="ListParagraph"/>
        <w:numPr>
          <w:ilvl w:val="0"/>
          <w:numId w:val="1"/>
        </w:numPr>
        <w:spacing w:after="60" w:line="276"/>
      </w:pPr>
      <w:hyperlink w:history="1" r:id="rId9vpibzo2fkywvrvnpv46a">
        <w:r>
          <w:rPr>
            <w:rStyle w:val="Hyperlink"/>
            <w:rFonts w:ascii="Times New Roman" w:cs="Times New Roman" w:eastAsia="Times New Roman" w:hAnsi="Times New Roman"/>
            <w:sz w:val="22"/>
            <w:szCs w:val="22"/>
          </w:rPr>
          <w:t xml:space="preserve">Макроглобулинемия Вальденстрёма</w:t>
        </w:r>
      </w:hyperlink>
      <w:r>
        <w:rPr>
          <w:rFonts w:ascii="Times New Roman" w:cs="Times New Roman" w:eastAsia="Times New Roman" w:hAnsi="Times New Roman"/>
          <w:b w:val="false"/>
          <w:bCs w:val="false"/>
          <w:i w:val="false"/>
          <w:iCs w:val="false"/>
          <w:sz w:val="22"/>
          <w:szCs w:val="22"/>
        </w:rPr>
        <w:t xml:space="preserve"> — роль мутации MYD88, ингибиторы BTK, синдром гипервязкости.</w:t>
      </w:r>
    </w:p>
    <w:p>
      <w:pPr>
        <w:pStyle w:val="ListParagraph"/>
        <w:numPr>
          <w:ilvl w:val="0"/>
          <w:numId w:val="1"/>
        </w:numPr>
        <w:spacing w:after="60" w:line="276"/>
      </w:pPr>
      <w:hyperlink w:history="1" r:id="rIdhvee_ds-5qutsr8k_z1yv">
        <w:r>
          <w:rPr>
            <w:rStyle w:val="Hyperlink"/>
            <w:rFonts w:ascii="Times New Roman" w:cs="Times New Roman" w:eastAsia="Times New Roman" w:hAnsi="Times New Roman"/>
            <w:sz w:val="22"/>
            <w:szCs w:val="22"/>
          </w:rPr>
          <w:t xml:space="preserve">PDQ® — множественная миелома</w:t>
        </w:r>
      </w:hyperlink>
      <w:r>
        <w:rPr>
          <w:rFonts w:ascii="Times New Roman" w:cs="Times New Roman" w:eastAsia="Times New Roman" w:hAnsi="Times New Roman"/>
          <w:b w:val="false"/>
          <w:bCs w:val="false"/>
          <w:i w:val="false"/>
          <w:iCs w:val="false"/>
          <w:sz w:val="22"/>
          <w:szCs w:val="22"/>
        </w:rPr>
        <w:t xml:space="preserve"> — свободный доступ.</w:t>
      </w:r>
    </w:p>
    <w:p>
      <w:pPr>
        <w:pStyle w:val="Heading2"/>
        <w:spacing w:after="130" w:before="260"/>
      </w:pPr>
      <w:r>
        <w:rPr>
          <w:rFonts w:ascii="Times New Roman" w:cs="Times New Roman" w:eastAsia="Times New Roman" w:hAnsi="Times New Roman"/>
          <w:b/>
          <w:bCs/>
          <w:sz w:val="26"/>
          <w:szCs w:val="26"/>
        </w:rPr>
        <w:t xml:space="preserve">А3. Ключевые исследования и работы</w:t>
      </w:r>
    </w:p>
    <w:p>
      <w:pPr>
        <w:pStyle w:val="Heading3"/>
        <w:spacing w:after="130" w:before="260"/>
      </w:pPr>
      <w:r>
        <w:rPr>
          <w:rFonts w:ascii="Times New Roman" w:cs="Times New Roman" w:eastAsia="Times New Roman" w:hAnsi="Times New Roman"/>
          <w:b/>
          <w:bCs/>
          <w:sz w:val="23"/>
          <w:szCs w:val="23"/>
        </w:rPr>
        <w:t xml:space="preserve">Впервые выявленная миелома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PERSEUS</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Даратумумаб с бортезомибом, леналидомидом и дексаметазоном с последующей аутологичной трансплантацией и поддерживающей терапией у кандидатов на трансплантацию превосходит трёхкомпонентный режим. Стандарт для соматически сохранных больных.</w:t>
            </w:r>
          </w:p>
        </w:tc>
        <w:tc>
          <w:tcPr>
            <w:tcW w:type="dxa" w:w="2760"/>
            <w:tcMar>
              <w:top w:type="dxa" w:w="55"/>
              <w:left w:type="dxa" w:w="85"/>
              <w:bottom w:type="dxa" w:w="55"/>
              <w:right w:type="dxa" w:w="85"/>
            </w:tcMar>
          </w:tcPr>
          <w:p>
            <w:pPr>
              <w:spacing w:after="40" w:line="240"/>
            </w:pPr>
            <w:hyperlink w:history="1" r:id="rIdr3n2hszwfzvojwrlaa6js">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IMROZ</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Изатуксимаб с бортезомибом, леналидомидом и дексаметазоном у больных, не идущих на трансплантацию: превосходство над трёхкомпонентным режимом по частоте отрицательной остаточной болезни и беспрогрессивной выживаемости.</w:t>
            </w:r>
          </w:p>
        </w:tc>
        <w:tc>
          <w:tcPr>
            <w:tcW w:type="dxa" w:w="2760"/>
            <w:tcMar>
              <w:top w:type="dxa" w:w="55"/>
              <w:left w:type="dxa" w:w="85"/>
              <w:bottom w:type="dxa" w:w="55"/>
              <w:right w:type="dxa" w:w="85"/>
            </w:tcMar>
          </w:tcPr>
          <w:p>
            <w:pPr>
              <w:spacing w:after="40" w:line="240"/>
            </w:pPr>
            <w:hyperlink w:history="1" r:id="rIdm2yclttzphzmne47hsgxp">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CEPHEUS</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Даратумумаб с VRd у больных, которым трансплантация не планируется или отложена: улучшение беспрогрессивной выживаемости и частоты отрицательной остаточной болезни.</w:t>
            </w:r>
          </w:p>
        </w:tc>
        <w:tc>
          <w:tcPr>
            <w:tcW w:type="dxa" w:w="2760"/>
            <w:tcMar>
              <w:top w:type="dxa" w:w="55"/>
              <w:left w:type="dxa" w:w="85"/>
              <w:bottom w:type="dxa" w:w="55"/>
              <w:right w:type="dxa" w:w="85"/>
            </w:tcMar>
          </w:tcPr>
          <w:p>
            <w:pPr>
              <w:spacing w:after="40" w:line="240"/>
            </w:pPr>
            <w:hyperlink w:history="1" r:id="rIdstvr4_6xt9sizs1_i3zb-">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MAIA</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Даратумумаб с леналидомидом и дексаметазоном у больных, не подходящих для трансплантации: длительная беспрогрессивная и общая выживаемость. Остаётся опцией для ослабленных больных, которым четырёхкомпонентный режим не подходит.</w:t>
            </w:r>
          </w:p>
        </w:tc>
        <w:tc>
          <w:tcPr>
            <w:tcW w:type="dxa" w:w="2760"/>
            <w:tcMar>
              <w:top w:type="dxa" w:w="55"/>
              <w:left w:type="dxa" w:w="85"/>
              <w:bottom w:type="dxa" w:w="55"/>
              <w:right w:type="dxa" w:w="85"/>
            </w:tcMar>
          </w:tcPr>
          <w:p>
            <w:pPr>
              <w:spacing w:after="40" w:line="240"/>
            </w:pPr>
            <w:hyperlink w:history="1" r:id="rIdmsnsc8psbyhpkfi61wew3">
              <w:r>
                <w:rPr>
                  <w:rStyle w:val="Hyperlink"/>
                  <w:rFonts w:ascii="Times New Roman" w:cs="Times New Roman" w:eastAsia="Times New Roman" w:hAnsi="Times New Roman"/>
                  <w:sz w:val="19"/>
                  <w:szCs w:val="19"/>
                </w:rPr>
                <w:t xml:space="preserve">PubMed</w:t>
              </w:r>
            </w:hyperlink>
          </w:p>
        </w:tc>
      </w:tr>
    </w:tbl>
    <w:p>
      <w:pPr>
        <w:pStyle w:val="Heading3"/>
        <w:spacing w:after="130" w:before="260"/>
      </w:pPr>
      <w:r>
        <w:rPr>
          <w:rFonts w:ascii="Times New Roman" w:cs="Times New Roman" w:eastAsia="Times New Roman" w:hAnsi="Times New Roman"/>
          <w:b/>
          <w:bCs/>
          <w:sz w:val="23"/>
          <w:szCs w:val="23"/>
        </w:rPr>
        <w:t xml:space="preserve">Рецидив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760"/>
      </w:tblGrid>
      <w:tr>
        <w:trPr>
          <w:tblHeader/>
        </w:trPr>
        <w:tc>
          <w:tcPr>
            <w:tcW w:type="dxa" w:w="19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Исследование / работа</w:t>
            </w:r>
          </w:p>
        </w:tc>
        <w:tc>
          <w:tcPr>
            <w:tcW w:type="dxa" w:w="47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Что показало</w:t>
            </w:r>
          </w:p>
        </w:tc>
        <w:tc>
          <w:tcPr>
            <w:tcW w:type="dxa" w:w="27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Ссылка</w:t>
            </w:r>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CARTITUDE-4</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Цилтакабтаген аутолейцел при первом и последующих рецидивах превосходит стандартные режимы; клеточная терапия перемещается в ранние линии.</w:t>
            </w:r>
          </w:p>
        </w:tc>
        <w:tc>
          <w:tcPr>
            <w:tcW w:type="dxa" w:w="2760"/>
            <w:tcMar>
              <w:top w:type="dxa" w:w="55"/>
              <w:left w:type="dxa" w:w="85"/>
              <w:bottom w:type="dxa" w:w="55"/>
              <w:right w:type="dxa" w:w="85"/>
            </w:tcMar>
          </w:tcPr>
          <w:p>
            <w:pPr>
              <w:spacing w:after="40" w:line="240"/>
            </w:pPr>
            <w:hyperlink w:history="1" r:id="rIdqri46urpwvkfrmpssztfv">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KarMMa-3</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Идекабтаген виклейцел превосходит стандартные режимы при рецидивирующей и рефрактерной миеломе.</w:t>
            </w:r>
          </w:p>
        </w:tc>
        <w:tc>
          <w:tcPr>
            <w:tcW w:type="dxa" w:w="2760"/>
            <w:tcMar>
              <w:top w:type="dxa" w:w="55"/>
              <w:left w:type="dxa" w:w="85"/>
              <w:bottom w:type="dxa" w:w="55"/>
              <w:right w:type="dxa" w:w="85"/>
            </w:tcMar>
          </w:tcPr>
          <w:p>
            <w:pPr>
              <w:spacing w:after="40" w:line="240"/>
            </w:pPr>
            <w:hyperlink w:history="1" r:id="rId4id5gjkvulioowbyxn-u_">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MajesTEC-1, MagnetisMM-3, MonumenTAL-1</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Биспецифические антитела: теклистамаб и элранатамаб к BCMA, талкветамаб к GPRC5D — активны при тройной рефрактерности. Требуют ступенчатого наращивания дозы и профилактики инфекций.</w:t>
            </w:r>
          </w:p>
        </w:tc>
        <w:tc>
          <w:tcPr>
            <w:tcW w:type="dxa" w:w="2760"/>
            <w:tcMar>
              <w:top w:type="dxa" w:w="55"/>
              <w:left w:type="dxa" w:w="85"/>
              <w:bottom w:type="dxa" w:w="55"/>
              <w:right w:type="dxa" w:w="85"/>
            </w:tcMar>
          </w:tcPr>
          <w:p>
            <w:pPr>
              <w:spacing w:after="40" w:line="240"/>
            </w:pPr>
            <w:hyperlink w:history="1" r:id="rIdgsyr6-c-vg7jqki8hfbgs">
              <w:r>
                <w:rPr>
                  <w:rStyle w:val="Hyperlink"/>
                  <w:rFonts w:ascii="Times New Roman" w:cs="Times New Roman" w:eastAsia="Times New Roman" w:hAnsi="Times New Roman"/>
                  <w:sz w:val="19"/>
                  <w:szCs w:val="19"/>
                </w:rPr>
                <w:t xml:space="preserve">PubMed</w:t>
              </w:r>
            </w:hyperlink>
          </w:p>
        </w:tc>
      </w:tr>
      <w:tr>
        <w:tc>
          <w:tcPr>
            <w:tcW w:type="dxa" w:w="19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DREAMM-7 и DREAMM-8</w:t>
            </w:r>
          </w:p>
        </w:tc>
        <w:tc>
          <w:tcPr>
            <w:tcW w:type="dxa" w:w="47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Белантамаб мафодотин в комбинациях при рецидиве: значимое преимущество по беспрогрессивной выживаемости; специфическая токсичность — поражение роговицы, требующее офтальмологического наблюдения.</w:t>
            </w:r>
          </w:p>
        </w:tc>
        <w:tc>
          <w:tcPr>
            <w:tcW w:type="dxa" w:w="2760"/>
            <w:tcMar>
              <w:top w:type="dxa" w:w="55"/>
              <w:left w:type="dxa" w:w="85"/>
              <w:bottom w:type="dxa" w:w="55"/>
              <w:right w:type="dxa" w:w="85"/>
            </w:tcMar>
          </w:tcPr>
          <w:p>
            <w:pPr>
              <w:spacing w:after="40" w:line="240"/>
            </w:pPr>
            <w:hyperlink w:history="1" r:id="rIdvzwy7y68wfdsjsouyzogq">
              <w:r>
                <w:rPr>
                  <w:rStyle w:val="Hyperlink"/>
                  <w:rFonts w:ascii="Times New Roman" w:cs="Times New Roman" w:eastAsia="Times New Roman" w:hAnsi="Times New Roman"/>
                  <w:sz w:val="19"/>
                  <w:szCs w:val="19"/>
                </w:rPr>
                <w:t xml:space="preserve">PubMed</w:t>
              </w:r>
            </w:hyperlink>
          </w:p>
        </w:tc>
      </w:tr>
    </w:tbl>
    <w:p>
      <w:pPr>
        <w:pStyle w:val="Heading2"/>
        <w:spacing w:after="130" w:before="260"/>
      </w:pPr>
      <w:r>
        <w:rPr>
          <w:rFonts w:ascii="Times New Roman" w:cs="Times New Roman" w:eastAsia="Times New Roman" w:hAnsi="Times New Roman"/>
          <w:b/>
          <w:bCs/>
          <w:sz w:val="26"/>
          <w:szCs w:val="26"/>
        </w:rPr>
        <w:t xml:space="preserve">А4. Лекции и видеоматериалы</w:t>
      </w:r>
    </w:p>
    <w:p>
      <w:pPr>
        <w:pStyle w:val="ListParagraph"/>
        <w:numPr>
          <w:ilvl w:val="0"/>
          <w:numId w:val="1"/>
        </w:numPr>
        <w:spacing w:after="60" w:line="276"/>
      </w:pPr>
      <w:hyperlink w:history="1" r:id="rId6z3pvyokpdigkfeod7wbt">
        <w:r>
          <w:rPr>
            <w:rStyle w:val="Hyperlink"/>
            <w:rFonts w:ascii="Times New Roman" w:cs="Times New Roman" w:eastAsia="Times New Roman" w:hAnsi="Times New Roman"/>
            <w:sz w:val="22"/>
            <w:szCs w:val="22"/>
          </w:rPr>
          <w:t xml:space="preserve">XXIX Российский онкологический конгресс, 11–13.12.2025</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vkwmmygwu9riccmztivi9">
        <w:r>
          <w:rPr>
            <w:rStyle w:val="Hyperlink"/>
            <w:rFonts w:ascii="Times New Roman" w:cs="Times New Roman" w:eastAsia="Times New Roman" w:hAnsi="Times New Roman"/>
            <w:sz w:val="22"/>
            <w:szCs w:val="22"/>
          </w:rPr>
          <w:t xml:space="preserve">XXVIII Российский онкологический конгресс, 12–14.11.2024</w:t>
        </w:r>
      </w:hyperlink>
      <w:r>
        <w:rPr>
          <w:rFonts w:ascii="Times New Roman" w:cs="Times New Roman" w:eastAsia="Times New Roman" w:hAnsi="Times New Roman"/>
          <w:b w:val="false"/>
          <w:bCs w:val="false"/>
          <w:i w:val="false"/>
          <w:iCs w:val="false"/>
          <w:sz w:val="22"/>
          <w:szCs w:val="22"/>
        </w:rPr>
        <w:t xml:space="preserve"> — видеозаписи всех докладов конференции.</w:t>
      </w:r>
    </w:p>
    <w:p>
      <w:pPr>
        <w:pStyle w:val="ListParagraph"/>
        <w:numPr>
          <w:ilvl w:val="0"/>
          <w:numId w:val="1"/>
        </w:numPr>
        <w:spacing w:after="60" w:line="276"/>
      </w:pPr>
      <w:hyperlink w:history="1" r:id="rIdbxav2u-fnwrgjviuz7maf">
        <w:r>
          <w:rPr>
            <w:rStyle w:val="Hyperlink"/>
            <w:rFonts w:ascii="Times New Roman" w:cs="Times New Roman" w:eastAsia="Times New Roman" w:hAnsi="Times New Roman"/>
            <w:sz w:val="22"/>
            <w:szCs w:val="22"/>
          </w:rPr>
          <w:t xml:space="preserve">ESMO E-Learning</w:t>
        </w:r>
      </w:hyperlink>
      <w:r>
        <w:rPr>
          <w:rFonts w:ascii="Times New Roman" w:cs="Times New Roman" w:eastAsia="Times New Roman" w:hAnsi="Times New Roman"/>
          <w:b w:val="false"/>
          <w:bCs w:val="false"/>
          <w:i w:val="false"/>
          <w:iCs w:val="false"/>
          <w:sz w:val="22"/>
          <w:szCs w:val="22"/>
        </w:rPr>
        <w:t xml:space="preserve"> — модули с тестами и баллами CME.</w:t>
      </w:r>
    </w:p>
    <w:p>
      <w:pPr>
        <w:pStyle w:val="ListParagraph"/>
        <w:numPr>
          <w:ilvl w:val="0"/>
          <w:numId w:val="1"/>
        </w:numPr>
        <w:spacing w:after="60" w:line="276"/>
      </w:pPr>
      <w:hyperlink w:history="1" r:id="rIdjdosoo02qeqxj3nsorayv">
        <w:r>
          <w:rPr>
            <w:rStyle w:val="Hyperlink"/>
            <w:rFonts w:ascii="Times New Roman" w:cs="Times New Roman" w:eastAsia="Times New Roman" w:hAnsi="Times New Roman"/>
            <w:sz w:val="22"/>
            <w:szCs w:val="22"/>
          </w:rPr>
          <w:t xml:space="preserve">Полный видеоархив конференций RUSSCO</w:t>
        </w:r>
      </w:hyperlink>
      <w:r>
        <w:rPr>
          <w:rFonts w:ascii="Times New Roman" w:cs="Times New Roman" w:eastAsia="Times New Roman" w:hAnsi="Times New Roman"/>
          <w:b w:val="false"/>
          <w:bCs w:val="false"/>
          <w:i w:val="false"/>
          <w:iCs w:val="false"/>
          <w:sz w:val="22"/>
          <w:szCs w:val="22"/>
        </w:rPr>
        <w:t xml:space="preserve"> · </w:t>
      </w:r>
      <w:hyperlink w:history="1" r:id="rIdtxa5ujq3memnkg8ecaxpz">
        <w:r>
          <w:rPr>
            <w:rStyle w:val="Hyperlink"/>
            <w:rFonts w:ascii="Times New Roman" w:cs="Times New Roman" w:eastAsia="Times New Roman" w:hAnsi="Times New Roman"/>
            <w:sz w:val="22"/>
            <w:szCs w:val="22"/>
          </w:rPr>
          <w:t xml:space="preserve">архив вебинаров</w:t>
        </w:r>
      </w:hyperlink>
      <w:r>
        <w:rPr>
          <w:rFonts w:ascii="Times New Roman" w:cs="Times New Roman" w:eastAsia="Times New Roman" w:hAnsi="Times New Roman"/>
          <w:b w:val="false"/>
          <w:bCs w:val="false"/>
          <w:i w:val="false"/>
          <w:iCs w:val="false"/>
          <w:sz w:val="22"/>
          <w:szCs w:val="22"/>
        </w:rPr>
        <w:t xml:space="preserve"> — если нужной темы нет в списке выше.</w:t>
      </w:r>
    </w:p>
    <w:p>
      <w:pPr>
        <w:spacing w:after="120" w:line="276"/>
      </w:pPr>
      <w:r>
        <w:rPr>
          <w:rFonts w:ascii="Times New Roman" w:cs="Times New Roman" w:eastAsia="Times New Roman" w:hAnsi="Times New Roman"/>
          <w:b w:val="false"/>
          <w:bCs w:val="false"/>
          <w:i/>
          <w:iCs/>
          <w:sz w:val="22"/>
          <w:szCs w:val="22"/>
        </w:rPr>
        <w:t xml:space="preserve">Ссылки на лекции сотрудников кафедры по этой теме собираются отдельно — пришлите названия докладов или ссылки на записи, добавлю в модуль.</w:t>
      </w:r>
    </w:p>
    <w:p>
      <w:pPr>
        <w:pStyle w:val="Heading2"/>
        <w:spacing w:after="130" w:before="260"/>
      </w:pPr>
      <w:r>
        <w:rPr>
          <w:rFonts w:ascii="Times New Roman" w:cs="Times New Roman" w:eastAsia="Times New Roman" w:hAnsi="Times New Roman"/>
          <w:b/>
          <w:bCs/>
          <w:sz w:val="26"/>
          <w:szCs w:val="26"/>
        </w:rPr>
        <w:t xml:space="preserve">А5. О переводе англоязычных работ</w:t>
      </w:r>
    </w:p>
    <w:p>
      <w:pPr>
        <w:spacing w:after="120" w:line="276"/>
      </w:pPr>
      <w:r>
        <w:rPr>
          <w:rFonts w:ascii="Times New Roman" w:cs="Times New Roman" w:eastAsia="Times New Roman" w:hAnsi="Times New Roman"/>
          <w:b w:val="false"/>
          <w:bCs w:val="false"/>
          <w:i w:val="false"/>
          <w:iCs w:val="false"/>
          <w:sz w:val="22"/>
          <w:szCs w:val="22"/>
        </w:rPr>
        <w:t xml:space="preserve">Полный перевод статей и рекомендаций публиковать нельзя — это нарушение авторских прав издателей. Законное решение: русскоязычная аннотация на 3–5 предложений (дизайн, популяция, конечные точки, результат, что меняет в практике) плюс активная ссылка на оригинал. Именно так оформлены таблицы выше. Для документов с официальным русским переводом приоритет отдаётся рекомендациям RUSSCO и КР Минздрава.</w:t>
      </w:r>
    </w:p>
    <w:p>
      <w:r>
        <w:br w:type="page"/>
      </w:r>
    </w:p>
    <w:p>
      <w:r>
        <w:rPr>
          <w:b/>
          <w:sz w:val="22"/>
        </w:rPr>
        <w:t>А6. Актуализация источников и стандартов — 2026</w:t>
      </w:r>
    </w:p>
    <w:p>
      <w:r>
        <w:rPr>
          <w:b/>
        </w:rPr>
        <w:t xml:space="preserve">EHA-EMN evidence-based guidelines for multiple myeloma (2025). </w:t>
      </w:r>
      <w:r>
        <w:t xml:space="preserve">Заменить EHA-ESMO 2021 как основной международный источник по миеломе; пересмотреть блоки первой линии, MRD, CAR-T и биспецификов. </w:t>
      </w:r>
      <w:hyperlink r:id="rId7">
        <w:r>
          <w:rPr>
            <w:color w:val="0563C1"/>
            <w:u w:val="single"/>
          </w:rPr>
          <w:t>Открыть источник</w:t>
        </w:r>
      </w:hyperlink>
    </w:p>
    <w:p>
      <w:r>
        <w:rPr>
          <w:b/>
        </w:rPr>
        <w:t xml:space="preserve">IWWM-11 consensus: diagnosis and response in Waldenström macroglobulinemia (2023). </w:t>
      </w:r>
      <w:r>
        <w:t xml:space="preserve">Добавить как основной источник по диагностике и критериям ответа при макроглобулинемии Вальденстрёма. </w:t>
      </w:r>
      <w:hyperlink r:id="rId8">
        <w:r>
          <w:rPr>
            <w:color w:val="0563C1"/>
            <w:u w:val="single"/>
          </w:rPr>
          <w:t>Открыть источник</w:t>
        </w:r>
      </w:hyperlink>
    </w:p>
    <w:p>
      <w:r>
        <w:rPr>
          <w:b/>
        </w:rPr>
        <w:t xml:space="preserve">IWWM-11 consensus: molecular diagnosis (2023). </w:t>
      </w:r>
      <w:r>
        <w:t xml:space="preserve">Усилить блок MYD88/CXCR4/TP53 и объяснить, когда молекулярный профиль влияет на выбор терапии. </w:t>
      </w:r>
      <w:hyperlink r:id="rId9">
        <w:r>
          <w:rPr>
            <w:color w:val="0563C1"/>
            <w:u w:val="single"/>
          </w:rPr>
          <w:t>Открыть источник</w:t>
        </w:r>
      </w:hyperlink>
    </w:p>
    <w:p/>
    <w:p>
      <w:pPr>
        <w:pStyle w:val="Heading1"/>
        <w:spacing w:after="130" w:before="260"/>
      </w:pPr>
      <w:r>
        <w:rPr>
          <w:rFonts w:ascii="Times New Roman" w:cs="Times New Roman" w:eastAsia="Times New Roman" w:hAnsi="Times New Roman"/>
          <w:b/>
          <w:bCs/>
          <w:sz w:val="30"/>
          <w:szCs w:val="30"/>
        </w:rPr>
        <w:t xml:space="preserve">Блок Б. Проверочные материалы</w:t>
      </w:r>
    </w:p>
    <w:p>
      <w:pPr>
        <w:pStyle w:val="Heading2"/>
        <w:spacing w:after="130" w:before="260"/>
      </w:pPr>
      <w:r>
        <w:rPr>
          <w:rFonts w:ascii="Times New Roman" w:cs="Times New Roman" w:eastAsia="Times New Roman" w:hAnsi="Times New Roman"/>
          <w:b/>
          <w:bCs/>
          <w:sz w:val="26"/>
          <w:szCs w:val="26"/>
        </w:rPr>
        <w:t xml:space="preserve">Б1. Тестовые задания (11 вопросов)</w:t>
      </w:r>
    </w:p>
    <w:p>
      <w:pPr>
        <w:spacing w:after="120" w:line="276"/>
      </w:pPr>
      <w:r>
        <w:rPr>
          <w:rFonts w:ascii="Times New Roman" w:cs="Times New Roman" w:eastAsia="Times New Roman" w:hAnsi="Times New Roman"/>
          <w:b w:val="false"/>
          <w:bCs w:val="false"/>
          <w:i/>
          <w:iCs/>
          <w:sz w:val="22"/>
          <w:szCs w:val="22"/>
        </w:rPr>
        <w:t xml:space="preserve">Один лучший ответ. Формат приближен к экзаменационному стилю ESMO и RUSSCO. Пояснения предназначены для разбора после теста и для версии с автопроверкой на сайте.</w:t>
      </w:r>
    </w:p>
    <w:p>
      <w:pPr>
        <w:spacing w:after="60" w:line="276"/>
      </w:pPr>
      <w:r>
        <w:rPr>
          <w:rFonts w:ascii="Times New Roman" w:cs="Times New Roman" w:eastAsia="Times New Roman" w:hAnsi="Times New Roman"/>
          <w:b/>
          <w:bCs/>
          <w:i w:val="false"/>
          <w:iCs w:val="false"/>
          <w:sz w:val="22"/>
          <w:szCs w:val="22"/>
        </w:rPr>
        <w:t xml:space="preserve">1. Критерии CRAB при множественной миеломе включают:</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анемию и поражение костей</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уровень парапротеина</w:t>
      </w:r>
    </w:p>
    <w:p>
      <w:pPr>
        <w:spacing w:after="30" w:line="250"/>
        <w:ind w:left="340"/>
      </w:pPr>
      <w:r>
        <w:rPr>
          <w:rFonts w:ascii="Times New Roman" w:cs="Times New Roman" w:eastAsia="Times New Roman" w:hAnsi="Times New Roman"/>
          <w:b w:val="false"/>
          <w:bCs w:val="false"/>
          <w:i w:val="false"/>
          <w:iCs w:val="false"/>
          <w:sz w:val="21"/>
          <w:szCs w:val="21"/>
        </w:rPr>
        <w:t xml:space="preserve">C. Лихорадку, потливость, потерю массы тела</w:t>
      </w:r>
    </w:p>
    <w:p>
      <w:pPr>
        <w:spacing w:after="30" w:line="250"/>
        <w:ind w:left="340"/>
      </w:pPr>
      <w:r>
        <w:rPr>
          <w:rFonts w:ascii="Times New Roman" w:cs="Times New Roman" w:eastAsia="Times New Roman" w:hAnsi="Times New Roman"/>
          <w:b w:val="false"/>
          <w:bCs w:val="false"/>
          <w:i w:val="false"/>
          <w:iCs w:val="false"/>
          <w:sz w:val="21"/>
          <w:szCs w:val="21"/>
        </w:rPr>
        <w:t xml:space="preserve">D. Гиперкальциемию, почечную недостаточность, анемию, поражение костей</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CRAB описывает поражение органов-мишеней. Критерии IMWG дополнены биомаркёрами SLiM: 60 % и более плазматических клеток в костном мозге, соотношение вовлечённых и невовлечённых свободных лёгких цепей 100 и выше, более одного очага на МРТ. Их наличие позволяет начать лечение до развития органного повреждения.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qqw_9imkiraenekhdqkij">
        <w:r>
          <w:rPr>
            <w:rStyle w:val="Hyperlink"/>
            <w:rFonts w:ascii="Times New Roman" w:cs="Times New Roman" w:eastAsia="Times New Roman" w:hAnsi="Times New Roman"/>
            <w:sz w:val="20"/>
            <w:szCs w:val="20"/>
          </w:rPr>
          <w:t xml:space="preserve">Критерии IMWG</w:t>
        </w:r>
      </w:hyperlink>
    </w:p>
    <w:p>
      <w:pPr>
        <w:spacing w:after="60" w:line="276"/>
      </w:pPr>
      <w:r>
        <w:rPr>
          <w:rFonts w:ascii="Times New Roman" w:cs="Times New Roman" w:eastAsia="Times New Roman" w:hAnsi="Times New Roman"/>
          <w:b/>
          <w:bCs/>
          <w:i w:val="false"/>
          <w:iCs w:val="false"/>
          <w:sz w:val="22"/>
          <w:szCs w:val="22"/>
        </w:rPr>
        <w:t xml:space="preserve">2. Больной с моноклональной гаммапатией неопределённого значения: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A. Требует трансплантации</w:t>
      </w:r>
    </w:p>
    <w:p>
      <w:pPr>
        <w:spacing w:after="30" w:line="250"/>
        <w:ind w:left="340"/>
      </w:pPr>
      <w:r>
        <w:rPr>
          <w:rFonts w:ascii="Times New Roman" w:cs="Times New Roman" w:eastAsia="Times New Roman" w:hAnsi="Times New Roman"/>
          <w:b w:val="false"/>
          <w:bCs w:val="false"/>
          <w:i w:val="false"/>
          <w:iCs w:val="false"/>
          <w:sz w:val="21"/>
          <w:szCs w:val="21"/>
        </w:rPr>
        <w:t xml:space="preserve">B. Требует немедленного лечения</w:t>
      </w:r>
    </w:p>
    <w:p>
      <w:pPr>
        <w:spacing w:after="30" w:line="250"/>
        <w:ind w:left="340"/>
      </w:pPr>
      <w:r>
        <w:rPr>
          <w:rFonts w:ascii="Times New Roman" w:cs="Times New Roman" w:eastAsia="Times New Roman" w:hAnsi="Times New Roman"/>
          <w:b w:val="false"/>
          <w:bCs w:val="false"/>
          <w:i w:val="false"/>
          <w:iCs w:val="false"/>
          <w:sz w:val="21"/>
          <w:szCs w:val="21"/>
        </w:rPr>
        <w:t xml:space="preserve">C. Наблюдается, поскольку риск трансформации в миелому составляет около 1 % в год</w:t>
      </w:r>
    </w:p>
    <w:p>
      <w:pPr>
        <w:spacing w:after="30" w:line="250"/>
        <w:ind w:left="340"/>
      </w:pPr>
      <w:r>
        <w:rPr>
          <w:rFonts w:ascii="Times New Roman" w:cs="Times New Roman" w:eastAsia="Times New Roman" w:hAnsi="Times New Roman"/>
          <w:b w:val="false"/>
          <w:bCs w:val="false"/>
          <w:i w:val="false"/>
          <w:iCs w:val="false"/>
          <w:sz w:val="21"/>
          <w:szCs w:val="21"/>
        </w:rPr>
        <w:t xml:space="preserve">D. Не требует наблюдения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C</w:t>
      </w:r>
    </w:p>
    <w:p>
      <w:pPr>
        <w:spacing w:after="40" w:line="250"/>
        <w:ind w:left="340"/>
      </w:pPr>
      <w:r>
        <w:rPr>
          <w:rFonts w:ascii="Times New Roman" w:cs="Times New Roman" w:eastAsia="Times New Roman" w:hAnsi="Times New Roman"/>
          <w:b w:val="false"/>
          <w:bCs w:val="false"/>
          <w:i/>
          <w:iCs/>
          <w:sz w:val="21"/>
          <w:szCs w:val="21"/>
        </w:rPr>
        <w:t xml:space="preserve">Пояснение. Моноклональная гаммапатия неопределённого значения предшествует практически всем случаям миеломы, но трансформируется медленно. Лечение не проводится; наблюдение включает контроль парапротеина, показателей крови, кальция и функции почек. Тлеющая миелома с признаками высокого риска — отдельная категория, при которой обсуждается раннее вмешательство.</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qzd_jttfe72fbvbog-ruj">
        <w:r>
          <w:rPr>
            <w:rStyle w:val="Hyperlink"/>
            <w:rFonts w:ascii="Times New Roman" w:cs="Times New Roman" w:eastAsia="Times New Roman" w:hAnsi="Times New Roman"/>
            <w:sz w:val="20"/>
            <w:szCs w:val="20"/>
          </w:rPr>
          <w:t xml:space="preserve">Критерии IMWG</w:t>
        </w:r>
      </w:hyperlink>
    </w:p>
    <w:p>
      <w:pPr>
        <w:spacing w:after="60" w:line="276"/>
      </w:pPr>
      <w:r>
        <w:rPr>
          <w:rFonts w:ascii="Times New Roman" w:cs="Times New Roman" w:eastAsia="Times New Roman" w:hAnsi="Times New Roman"/>
          <w:b/>
          <w:bCs/>
          <w:i w:val="false"/>
          <w:iCs w:val="false"/>
          <w:sz w:val="22"/>
          <w:szCs w:val="22"/>
        </w:rPr>
        <w:t xml:space="preserve">3. Стандарт первой линии у соматически сохранного больного, кандидата на аутологичную трансплантацию:</w:t>
      </w:r>
    </w:p>
    <w:p>
      <w:pPr>
        <w:spacing w:after="30" w:line="250"/>
        <w:ind w:left="340"/>
      </w:pPr>
      <w:r>
        <w:rPr>
          <w:rFonts w:ascii="Times New Roman" w:cs="Times New Roman" w:eastAsia="Times New Roman" w:hAnsi="Times New Roman"/>
          <w:b w:val="false"/>
          <w:bCs w:val="false"/>
          <w:i w:val="false"/>
          <w:iCs w:val="false"/>
          <w:sz w:val="21"/>
          <w:szCs w:val="21"/>
        </w:rPr>
        <w:t xml:space="preserve">A. Четырёхкомпонентный режим: анти-CD38-антитело с бортезомибом, леналидомидом и дексаметазоном, затем трансплантация и поддерживающая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бортезомиб</w:t>
      </w:r>
    </w:p>
    <w:p>
      <w:pPr>
        <w:spacing w:after="30" w:line="250"/>
        <w:ind w:left="340"/>
      </w:pPr>
      <w:r>
        <w:rPr>
          <w:rFonts w:ascii="Times New Roman" w:cs="Times New Roman" w:eastAsia="Times New Roman" w:hAnsi="Times New Roman"/>
          <w:b w:val="false"/>
          <w:bCs w:val="false"/>
          <w:i w:val="false"/>
          <w:iCs w:val="false"/>
          <w:sz w:val="21"/>
          <w:szCs w:val="21"/>
        </w:rPr>
        <w:t xml:space="preserve">C. Мелфалан с преднизолоном</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трансплантация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PERSEUS показало превосходство даратумумаба с VRd над VRd у кандидатов на трансплантацию: выше частота отрицательной измеримой остаточной болезни и беспрогрессивная выживаемость. Поддерживающая терапия — леналидомид в комбинации с анти-CD38-антителом; при стандартном риске леналидомид может быть отменён через два года.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tp1itdfbqhipdkzhshm7x">
        <w:r>
          <w:rPr>
            <w:rStyle w:val="Hyperlink"/>
            <w:rFonts w:ascii="Times New Roman" w:cs="Times New Roman" w:eastAsia="Times New Roman" w:hAnsi="Times New Roman"/>
            <w:sz w:val="20"/>
            <w:szCs w:val="20"/>
          </w:rPr>
          <w:t xml:space="preserve">PERSEUS</w:t>
        </w:r>
      </w:hyperlink>
    </w:p>
    <w:p>
      <w:pPr>
        <w:spacing w:after="60" w:line="276"/>
      </w:pPr>
      <w:r>
        <w:rPr>
          <w:rFonts w:ascii="Times New Roman" w:cs="Times New Roman" w:eastAsia="Times New Roman" w:hAnsi="Times New Roman"/>
          <w:b/>
          <w:bCs/>
          <w:i w:val="false"/>
          <w:iCs w:val="false"/>
          <w:sz w:val="22"/>
          <w:szCs w:val="22"/>
        </w:rPr>
        <w:t xml:space="preserve">4. У больного 78 лет с миеломой и умеренной коморбидностью, не кандидата на трансплантацию, обоснован режим:</w:t>
      </w:r>
    </w:p>
    <w:p>
      <w:pPr>
        <w:spacing w:after="30" w:line="250"/>
        <w:ind w:left="340"/>
      </w:pPr>
      <w:r>
        <w:rPr>
          <w:rFonts w:ascii="Times New Roman" w:cs="Times New Roman" w:eastAsia="Times New Roman" w:hAnsi="Times New Roman"/>
          <w:b w:val="false"/>
          <w:bCs w:val="false"/>
          <w:i w:val="false"/>
          <w:iCs w:val="false"/>
          <w:sz w:val="21"/>
          <w:szCs w:val="21"/>
        </w:rPr>
        <w:t xml:space="preserve">A. Четырёхкомпонентный режим при переносимости либо анти-CD38-антитело с леналидомидом и дексаметазоном</w:t>
      </w:r>
    </w:p>
    <w:p>
      <w:pPr>
        <w:spacing w:after="30" w:line="250"/>
        <w:ind w:left="340"/>
      </w:pPr>
      <w:r>
        <w:rPr>
          <w:rFonts w:ascii="Times New Roman" w:cs="Times New Roman" w:eastAsia="Times New Roman" w:hAnsi="Times New Roman"/>
          <w:b w:val="false"/>
          <w:bCs w:val="false"/>
          <w:i w:val="false"/>
          <w:iCs w:val="false"/>
          <w:sz w:val="21"/>
          <w:szCs w:val="21"/>
        </w:rPr>
        <w:t xml:space="preserve">B. Только дексаметазон</w:t>
      </w:r>
    </w:p>
    <w:p>
      <w:pPr>
        <w:spacing w:after="30" w:line="250"/>
        <w:ind w:left="340"/>
      </w:pPr>
      <w:r>
        <w:rPr>
          <w:rFonts w:ascii="Times New Roman" w:cs="Times New Roman" w:eastAsia="Times New Roman" w:hAnsi="Times New Roman"/>
          <w:b w:val="false"/>
          <w:bCs w:val="false"/>
          <w:i w:val="false"/>
          <w:iCs w:val="false"/>
          <w:sz w:val="21"/>
          <w:szCs w:val="21"/>
        </w:rPr>
        <w:t xml:space="preserve">C. Высокодозная химиотерапия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D. Мелфалан с преднизолоном</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IMROZ и CEPHEUS подтвердили преимущество четырёхкомпонентных режимов и у больных, не идущих на трансплантацию, при этом включались пациенты до 80 лет с хорошим функциональным статусом. У более ослабленных обоснован режим MAIA. Практичный подход — начать с трёх препаратов и добавить четвёртый при подтверждённой переносимости.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b6edxb_4kfzadupqafao5">
        <w:r>
          <w:rPr>
            <w:rStyle w:val="Hyperlink"/>
            <w:rFonts w:ascii="Times New Roman" w:cs="Times New Roman" w:eastAsia="Times New Roman" w:hAnsi="Times New Roman"/>
            <w:sz w:val="20"/>
            <w:szCs w:val="20"/>
          </w:rPr>
          <w:t xml:space="preserve">IMROZ · CEPHEUS · MAIA</w:t>
        </w:r>
      </w:hyperlink>
    </w:p>
    <w:p>
      <w:pPr>
        <w:spacing w:after="60" w:line="276"/>
      </w:pPr>
      <w:r>
        <w:rPr>
          <w:rFonts w:ascii="Times New Roman" w:cs="Times New Roman" w:eastAsia="Times New Roman" w:hAnsi="Times New Roman"/>
          <w:b/>
          <w:bCs/>
          <w:i w:val="false"/>
          <w:iCs w:val="false"/>
          <w:sz w:val="22"/>
          <w:szCs w:val="22"/>
        </w:rPr>
        <w:t xml:space="preserve">5. Что означает отрицательная измеримая остаточная болезнь при миеломе?</w:t>
      </w:r>
    </w:p>
    <w:p>
      <w:pPr>
        <w:spacing w:after="30" w:line="250"/>
        <w:ind w:left="340"/>
      </w:pPr>
      <w:r>
        <w:rPr>
          <w:rFonts w:ascii="Times New Roman" w:cs="Times New Roman" w:eastAsia="Times New Roman" w:hAnsi="Times New Roman"/>
          <w:b w:val="false"/>
          <w:bCs w:val="false"/>
          <w:i w:val="false"/>
          <w:iCs w:val="false"/>
          <w:sz w:val="21"/>
          <w:szCs w:val="21"/>
        </w:rPr>
        <w:t xml:space="preserve">A. Технический артефакт</w:t>
      </w:r>
    </w:p>
    <w:p>
      <w:pPr>
        <w:spacing w:after="30" w:line="250"/>
        <w:ind w:left="340"/>
      </w:pPr>
      <w:r>
        <w:rPr>
          <w:rFonts w:ascii="Times New Roman" w:cs="Times New Roman" w:eastAsia="Times New Roman" w:hAnsi="Times New Roman"/>
          <w:b w:val="false"/>
          <w:bCs w:val="false"/>
          <w:i w:val="false"/>
          <w:iCs w:val="false"/>
          <w:sz w:val="21"/>
          <w:szCs w:val="21"/>
        </w:rPr>
        <w:t xml:space="preserve">B. Отсутствие опухолевых клеток ниже установленного порога чувствительности; связано с существенно лучшей выживаемостью и обсуждается как ориентир для тактики</w:t>
      </w:r>
    </w:p>
    <w:p>
      <w:pPr>
        <w:spacing w:after="30" w:line="250"/>
        <w:ind w:left="340"/>
      </w:pPr>
      <w:r>
        <w:rPr>
          <w:rFonts w:ascii="Times New Roman" w:cs="Times New Roman" w:eastAsia="Times New Roman" w:hAnsi="Times New Roman"/>
          <w:b w:val="false"/>
          <w:bCs w:val="false"/>
          <w:i w:val="false"/>
          <w:iCs w:val="false"/>
          <w:sz w:val="21"/>
          <w:szCs w:val="21"/>
        </w:rPr>
        <w:t xml:space="preserve">C. Излечение</w:t>
      </w:r>
    </w:p>
    <w:p>
      <w:pPr>
        <w:spacing w:after="30" w:line="250"/>
        <w:ind w:left="340"/>
      </w:pPr>
      <w:r>
        <w:rPr>
          <w:rFonts w:ascii="Times New Roman" w:cs="Times New Roman" w:eastAsia="Times New Roman" w:hAnsi="Times New Roman"/>
          <w:b w:val="false"/>
          <w:bCs w:val="false"/>
          <w:i w:val="false"/>
          <w:iCs w:val="false"/>
          <w:sz w:val="21"/>
          <w:szCs w:val="21"/>
        </w:rPr>
        <w:t xml:space="preserve">D. Полный ответ по парапротеину</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Оценка проводится проточной цитометрией или секвенированием с чувствительностью до одной клетки на 100 тысяч и глубже. Достижение отрицательного статуса — один из сильнейших прогностических факторов, независимо от того, каким режимом он получен. Использование остаточной болезни для принятия решений о продолжительности терапии активно изучается.</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clnlsslfthvj1db-uylhq">
        <w:r>
          <w:rPr>
            <w:rStyle w:val="Hyperlink"/>
            <w:rFonts w:ascii="Times New Roman" w:cs="Times New Roman" w:eastAsia="Times New Roman" w:hAnsi="Times New Roman"/>
            <w:sz w:val="20"/>
            <w:szCs w:val="20"/>
          </w:rPr>
          <w:t xml:space="preserve">Измеримая остаточная болезнь</w:t>
        </w:r>
      </w:hyperlink>
    </w:p>
    <w:p>
      <w:pPr>
        <w:spacing w:after="60" w:line="276"/>
      </w:pPr>
      <w:r>
        <w:rPr>
          <w:rFonts w:ascii="Times New Roman" w:cs="Times New Roman" w:eastAsia="Times New Roman" w:hAnsi="Times New Roman"/>
          <w:b/>
          <w:bCs/>
          <w:i w:val="false"/>
          <w:iCs w:val="false"/>
          <w:sz w:val="22"/>
          <w:szCs w:val="22"/>
        </w:rPr>
        <w:t xml:space="preserve">6. Больной с миеломой и первым рецидивом через 2 года после трансплантации. Наиболее перспективная опция при доступности:</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дексаметазон</w:t>
      </w:r>
    </w:p>
    <w:p>
      <w:pPr>
        <w:spacing w:after="30" w:line="250"/>
        <w:ind w:left="340"/>
      </w:pPr>
      <w:r>
        <w:rPr>
          <w:rFonts w:ascii="Times New Roman" w:cs="Times New Roman" w:eastAsia="Times New Roman" w:hAnsi="Times New Roman"/>
          <w:b w:val="false"/>
          <w:bCs w:val="false"/>
          <w:i w:val="false"/>
          <w:iCs w:val="false"/>
          <w:sz w:val="21"/>
          <w:szCs w:val="21"/>
        </w:rPr>
        <w:t xml:space="preserve">B. Лучевая терапия</w:t>
      </w:r>
    </w:p>
    <w:p>
      <w:pPr>
        <w:spacing w:after="30" w:line="250"/>
        <w:ind w:left="340"/>
      </w:pPr>
      <w:r>
        <w:rPr>
          <w:rFonts w:ascii="Times New Roman" w:cs="Times New Roman" w:eastAsia="Times New Roman" w:hAnsi="Times New Roman"/>
          <w:b w:val="false"/>
          <w:bCs w:val="false"/>
          <w:i w:val="false"/>
          <w:iCs w:val="false"/>
          <w:sz w:val="21"/>
          <w:szCs w:val="21"/>
        </w:rPr>
        <w:t xml:space="preserve">C. Повторение первой линии</w:t>
      </w:r>
    </w:p>
    <w:p>
      <w:pPr>
        <w:spacing w:after="30" w:line="250"/>
        <w:ind w:left="340"/>
      </w:pPr>
      <w:r>
        <w:rPr>
          <w:rFonts w:ascii="Times New Roman" w:cs="Times New Roman" w:eastAsia="Times New Roman" w:hAnsi="Times New Roman"/>
          <w:b w:val="false"/>
          <w:bCs w:val="false"/>
          <w:i w:val="false"/>
          <w:iCs w:val="false"/>
          <w:sz w:val="21"/>
          <w:szCs w:val="21"/>
        </w:rPr>
        <w:t xml:space="preserve">D. CAR-T-клеточная терапия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CARTITUDE-4 показало превосходство цилтакабтагена аутолейцела над стандартными режимами уже при первом рецидиве, KarMMa-3 — преимущество идекабтагена виклейцела при рецидивирующей и рефрактерной болезни. Клеточная терапия перемещается в ранние линии, поскольку там эффективнее и лучше переносится; при недоступности рассматриваются биспецифические антитела и комбинации.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b5anzerfn7tumqvq0ixyp">
        <w:r>
          <w:rPr>
            <w:rStyle w:val="Hyperlink"/>
            <w:rFonts w:ascii="Times New Roman" w:cs="Times New Roman" w:eastAsia="Times New Roman" w:hAnsi="Times New Roman"/>
            <w:sz w:val="20"/>
            <w:szCs w:val="20"/>
          </w:rPr>
          <w:t xml:space="preserve">CARTITUDE-4 · KarMMa-3</w:t>
        </w:r>
      </w:hyperlink>
    </w:p>
    <w:p>
      <w:pPr>
        <w:spacing w:after="60" w:line="276"/>
      </w:pPr>
      <w:r>
        <w:rPr>
          <w:rFonts w:ascii="Times New Roman" w:cs="Times New Roman" w:eastAsia="Times New Roman" w:hAnsi="Times New Roman"/>
          <w:b/>
          <w:bCs/>
          <w:i w:val="false"/>
          <w:iCs w:val="false"/>
          <w:sz w:val="22"/>
          <w:szCs w:val="22"/>
        </w:rPr>
        <w:t xml:space="preserve">7. Специфическая токсичность белантамаба мафодотина:</w:t>
      </w:r>
    </w:p>
    <w:p>
      <w:pPr>
        <w:spacing w:after="30" w:line="250"/>
        <w:ind w:left="340"/>
      </w:pPr>
      <w:r>
        <w:rPr>
          <w:rFonts w:ascii="Times New Roman" w:cs="Times New Roman" w:eastAsia="Times New Roman" w:hAnsi="Times New Roman"/>
          <w:b w:val="false"/>
          <w:bCs w:val="false"/>
          <w:i w:val="false"/>
          <w:iCs w:val="false"/>
          <w:sz w:val="21"/>
          <w:szCs w:val="21"/>
        </w:rPr>
        <w:t xml:space="preserve">A. Нейропатия</w:t>
      </w:r>
    </w:p>
    <w:p>
      <w:pPr>
        <w:spacing w:after="30" w:line="250"/>
        <w:ind w:left="340"/>
      </w:pPr>
      <w:r>
        <w:rPr>
          <w:rFonts w:ascii="Times New Roman" w:cs="Times New Roman" w:eastAsia="Times New Roman" w:hAnsi="Times New Roman"/>
          <w:b w:val="false"/>
          <w:bCs w:val="false"/>
          <w:i w:val="false"/>
          <w:iCs w:val="false"/>
          <w:sz w:val="21"/>
          <w:szCs w:val="21"/>
        </w:rPr>
        <w:t xml:space="preserve">B. Нефротоксичность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C. Кардиотоксичность</w:t>
      </w:r>
    </w:p>
    <w:p>
      <w:pPr>
        <w:spacing w:after="30" w:line="250"/>
        <w:ind w:left="340"/>
      </w:pPr>
      <w:r>
        <w:rPr>
          <w:rFonts w:ascii="Times New Roman" w:cs="Times New Roman" w:eastAsia="Times New Roman" w:hAnsi="Times New Roman"/>
          <w:b w:val="false"/>
          <w:bCs w:val="false"/>
          <w:i w:val="false"/>
          <w:iCs w:val="false"/>
          <w:sz w:val="21"/>
          <w:szCs w:val="21"/>
        </w:rPr>
        <w:t xml:space="preserve">D. Поражение роговицы с нарушением зрения, требующее регулярного офтальмологического контроля</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D</w:t>
      </w:r>
    </w:p>
    <w:p>
      <w:pPr>
        <w:spacing w:after="40" w:line="250"/>
        <w:ind w:left="340"/>
      </w:pPr>
      <w:r>
        <w:rPr>
          <w:rFonts w:ascii="Times New Roman" w:cs="Times New Roman" w:eastAsia="Times New Roman" w:hAnsi="Times New Roman"/>
          <w:b w:val="false"/>
          <w:bCs w:val="false"/>
          <w:i/>
          <w:iCs/>
          <w:sz w:val="21"/>
          <w:szCs w:val="21"/>
        </w:rPr>
        <w:t xml:space="preserve">Пояснение. Кератопатия — класс-определяющее осложнение, обратимое, но требующее отсрочек и редукции доз. Обязателен осмотр офтальмолога до начала и перед каждым введением. DREAMM-7 и DREAMM-8 показали значимый выигрыш по беспрогрессивной выживаемости, что делает управление этой токсичностью практической задачей.</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edqy3uttyxfzvnpqlltbb">
        <w:r>
          <w:rPr>
            <w:rStyle w:val="Hyperlink"/>
            <w:rFonts w:ascii="Times New Roman" w:cs="Times New Roman" w:eastAsia="Times New Roman" w:hAnsi="Times New Roman"/>
            <w:sz w:val="20"/>
            <w:szCs w:val="20"/>
          </w:rPr>
          <w:t xml:space="preserve">DREAMM-7 и DREAMM-8</w:t>
        </w:r>
      </w:hyperlink>
    </w:p>
    <w:p>
      <w:pPr>
        <w:spacing w:after="60" w:line="276"/>
      </w:pPr>
      <w:r>
        <w:rPr>
          <w:rFonts w:ascii="Times New Roman" w:cs="Times New Roman" w:eastAsia="Times New Roman" w:hAnsi="Times New Roman"/>
          <w:b/>
          <w:bCs/>
          <w:i w:val="false"/>
          <w:iCs w:val="false"/>
          <w:sz w:val="22"/>
          <w:szCs w:val="22"/>
        </w:rPr>
        <w:t xml:space="preserve">8. Всем больным с миеломой и костной болезнью показано:</w:t>
      </w:r>
    </w:p>
    <w:p>
      <w:pPr>
        <w:spacing w:after="30" w:line="250"/>
        <w:ind w:left="340"/>
      </w:pPr>
      <w:r>
        <w:rPr>
          <w:rFonts w:ascii="Times New Roman" w:cs="Times New Roman" w:eastAsia="Times New Roman" w:hAnsi="Times New Roman"/>
          <w:b w:val="false"/>
          <w:bCs w:val="false"/>
          <w:i w:val="false"/>
          <w:iCs w:val="false"/>
          <w:sz w:val="21"/>
          <w:szCs w:val="21"/>
        </w:rPr>
        <w:t xml:space="preserve">A. Лучевая терапия на все очаги</w:t>
      </w:r>
    </w:p>
    <w:p>
      <w:pPr>
        <w:spacing w:after="30" w:line="250"/>
        <w:ind w:left="340"/>
      </w:pPr>
      <w:r>
        <w:rPr>
          <w:rFonts w:ascii="Times New Roman" w:cs="Times New Roman" w:eastAsia="Times New Roman" w:hAnsi="Times New Roman"/>
          <w:b w:val="false"/>
          <w:bCs w:val="false"/>
          <w:i w:val="false"/>
          <w:iCs w:val="false"/>
          <w:sz w:val="21"/>
          <w:szCs w:val="21"/>
        </w:rPr>
        <w:t xml:space="preserve">B. Остеомодифицирующий агент — бисфосфонат или деносумаб — с предварительной санацией полости рта</w:t>
      </w:r>
    </w:p>
    <w:p>
      <w:pPr>
        <w:spacing w:after="30" w:line="250"/>
        <w:ind w:left="340"/>
      </w:pPr>
      <w:r>
        <w:rPr>
          <w:rFonts w:ascii="Times New Roman" w:cs="Times New Roman" w:eastAsia="Times New Roman" w:hAnsi="Times New Roman"/>
          <w:b w:val="false"/>
          <w:bCs w:val="false"/>
          <w:i w:val="false"/>
          <w:iCs w:val="false"/>
          <w:sz w:val="21"/>
          <w:szCs w:val="21"/>
        </w:rPr>
        <w:t xml:space="preserve">C. Ничего дополнительно</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обезболивание</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Остеомодифицирующие агенты снижают частоту скелетных осложнений. Деносумаб предпочтителен при почечной недостаточности, поскольку не требует коррекции по клиренсу. Обязательны санация полости рта до начала терапии, контроль кальция и витамина D. Лучевая терапия применяется избирательно — при угрозе патологического перелома, компрессии спинного мозга и некупируемой боли.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ybq__obbss5v04fa03ygj">
        <w:r>
          <w:rPr>
            <w:rStyle w:val="Hyperlink"/>
            <w:rFonts w:ascii="Times New Roman" w:cs="Times New Roman" w:eastAsia="Times New Roman" w:hAnsi="Times New Roman"/>
            <w:sz w:val="20"/>
            <w:szCs w:val="20"/>
          </w:rPr>
          <w:t xml:space="preserve">Лечение костной болезни</w:t>
        </w:r>
      </w:hyperlink>
    </w:p>
    <w:p>
      <w:pPr>
        <w:spacing w:after="60" w:line="276"/>
      </w:pPr>
      <w:r>
        <w:rPr>
          <w:rFonts w:ascii="Times New Roman" w:cs="Times New Roman" w:eastAsia="Times New Roman" w:hAnsi="Times New Roman"/>
          <w:b/>
          <w:bCs/>
          <w:i w:val="false"/>
          <w:iCs w:val="false"/>
          <w:sz w:val="22"/>
          <w:szCs w:val="22"/>
        </w:rPr>
        <w:t xml:space="preserve">9. Основная причина почечной недостаточности при миеломе:</w:t>
      </w:r>
    </w:p>
    <w:p>
      <w:pPr>
        <w:spacing w:after="30" w:line="250"/>
        <w:ind w:left="340"/>
      </w:pPr>
      <w:r>
        <w:rPr>
          <w:rFonts w:ascii="Times New Roman" w:cs="Times New Roman" w:eastAsia="Times New Roman" w:hAnsi="Times New Roman"/>
          <w:b w:val="false"/>
          <w:bCs w:val="false"/>
          <w:i w:val="false"/>
          <w:iCs w:val="false"/>
          <w:sz w:val="21"/>
          <w:szCs w:val="21"/>
        </w:rPr>
        <w:t xml:space="preserve">A. Обструкция мочевых путей</w:t>
      </w:r>
    </w:p>
    <w:p>
      <w:pPr>
        <w:spacing w:after="30" w:line="250"/>
        <w:ind w:left="340"/>
      </w:pPr>
      <w:r>
        <w:rPr>
          <w:rFonts w:ascii="Times New Roman" w:cs="Times New Roman" w:eastAsia="Times New Roman" w:hAnsi="Times New Roman"/>
          <w:b w:val="false"/>
          <w:bCs w:val="false"/>
          <w:i w:val="false"/>
          <w:iCs w:val="false"/>
          <w:sz w:val="21"/>
          <w:szCs w:val="21"/>
        </w:rPr>
        <w:t xml:space="preserve">B. Повреждение канальцев свободными лёгкими цепями, часто в сочетании с гиперкальциемией, дегидратацией и нефротоксичными препаратами</w:t>
      </w:r>
    </w:p>
    <w:p>
      <w:pPr>
        <w:spacing w:after="30" w:line="250"/>
        <w:ind w:left="340"/>
      </w:pPr>
      <w:r>
        <w:rPr>
          <w:rFonts w:ascii="Times New Roman" w:cs="Times New Roman" w:eastAsia="Times New Roman" w:hAnsi="Times New Roman"/>
          <w:b w:val="false"/>
          <w:bCs w:val="false"/>
          <w:i w:val="false"/>
          <w:iCs w:val="false"/>
          <w:sz w:val="21"/>
          <w:szCs w:val="21"/>
        </w:rPr>
        <w:t xml:space="preserve">C. Гломерулонефрит</w:t>
      </w:r>
    </w:p>
    <w:p>
      <w:pPr>
        <w:spacing w:after="30" w:line="250"/>
        <w:ind w:left="340"/>
      </w:pPr>
      <w:r>
        <w:rPr>
          <w:rFonts w:ascii="Times New Roman" w:cs="Times New Roman" w:eastAsia="Times New Roman" w:hAnsi="Times New Roman"/>
          <w:b w:val="false"/>
          <w:bCs w:val="false"/>
          <w:i w:val="false"/>
          <w:iCs w:val="false"/>
          <w:sz w:val="21"/>
          <w:szCs w:val="21"/>
        </w:rPr>
        <w:t xml:space="preserve">D. Гиперкальциемия исключительно</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Цилиндровая нефропатия — ведущий механизм. Тактика: экстренное начало эффективной противоопухолевой терапии для быстрого снижения продукции лёгких цепей, интенсивная гидратация, коррекция гиперкальциемии, отмена нестероидных противовоспалительных препаратов и по возможности избегание контрастных исследований. Бортезомиб не требует коррекции дозы при почечной недостаточности, что делает его удобным в этой ситуации.</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n_zgwcu9tv5dmozyr890k">
        <w:r>
          <w:rPr>
            <w:rStyle w:val="Hyperlink"/>
            <w:rFonts w:ascii="Times New Roman" w:cs="Times New Roman" w:eastAsia="Times New Roman" w:hAnsi="Times New Roman"/>
            <w:sz w:val="20"/>
            <w:szCs w:val="20"/>
          </w:rPr>
          <w:t xml:space="preserve">ESMO Clinical Practice Guidelines</w:t>
        </w:r>
      </w:hyperlink>
    </w:p>
    <w:p>
      <w:pPr>
        <w:spacing w:after="60" w:line="276"/>
      </w:pPr>
      <w:r>
        <w:rPr>
          <w:rFonts w:ascii="Times New Roman" w:cs="Times New Roman" w:eastAsia="Times New Roman" w:hAnsi="Times New Roman"/>
          <w:b/>
          <w:bCs/>
          <w:i w:val="false"/>
          <w:iCs w:val="false"/>
          <w:sz w:val="22"/>
          <w:szCs w:val="22"/>
        </w:rPr>
        <w:t xml:space="preserve">10. Профилактика тромбозов при лечении иммуномодулирующими препаратами:</w:t>
      </w:r>
    </w:p>
    <w:p>
      <w:pPr>
        <w:spacing w:after="30" w:line="250"/>
        <w:ind w:left="340"/>
      </w:pPr>
      <w:r>
        <w:rPr>
          <w:rFonts w:ascii="Times New Roman" w:cs="Times New Roman" w:eastAsia="Times New Roman" w:hAnsi="Times New Roman"/>
          <w:b w:val="false"/>
          <w:bCs w:val="false"/>
          <w:i w:val="false"/>
          <w:iCs w:val="false"/>
          <w:sz w:val="21"/>
          <w:szCs w:val="21"/>
        </w:rPr>
        <w:t xml:space="preserve">A. Только компрессионный трикотаж</w:t>
      </w:r>
    </w:p>
    <w:p>
      <w:pPr>
        <w:spacing w:after="30" w:line="250"/>
        <w:ind w:left="340"/>
      </w:pPr>
      <w:r>
        <w:rPr>
          <w:rFonts w:ascii="Times New Roman" w:cs="Times New Roman" w:eastAsia="Times New Roman" w:hAnsi="Times New Roman"/>
          <w:b w:val="false"/>
          <w:bCs w:val="false"/>
          <w:i w:val="false"/>
          <w:iCs w:val="false"/>
          <w:sz w:val="21"/>
          <w:szCs w:val="21"/>
        </w:rPr>
        <w:t xml:space="preserve">B. Обязательна: аспирин при низком риске, антикоагулянт при высоком</w:t>
      </w:r>
    </w:p>
    <w:p>
      <w:pPr>
        <w:spacing w:after="30" w:line="250"/>
        <w:ind w:left="340"/>
      </w:pPr>
      <w:r>
        <w:rPr>
          <w:rFonts w:ascii="Times New Roman" w:cs="Times New Roman" w:eastAsia="Times New Roman" w:hAnsi="Times New Roman"/>
          <w:b w:val="false"/>
          <w:bCs w:val="false"/>
          <w:i w:val="false"/>
          <w:iCs w:val="false"/>
          <w:sz w:val="21"/>
          <w:szCs w:val="21"/>
        </w:rPr>
        <w:t xml:space="preserve">C. Не требуется</w:t>
      </w:r>
    </w:p>
    <w:p>
      <w:pPr>
        <w:spacing w:after="30" w:line="250"/>
        <w:ind w:left="340"/>
      </w:pPr>
      <w:r>
        <w:rPr>
          <w:rFonts w:ascii="Times New Roman" w:cs="Times New Roman" w:eastAsia="Times New Roman" w:hAnsi="Times New Roman"/>
          <w:b w:val="false"/>
          <w:bCs w:val="false"/>
          <w:i w:val="false"/>
          <w:iCs w:val="false"/>
          <w:sz w:val="21"/>
          <w:szCs w:val="21"/>
        </w:rPr>
        <w:t xml:space="preserve">D. Только при постельном режиме</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B</w:t>
      </w:r>
    </w:p>
    <w:p>
      <w:pPr>
        <w:spacing w:after="40" w:line="250"/>
        <w:ind w:left="340"/>
      </w:pPr>
      <w:r>
        <w:rPr>
          <w:rFonts w:ascii="Times New Roman" w:cs="Times New Roman" w:eastAsia="Times New Roman" w:hAnsi="Times New Roman"/>
          <w:b w:val="false"/>
          <w:bCs w:val="false"/>
          <w:i/>
          <w:iCs/>
          <w:sz w:val="21"/>
          <w:szCs w:val="21"/>
        </w:rPr>
        <w:t xml:space="preserve">Пояснение. Леналидомид и другие иммуномодулирующие препараты, особенно в сочетании с дексаметазоном, существенно повышают риск венозных тромбоэмболических осложнений. Риск оценивается индивидуально; при низком назначается аспирин, при высоком — низкомолекулярный гепарин или прямой пероральный антикоагулянт.</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p3dcihutwmhjjiv46qr-p">
        <w:r>
          <w:rPr>
            <w:rStyle w:val="Hyperlink"/>
            <w:rFonts w:ascii="Times New Roman" w:cs="Times New Roman" w:eastAsia="Times New Roman" w:hAnsi="Times New Roman"/>
            <w:sz w:val="20"/>
            <w:szCs w:val="20"/>
          </w:rPr>
          <w:t xml:space="preserve">Рекомендации RUSSCO по сопроводительной терапии</w:t>
        </w:r>
      </w:hyperlink>
    </w:p>
    <w:p>
      <w:pPr>
        <w:spacing w:after="60" w:line="276"/>
      </w:pPr>
      <w:r>
        <w:rPr>
          <w:rFonts w:ascii="Times New Roman" w:cs="Times New Roman" w:eastAsia="Times New Roman" w:hAnsi="Times New Roman"/>
          <w:b/>
          <w:bCs/>
          <w:i w:val="false"/>
          <w:iCs w:val="false"/>
          <w:sz w:val="22"/>
          <w:szCs w:val="22"/>
        </w:rPr>
        <w:t xml:space="preserve">11. Ключевая молекулярная особенность макроглобулинемии Вальденстрёма:</w:t>
      </w:r>
    </w:p>
    <w:p>
      <w:pPr>
        <w:spacing w:after="30" w:line="250"/>
        <w:ind w:left="340"/>
      </w:pPr>
      <w:r>
        <w:rPr>
          <w:rFonts w:ascii="Times New Roman" w:cs="Times New Roman" w:eastAsia="Times New Roman" w:hAnsi="Times New Roman"/>
          <w:b w:val="false"/>
          <w:bCs w:val="false"/>
          <w:i w:val="false"/>
          <w:iCs w:val="false"/>
          <w:sz w:val="21"/>
          <w:szCs w:val="21"/>
        </w:rPr>
        <w:t xml:space="preserve">A. Мутация MYD88 L265P, выявляемая у большинства больных и определяющая чувствительность к ингибиторам BTK</w:t>
      </w:r>
    </w:p>
    <w:p>
      <w:pPr>
        <w:spacing w:after="30" w:line="250"/>
        <w:ind w:left="340"/>
      </w:pPr>
      <w:r>
        <w:rPr>
          <w:rFonts w:ascii="Times New Roman" w:cs="Times New Roman" w:eastAsia="Times New Roman" w:hAnsi="Times New Roman"/>
          <w:b w:val="false"/>
          <w:bCs w:val="false"/>
          <w:i w:val="false"/>
          <w:iCs w:val="false"/>
          <w:sz w:val="21"/>
          <w:szCs w:val="21"/>
        </w:rPr>
        <w:t xml:space="preserve">B. Транслокация t(11;14)</w:t>
      </w:r>
    </w:p>
    <w:p>
      <w:pPr>
        <w:spacing w:after="30" w:line="250"/>
        <w:ind w:left="340"/>
      </w:pPr>
      <w:r>
        <w:rPr>
          <w:rFonts w:ascii="Times New Roman" w:cs="Times New Roman" w:eastAsia="Times New Roman" w:hAnsi="Times New Roman"/>
          <w:b w:val="false"/>
          <w:bCs w:val="false"/>
          <w:i w:val="false"/>
          <w:iCs w:val="false"/>
          <w:sz w:val="21"/>
          <w:szCs w:val="21"/>
        </w:rPr>
        <w:t xml:space="preserve">C. Мутация JAK2</w:t>
      </w:r>
    </w:p>
    <w:p>
      <w:pPr>
        <w:spacing w:after="30" w:line="250"/>
        <w:ind w:left="340"/>
      </w:pPr>
      <w:r>
        <w:rPr>
          <w:rFonts w:ascii="Times New Roman" w:cs="Times New Roman" w:eastAsia="Times New Roman" w:hAnsi="Times New Roman"/>
          <w:b w:val="false"/>
          <w:bCs w:val="false"/>
          <w:i w:val="false"/>
          <w:iCs w:val="false"/>
          <w:sz w:val="21"/>
          <w:szCs w:val="21"/>
        </w:rPr>
        <w:t xml:space="preserve">D. Делеция 17p</w:t>
      </w:r>
    </w:p>
    <w:p>
      <w:pPr>
        <w:spacing w:after="40" w:line="250"/>
        <w:ind w:left="340"/>
      </w:pPr>
      <w:r>
        <w:rPr>
          <w:rFonts w:ascii="Times New Roman" w:cs="Times New Roman" w:eastAsia="Times New Roman" w:hAnsi="Times New Roman"/>
          <w:b/>
          <w:bCs/>
          <w:i w:val="false"/>
          <w:iCs w:val="false"/>
          <w:sz w:val="21"/>
          <w:szCs w:val="21"/>
        </w:rPr>
        <w:t xml:space="preserve">Правильный ответ: A</w:t>
      </w:r>
    </w:p>
    <w:p>
      <w:pPr>
        <w:spacing w:after="40" w:line="250"/>
        <w:ind w:left="340"/>
      </w:pPr>
      <w:r>
        <w:rPr>
          <w:rFonts w:ascii="Times New Roman" w:cs="Times New Roman" w:eastAsia="Times New Roman" w:hAnsi="Times New Roman"/>
          <w:b w:val="false"/>
          <w:bCs w:val="false"/>
          <w:i/>
          <w:iCs/>
          <w:sz w:val="21"/>
          <w:szCs w:val="21"/>
        </w:rPr>
        <w:t xml:space="preserve">Пояснение. Мутация MYD88 L265P встречается более чем у 90 % больных и служит и диагностическим маркёром, и предиктором ответа на ингибиторы BTK. Статус CXCR4 влияет на глубину и скорость ответа. Отдельная клиническая проблема — синдром гипервязкости при высоком уровне IgM, требующий экстренного плазмафереза.</w:t>
      </w:r>
    </w:p>
    <w:p>
      <w:pPr>
        <w:spacing w:after="200" w:line="250"/>
        <w:ind w:left="340"/>
      </w:pPr>
      <w:r>
        <w:rPr>
          <w:rFonts w:ascii="Times New Roman" w:cs="Times New Roman" w:eastAsia="Times New Roman" w:hAnsi="Times New Roman"/>
          <w:b w:val="false"/>
          <w:bCs w:val="false"/>
          <w:i w:val="false"/>
          <w:iCs w:val="false"/>
          <w:sz w:val="20"/>
          <w:szCs w:val="20"/>
        </w:rPr>
        <w:t xml:space="preserve">Источник: </w:t>
      </w:r>
      <w:hyperlink w:history="1" r:id="rIdr2i8bkhbdst-yppqkgnaj">
        <w:r>
          <w:rPr>
            <w:rStyle w:val="Hyperlink"/>
            <w:rFonts w:ascii="Times New Roman" w:cs="Times New Roman" w:eastAsia="Times New Roman" w:hAnsi="Times New Roman"/>
            <w:sz w:val="20"/>
            <w:szCs w:val="20"/>
          </w:rPr>
          <w:t xml:space="preserve">Макроглобулинемия Вальденстрёма</w:t>
        </w:r>
      </w:hyperlink>
    </w:p>
    <w:p>
      <w:r>
        <w:br w:type="page"/>
      </w:r>
    </w:p>
    <w:p>
      <w:pPr>
        <w:pStyle w:val="Heading2"/>
        <w:spacing w:after="130" w:before="260"/>
      </w:pPr>
      <w:r>
        <w:rPr>
          <w:rFonts w:ascii="Times New Roman" w:cs="Times New Roman" w:eastAsia="Times New Roman" w:hAnsi="Times New Roman"/>
          <w:b/>
          <w:bCs/>
          <w:sz w:val="26"/>
          <w:szCs w:val="26"/>
        </w:rPr>
        <w:t xml:space="preserve">Б2. Клинические задачи</w:t>
      </w:r>
    </w:p>
    <w:p>
      <w:pPr>
        <w:pStyle w:val="Heading3"/>
        <w:spacing w:after="130" w:before="260"/>
      </w:pPr>
      <w:r>
        <w:rPr>
          <w:rFonts w:ascii="Times New Roman" w:cs="Times New Roman" w:eastAsia="Times New Roman" w:hAnsi="Times New Roman"/>
          <w:b/>
          <w:bCs/>
          <w:sz w:val="23"/>
          <w:szCs w:val="23"/>
        </w:rPr>
        <w:t xml:space="preserve">Задача 1. Впервые выявленная миелома с поражением почек</w:t>
      </w:r>
    </w:p>
    <w:p>
      <w:pPr>
        <w:spacing w:after="120" w:line="276"/>
      </w:pPr>
      <w:r>
        <w:rPr>
          <w:rFonts w:ascii="Times New Roman" w:cs="Times New Roman" w:eastAsia="Times New Roman" w:hAnsi="Times New Roman"/>
          <w:b w:val="false"/>
          <w:bCs w:val="false"/>
          <w:i w:val="false"/>
          <w:iCs w:val="false"/>
          <w:sz w:val="22"/>
          <w:szCs w:val="22"/>
        </w:rPr>
        <w:t xml:space="preserve">Мужчина 64 лет: боли в спине, слабость. Гемоглобин 88 г/л, креатинин 320 мкмоль/л, кальций 3,1 ммоль/л, парапротеин G-каппа 42 г/л, плазматические клетки в костном мозге 55 %, множественные литические очаги.</w:t>
      </w:r>
    </w:p>
    <w:p>
      <w:pPr>
        <w:spacing w:after="120" w:line="276"/>
      </w:pPr>
      <w:r>
        <w:rPr>
          <w:rFonts w:ascii="Times New Roman" w:cs="Times New Roman" w:eastAsia="Times New Roman" w:hAnsi="Times New Roman"/>
          <w:b/>
          <w:bCs/>
          <w:i w:val="false"/>
          <w:iCs w:val="false"/>
          <w:sz w:val="22"/>
          <w:szCs w:val="22"/>
        </w:rPr>
        <w:t xml:space="preserve">Вопросы: 1) Диагноз и что определяет срочность? 2) Неотложные меры? 3) Какая терапия?</w:t>
      </w:r>
    </w:p>
    <w:p>
      <w:pPr>
        <w:spacing w:after="60" w:line="270"/>
      </w:pPr>
      <w:r>
        <w:rPr>
          <w:rFonts w:ascii="Times New Roman" w:cs="Times New Roman" w:eastAsia="Times New Roman" w:hAnsi="Times New Roman"/>
          <w:b w:val="false"/>
          <w:bCs w:val="false"/>
          <w:i/>
          <w:iCs/>
          <w:sz w:val="21"/>
          <w:szCs w:val="21"/>
        </w:rPr>
        <w:t xml:space="preserve">Эталонный ответ. Множественная миелома с полным набором критериев CRAB. Срочность определяется почечной недостаточностью и гиперкальциемией: обе обратимы при быстром начале эффективного лечения, но становятся необратимыми при промедлении. Неотложно — интенсивная гидратация, коррекция гиперкальциемии, отмена нефротоксичных препаратов, избегание контрастных исследований. Противоопухолевую терапию начинают немедленно, не дожидаясь полного стадирования: бортезомиб-содержащий режим предпочтителен, поскольку не требует коррекции дозы при почечной недостаточности и быстро снижает продукцию лёгких цепей; дексаметазон в высокой дозе помогает при гиперкальциемии. При соматической сохранности планируется четырёхкомпонентный режим с анти-CD38-антителом и последующей аутологичной трансплантацией по модели PERSEUS. Остеомодифицирующий агент назначается после стабилизации функции почек и санации полости рта; при выраженной почечной недостаточности предпочтителен деносумаб.</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yhoheumdcocpafnmm-ue1">
        <w:r>
          <w:rPr>
            <w:rStyle w:val="Hyperlink"/>
            <w:rFonts w:ascii="Times New Roman" w:cs="Times New Roman" w:eastAsia="Times New Roman" w:hAnsi="Times New Roman"/>
            <w:sz w:val="20"/>
            <w:szCs w:val="20"/>
          </w:rPr>
          <w:t xml:space="preserve">Критерии IMWG</w:t>
        </w:r>
      </w:hyperlink>
      <w:r>
        <w:rPr>
          <w:rFonts w:ascii="Times New Roman" w:cs="Times New Roman" w:eastAsia="Times New Roman" w:hAnsi="Times New Roman"/>
          <w:b w:val="false"/>
          <w:bCs w:val="false"/>
          <w:i w:val="false"/>
          <w:iCs w:val="false"/>
          <w:sz w:val="20"/>
          <w:szCs w:val="20"/>
        </w:rPr>
        <w:t xml:space="preserve"> · </w:t>
      </w:r>
      <w:hyperlink w:history="1" r:id="rId55ek5wllvqj11xhahlrn0">
        <w:r>
          <w:rPr>
            <w:rStyle w:val="Hyperlink"/>
            <w:rFonts w:ascii="Times New Roman" w:cs="Times New Roman" w:eastAsia="Times New Roman" w:hAnsi="Times New Roman"/>
            <w:sz w:val="20"/>
            <w:szCs w:val="20"/>
          </w:rPr>
          <w:t xml:space="preserve">PERSEUS</w:t>
        </w:r>
      </w:hyperlink>
    </w:p>
    <w:p>
      <w:pPr>
        <w:pStyle w:val="Heading3"/>
        <w:spacing w:after="130" w:before="260"/>
      </w:pPr>
      <w:r>
        <w:rPr>
          <w:rFonts w:ascii="Times New Roman" w:cs="Times New Roman" w:eastAsia="Times New Roman" w:hAnsi="Times New Roman"/>
          <w:b/>
          <w:bCs/>
          <w:sz w:val="23"/>
          <w:szCs w:val="23"/>
        </w:rPr>
        <w:t xml:space="preserve">Задача 2. Пожилой ослабленный пациент</w:t>
      </w:r>
    </w:p>
    <w:p>
      <w:pPr>
        <w:spacing w:after="120" w:line="276"/>
      </w:pPr>
      <w:r>
        <w:rPr>
          <w:rFonts w:ascii="Times New Roman" w:cs="Times New Roman" w:eastAsia="Times New Roman" w:hAnsi="Times New Roman"/>
          <w:b w:val="false"/>
          <w:bCs w:val="false"/>
          <w:i w:val="false"/>
          <w:iCs w:val="false"/>
          <w:sz w:val="22"/>
          <w:szCs w:val="22"/>
        </w:rPr>
        <w:t xml:space="preserve">Женщина 81 года, впервые выявленная миелома, анемия и литические очаги. Фибрилляция предсердий, хроническая сердечная недостаточность, ECOG 2, живёт одна.</w:t>
      </w:r>
    </w:p>
    <w:p>
      <w:pPr>
        <w:spacing w:after="120" w:line="276"/>
      </w:pPr>
      <w:r>
        <w:rPr>
          <w:rFonts w:ascii="Times New Roman" w:cs="Times New Roman" w:eastAsia="Times New Roman" w:hAnsi="Times New Roman"/>
          <w:b/>
          <w:bCs/>
          <w:i w:val="false"/>
          <w:iCs w:val="false"/>
          <w:sz w:val="22"/>
          <w:szCs w:val="22"/>
        </w:rPr>
        <w:t xml:space="preserve">Вопросы: 1) Четырёхкомпонентный режим или нет? 2) Что учесть? 3) Как организовать лечение?</w:t>
      </w:r>
    </w:p>
    <w:p>
      <w:pPr>
        <w:spacing w:after="60" w:line="270"/>
      </w:pPr>
      <w:r>
        <w:rPr>
          <w:rFonts w:ascii="Times New Roman" w:cs="Times New Roman" w:eastAsia="Times New Roman" w:hAnsi="Times New Roman"/>
          <w:b w:val="false"/>
          <w:bCs w:val="false"/>
          <w:i/>
          <w:iCs/>
          <w:sz w:val="21"/>
          <w:szCs w:val="21"/>
        </w:rPr>
        <w:t xml:space="preserve">Эталонный ответ. Исследования четырёхкомпонентных режимов включали больных до 80 лет с хорошим функциональным статусом, поэтому прямой перенос на эту пациентку некорректен. Разумный подход — начать с трёх препаратов, например анти-CD38-антитела с леналидомидом и дексаметазоном по модели MAIA, и добавить четвёртый только при подтверждённой переносимости. Учесть следует: дозу дексаметазона у пожилых снижают из-за риска декомпенсации сердечной недостаточности, психических нарушений и гипергликемии; при леналидомиде обязательна профилактика тромбозов с учётом уже проводимой антикоагуляции по поводу фибрилляции предсердий; доза корректируется по клиренсу креатинина. Организационно важны подкожная форма препаратов для сокращения визитов, помощь в приёме лекарств и вакцинация, поскольку инфекции — ведущая причина смерти в этой группе.</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fotcrngkirfweyx88e3li">
        <w:r>
          <w:rPr>
            <w:rStyle w:val="Hyperlink"/>
            <w:rFonts w:ascii="Times New Roman" w:cs="Times New Roman" w:eastAsia="Times New Roman" w:hAnsi="Times New Roman"/>
            <w:sz w:val="20"/>
            <w:szCs w:val="20"/>
          </w:rPr>
          <w:t xml:space="preserve">MAIA</w:t>
        </w:r>
      </w:hyperlink>
      <w:r>
        <w:rPr>
          <w:rFonts w:ascii="Times New Roman" w:cs="Times New Roman" w:eastAsia="Times New Roman" w:hAnsi="Times New Roman"/>
          <w:b w:val="false"/>
          <w:bCs w:val="false"/>
          <w:i w:val="false"/>
          <w:iCs w:val="false"/>
          <w:sz w:val="20"/>
          <w:szCs w:val="20"/>
        </w:rPr>
        <w:t xml:space="preserve"> · </w:t>
      </w:r>
      <w:hyperlink w:history="1" r:id="rIdewgycrggmsg2wcpxopp78">
        <w:r>
          <w:rPr>
            <w:rStyle w:val="Hyperlink"/>
            <w:rFonts w:ascii="Times New Roman" w:cs="Times New Roman" w:eastAsia="Times New Roman" w:hAnsi="Times New Roman"/>
            <w:sz w:val="20"/>
            <w:szCs w:val="20"/>
          </w:rPr>
          <w:t xml:space="preserve">CEPHEUS</w:t>
        </w:r>
      </w:hyperlink>
    </w:p>
    <w:p>
      <w:pPr>
        <w:pStyle w:val="Heading3"/>
        <w:spacing w:after="130" w:before="260"/>
      </w:pPr>
      <w:r>
        <w:rPr>
          <w:rFonts w:ascii="Times New Roman" w:cs="Times New Roman" w:eastAsia="Times New Roman" w:hAnsi="Times New Roman"/>
          <w:b/>
          <w:bCs/>
          <w:sz w:val="23"/>
          <w:szCs w:val="23"/>
        </w:rPr>
        <w:t xml:space="preserve">Задача 3. Первый рецидив</w:t>
      </w:r>
    </w:p>
    <w:p>
      <w:pPr>
        <w:spacing w:after="120" w:line="276"/>
      </w:pPr>
      <w:r>
        <w:rPr>
          <w:rFonts w:ascii="Times New Roman" w:cs="Times New Roman" w:eastAsia="Times New Roman" w:hAnsi="Times New Roman"/>
          <w:b w:val="false"/>
          <w:bCs w:val="false"/>
          <w:i w:val="false"/>
          <w:iCs w:val="false"/>
          <w:sz w:val="22"/>
          <w:szCs w:val="22"/>
        </w:rPr>
        <w:t xml:space="preserve">Мужчина 57 лет, через 26 месяцев после аутологичной трансплантации и на поддерживающей терапии леналидомидом отмечен рост парапротеина, появилась анемия. Соматически сохранен.</w:t>
      </w:r>
    </w:p>
    <w:p>
      <w:pPr>
        <w:spacing w:after="120" w:line="276"/>
      </w:pPr>
      <w:r>
        <w:rPr>
          <w:rFonts w:ascii="Times New Roman" w:cs="Times New Roman" w:eastAsia="Times New Roman" w:hAnsi="Times New Roman"/>
          <w:b/>
          <w:bCs/>
          <w:i w:val="false"/>
          <w:iCs w:val="false"/>
          <w:sz w:val="22"/>
          <w:szCs w:val="22"/>
        </w:rPr>
        <w:t xml:space="preserve">Вопросы: 1) Какие опции? 2) Что предпочесть? 3) Что подготовить?</w:t>
      </w:r>
    </w:p>
    <w:p>
      <w:pPr>
        <w:spacing w:after="60" w:line="270"/>
      </w:pPr>
      <w:r>
        <w:rPr>
          <w:rFonts w:ascii="Times New Roman" w:cs="Times New Roman" w:eastAsia="Times New Roman" w:hAnsi="Times New Roman"/>
          <w:b w:val="false"/>
          <w:bCs w:val="false"/>
          <w:i/>
          <w:iCs/>
          <w:sz w:val="21"/>
          <w:szCs w:val="21"/>
        </w:rPr>
        <w:t xml:space="preserve">Эталонный ответ. Это рецидив на фоне леналидомида, то есть больной леналидомид-рефрактерен, что сужает выбор. По данным CARTITUDE-4 клеточная терапия цилтакабтагеном аутолейцелом при первом рецидиве превосходит стандартные режимы и является предпочтительной опцией при доступности; результаты в ранних линиях лучше, чем в поздних. Альтернативы: комбинации на основе карфилзомиба или помалидомида с анти-CD38-антителом, если оно не применялось, а также белантамаб-содержащие режимы по данным DREAMM-7 и DREAMM-8. Подготовить нужно раннее направление в центр клеточной терапии, поскольку аферез и производство требуют времени, оценку кандидатуры и при необходимости промежуточную терапию для контроля болезни. Обязательно повторить цитогенетическое исследование: профиль риска мог измениться.</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9axu4odhg_bqkdpz-dh2d">
        <w:r>
          <w:rPr>
            <w:rStyle w:val="Hyperlink"/>
            <w:rFonts w:ascii="Times New Roman" w:cs="Times New Roman" w:eastAsia="Times New Roman" w:hAnsi="Times New Roman"/>
            <w:sz w:val="20"/>
            <w:szCs w:val="20"/>
          </w:rPr>
          <w:t xml:space="preserve">CARTITUDE-4</w:t>
        </w:r>
      </w:hyperlink>
      <w:r>
        <w:rPr>
          <w:rFonts w:ascii="Times New Roman" w:cs="Times New Roman" w:eastAsia="Times New Roman" w:hAnsi="Times New Roman"/>
          <w:b w:val="false"/>
          <w:bCs w:val="false"/>
          <w:i w:val="false"/>
          <w:iCs w:val="false"/>
          <w:sz w:val="20"/>
          <w:szCs w:val="20"/>
        </w:rPr>
        <w:t xml:space="preserve"> · </w:t>
      </w:r>
      <w:hyperlink w:history="1" r:id="rIdeidnrfd-w-nsfotx7f3q7">
        <w:r>
          <w:rPr>
            <w:rStyle w:val="Hyperlink"/>
            <w:rFonts w:ascii="Times New Roman" w:cs="Times New Roman" w:eastAsia="Times New Roman" w:hAnsi="Times New Roman"/>
            <w:sz w:val="20"/>
            <w:szCs w:val="20"/>
          </w:rPr>
          <w:t xml:space="preserve">DREAMM-7 и DREAMM-8</w:t>
        </w:r>
      </w:hyperlink>
    </w:p>
    <w:p>
      <w:pPr>
        <w:pStyle w:val="Heading3"/>
        <w:spacing w:after="130" w:before="260"/>
      </w:pPr>
      <w:r>
        <w:rPr>
          <w:rFonts w:ascii="Times New Roman" w:cs="Times New Roman" w:eastAsia="Times New Roman" w:hAnsi="Times New Roman"/>
          <w:b/>
          <w:bCs/>
          <w:sz w:val="23"/>
          <w:szCs w:val="23"/>
        </w:rPr>
        <w:t xml:space="preserve">Задача 4. Синдром гипервязкости</w:t>
      </w:r>
    </w:p>
    <w:p>
      <w:pPr>
        <w:spacing w:after="120" w:line="276"/>
      </w:pPr>
      <w:r>
        <w:rPr>
          <w:rFonts w:ascii="Times New Roman" w:cs="Times New Roman" w:eastAsia="Times New Roman" w:hAnsi="Times New Roman"/>
          <w:b w:val="false"/>
          <w:bCs w:val="false"/>
          <w:i w:val="false"/>
          <w:iCs w:val="false"/>
          <w:sz w:val="22"/>
          <w:szCs w:val="22"/>
        </w:rPr>
        <w:t xml:space="preserve">Мужчина 70 лет: головная боль, нечёткость зрения, носовые кровотечения, сонливость. IgM 68 г/л, на глазном дне расширенные вены с геморрагиями. Мутация MYD88 L265P выявлена.</w:t>
      </w:r>
    </w:p>
    <w:p>
      <w:pPr>
        <w:spacing w:after="120" w:line="276"/>
      </w:pPr>
      <w:r>
        <w:rPr>
          <w:rFonts w:ascii="Times New Roman" w:cs="Times New Roman" w:eastAsia="Times New Roman" w:hAnsi="Times New Roman"/>
          <w:b/>
          <w:bCs/>
          <w:i w:val="false"/>
          <w:iCs w:val="false"/>
          <w:sz w:val="22"/>
          <w:szCs w:val="22"/>
        </w:rPr>
        <w:t xml:space="preserve">Вопросы: 1) Что происходит? 2) Неотложные действия? 3) Дальнейшая терапия?</w:t>
      </w:r>
    </w:p>
    <w:p>
      <w:pPr>
        <w:spacing w:after="60" w:line="270"/>
      </w:pPr>
      <w:r>
        <w:rPr>
          <w:rFonts w:ascii="Times New Roman" w:cs="Times New Roman" w:eastAsia="Times New Roman" w:hAnsi="Times New Roman"/>
          <w:b w:val="false"/>
          <w:bCs w:val="false"/>
          <w:i/>
          <w:iCs/>
          <w:sz w:val="21"/>
          <w:szCs w:val="21"/>
        </w:rPr>
        <w:t xml:space="preserve">Эталонный ответ. Синдром гипервязкости при макроглобулинемии Вальденстрёма — неотложное состояние, обусловленное высоким уровнем IgM. Экстренно выполняется плазмаферез: он быстро снижает вязкость и купирует симптомы, хотя эффект временный. Гемотрансфузии до плазмафереза следует по возможности отложить, поскольку они дополнительно повышают вязкость. Далее начинается противоопухолевая терапия. Наличие мутации MYD88 L265P предсказывает хороший ответ на ингибиторы BTK; применяются также режимы на основе ритуксимаба и бендамустина, комбинации с бортезомибом. Важная особенность: ритуксимаб может вызвать транзиторный подъём IgM, поэтому при исходно высоком уровне его введение откладывают до снижения показателя.</w:t>
      </w:r>
    </w:p>
    <w:p>
      <w:pPr>
        <w:spacing w:after="200" w:line="250"/>
      </w:pPr>
      <w:r>
        <w:rPr>
          <w:rFonts w:ascii="Times New Roman" w:cs="Times New Roman" w:eastAsia="Times New Roman" w:hAnsi="Times New Roman"/>
          <w:b w:val="false"/>
          <w:bCs w:val="false"/>
          <w:i w:val="false"/>
          <w:iCs w:val="false"/>
          <w:sz w:val="20"/>
          <w:szCs w:val="20"/>
        </w:rPr>
        <w:t xml:space="preserve">Источники: </w:t>
      </w:r>
      <w:hyperlink w:history="1" r:id="rIdxpekimjf34fblk-iv4dvw">
        <w:r>
          <w:rPr>
            <w:rStyle w:val="Hyperlink"/>
            <w:rFonts w:ascii="Times New Roman" w:cs="Times New Roman" w:eastAsia="Times New Roman" w:hAnsi="Times New Roman"/>
            <w:sz w:val="20"/>
            <w:szCs w:val="20"/>
          </w:rPr>
          <w:t xml:space="preserve">Макроглобулинемия Вальденстрёма</w:t>
        </w:r>
      </w:hyperlink>
      <w:r>
        <w:rPr>
          <w:rFonts w:ascii="Times New Roman" w:cs="Times New Roman" w:eastAsia="Times New Roman" w:hAnsi="Times New Roman"/>
          <w:b w:val="false"/>
          <w:bCs w:val="false"/>
          <w:i w:val="false"/>
          <w:iCs w:val="false"/>
          <w:sz w:val="20"/>
          <w:szCs w:val="20"/>
        </w:rPr>
        <w:t xml:space="preserve"> · </w:t>
      </w:r>
      <w:hyperlink w:history="1" r:id="rIdqhfisw53vbpeuer-m3eqm">
        <w:r>
          <w:rPr>
            <w:rStyle w:val="Hyperlink"/>
            <w:rFonts w:ascii="Times New Roman" w:cs="Times New Roman" w:eastAsia="Times New Roman" w:hAnsi="Times New Roman"/>
            <w:sz w:val="20"/>
            <w:szCs w:val="20"/>
          </w:rPr>
          <w:t xml:space="preserve">ESMO Clinical Practice Guidelines</w:t>
        </w:r>
      </w:hyperlink>
    </w:p>
    <w:p>
      <w:pPr>
        <w:pStyle w:val="Heading2"/>
        <w:spacing w:after="130" w:before="260"/>
      </w:pPr>
      <w:r>
        <w:rPr>
          <w:rFonts w:ascii="Times New Roman" w:cs="Times New Roman" w:eastAsia="Times New Roman" w:hAnsi="Times New Roman"/>
          <w:b/>
          <w:bCs/>
          <w:sz w:val="26"/>
          <w:szCs w:val="26"/>
        </w:rPr>
        <w:t xml:space="preserve">Б3. Дополнительные материалы</w:t>
      </w:r>
    </w:p>
    <w:p>
      <w:pPr>
        <w:pStyle w:val="Heading3"/>
        <w:spacing w:after="130" w:before="260"/>
      </w:pPr>
      <w:r>
        <w:rPr>
          <w:rFonts w:ascii="Times New Roman" w:cs="Times New Roman" w:eastAsia="Times New Roman" w:hAnsi="Times New Roman"/>
          <w:b/>
          <w:bCs/>
          <w:sz w:val="23"/>
          <w:szCs w:val="23"/>
        </w:rPr>
        <w:t xml:space="preserve">Вопросы для устного разбора</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Чем моноклональная гаммапатия неопределённого значения отличается от тлеющей миеломы и от миеломы, требующей лечения?</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при почечной недостаточности при миеломе нельзя откладывать начало терапии?</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Как решить, подходит ли пожилому больному четырёхкомпонентный режим?</w:t>
      </w:r>
    </w:p>
    <w:p>
      <w:pPr>
        <w:pStyle w:val="ListParagraph"/>
        <w:numPr>
          <w:ilvl w:val="0"/>
          <w:numId w:val="1"/>
        </w:numPr>
        <w:spacing w:after="60" w:line="276"/>
      </w:pPr>
      <w:r>
        <w:rPr>
          <w:rFonts w:ascii="Times New Roman" w:cs="Times New Roman" w:eastAsia="Times New Roman" w:hAnsi="Times New Roman"/>
          <w:b w:val="false"/>
          <w:bCs w:val="false"/>
          <w:i w:val="false"/>
          <w:iCs w:val="false"/>
          <w:sz w:val="22"/>
          <w:szCs w:val="22"/>
        </w:rPr>
        <w:t xml:space="preserve">Почему клеточная терапия перемещается в ранние линии?</w:t>
      </w:r>
    </w:p>
    <w:p>
      <w:pPr>
        <w:pStyle w:val="Heading3"/>
        <w:spacing w:after="130" w:before="260"/>
      </w:pPr>
      <w:r>
        <w:rPr>
          <w:rFonts w:ascii="Times New Roman" w:cs="Times New Roman" w:eastAsia="Times New Roman" w:hAnsi="Times New Roman"/>
          <w:b/>
          <w:bCs/>
          <w:sz w:val="23"/>
          <w:szCs w:val="23"/>
        </w:rPr>
        <w:t xml:space="preserve">Чек-лист по теме (для дневника ординатора)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Навык</w:t>
            </w:r>
          </w:p>
        </w:tc>
        <w:tc>
          <w:tcPr>
            <w:tcW w:type="dxa" w:w="4160"/>
            <w:shd w:fill="DDE7F0" w:val="clear"/>
            <w:tcMar>
              <w:top w:type="dxa" w:w="55"/>
              <w:left w:type="dxa" w:w="85"/>
              <w:bottom w:type="dxa" w:w="55"/>
              <w:right w:type="dxa" w:w="85"/>
            </w:tcMar>
          </w:tcPr>
          <w:p>
            <w:pPr>
              <w:spacing w:after="40" w:line="240"/>
            </w:pPr>
            <w:r>
              <w:rPr>
                <w:rFonts w:ascii="Times New Roman" w:cs="Times New Roman" w:eastAsia="Times New Roman" w:hAnsi="Times New Roman"/>
                <w:b/>
                <w:bCs/>
                <w:i w:val="false"/>
                <w:iCs w:val="false"/>
                <w:sz w:val="19"/>
                <w:szCs w:val="19"/>
              </w:rPr>
              <w:t xml:space="preserve">Отметка</w:t>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Применил критерии IMWG для разграничения гаммапатии, тлеющей и активной миеломы</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Рассчитал стадию по R-ISS или R2-ISS</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Назначил остеомодифицирующую терапию с санацией полости рта и контролем кальция</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Обеспечил профилактику тромбозов при иммуномодулирующей терапии</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r>
        <w:tc>
          <w:tcPr>
            <w:tcW w:type="dxa" w:w="520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Своевременно направил больного на обсуждение клеточной терапии при рецидиве</w:t>
            </w:r>
          </w:p>
        </w:tc>
        <w:tc>
          <w:tcPr>
            <w:tcW w:type="dxa" w:w="4160"/>
            <w:tcMar>
              <w:top w:type="dxa" w:w="55"/>
              <w:left w:type="dxa" w:w="85"/>
              <w:bottom w:type="dxa" w:w="55"/>
              <w:right w:type="dxa" w:w="85"/>
            </w:tcMar>
          </w:tcPr>
          <w:p>
            <w:pPr>
              <w:spacing w:after="40" w:line="240"/>
            </w:pPr>
            <w:r>
              <w:rPr>
                <w:rFonts w:ascii="Times New Roman" w:cs="Times New Roman" w:eastAsia="Times New Roman" w:hAnsi="Times New Roman"/>
                <w:b w:val="false"/>
                <w:bCs w:val="false"/>
                <w:i w:val="false"/>
                <w:iCs w:val="false"/>
                <w:sz w:val="19"/>
                <w:szCs w:val="19"/>
              </w:rPr>
              <w:t xml:space="preserve"/>
            </w:r>
          </w:p>
        </w:tc>
      </w:tr>
    </w:tbl>
    <w:p>
      <w:pPr>
        <w:spacing w:after="120" w:line="276"/>
      </w:pPr>
      <w:r>
        <w:rPr>
          <w:rFonts w:ascii="Times New Roman" w:cs="Times New Roman" w:eastAsia="Times New Roman" w:hAnsi="Times New Roman"/>
          <w:b w:val="false"/>
          <w:bCs w:val="false"/>
          <w:i w:val="false"/>
          <w:iCs w:val="false"/>
          <w:sz w:val="22"/>
          <w:szCs w:val="22"/>
        </w:rPr>
        <w:t xml:space="preserve"/>
      </w:r>
    </w:p>
    <w:p>
      <w:pPr>
        <w:spacing w:after="120" w:line="276"/>
      </w:pPr>
      <w:r>
        <w:rPr>
          <w:rFonts w:ascii="Times New Roman" w:cs="Times New Roman" w:eastAsia="Times New Roman" w:hAnsi="Times New Roman"/>
          <w:b w:val="false"/>
          <w:bCs w:val="false"/>
          <w:i/>
          <w:iCs/>
          <w:sz w:val="22"/>
          <w:szCs w:val="22"/>
        </w:rPr>
        <w:t xml:space="preserve">Материал подготовлен по состоянию на август 2026 г. Перед началом учебного года проверить актуальность редакций клинических рекомендаций и работоспособность ссылок.</w:t>
      </w:r>
    </w:p>
    <w:sectPr>
      <w:pgSz w:w="11906" w:h="16838" w:orient="portrait"/>
      <w:pgMar w:top="1000" w:right="9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0"/>
      <w:szCs w:val="30"/>
    </w:rPr>
  </w:style>
  <w:style w:type="paragraph" w:styleId="Heading2">
    <w:name w:val="Heading 2"/>
    <w:basedOn w:val="Normal"/>
    <w:next w:val="Normal"/>
    <w:qFormat/>
    <w:rPr>
      <w:rFonts w:ascii="Times New Roman" w:cs="Times New Roman" w:eastAsia="Times New Roman" w:hAnsi="Times New Roman"/>
      <w:b/>
      <w:bCs/>
      <w:color w:val="2E5496"/>
      <w:sz w:val="26"/>
      <w:szCs w:val="26"/>
    </w:rPr>
  </w:style>
  <w:style w:type="paragraph" w:styleId="Heading3">
    <w:name w:val="Heading 3"/>
    <w:basedOn w:val="Normal"/>
    <w:next w:val="Normal"/>
    <w:qFormat/>
    <w:rPr>
      <w:rFonts w:ascii="Times New Roman" w:cs="Times New Roman" w:eastAsia="Times New Roman" w:hAnsi="Times New Roman"/>
      <w:b/>
      <w:bCs/>
      <w:color w:val="2E5496"/>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six7gu_8byfdaypbcpr1" Type="http://schemas.openxmlformats.org/officeDocument/2006/relationships/hyperlink" Target="https://pubmed.ncbi.nlm.nih.gov/?term=IMWG+updated+criteria+diagnosis+multiple+myeloma+SLiM+CRAB" TargetMode="External"/><Relationship Id="rId9k6azhd77zicd5xht05fs" Type="http://schemas.openxmlformats.org/officeDocument/2006/relationships/hyperlink" Target="https://pubmed.ncbi.nlm.nih.gov/?term=R2-ISS+revised+staging+multiple+myeloma" TargetMode="External"/><Relationship Id="rIdtppxmygfhgm4qmubtfbhb" Type="http://schemas.openxmlformats.org/officeDocument/2006/relationships/hyperlink" Target="https://cr.minzdrav.gov.ru/clin_recomend" TargetMode="External"/><Relationship Id="rIdnrdkbavl9usld9dfavkpy" Type="http://schemas.openxmlformats.org/officeDocument/2006/relationships/hyperlink" Target="https://www.esmo.org/guidelines" TargetMode="External"/><Relationship Id="rIduws5q4zq8ptz1zi52vs3u" Type="http://schemas.openxmlformats.org/officeDocument/2006/relationships/hyperlink" Target="https://www.nccn.org/guidelines/category_1" TargetMode="External"/><Relationship Id="rIdmcvm_q8hmni8em-69qa-v" Type="http://schemas.openxmlformats.org/officeDocument/2006/relationships/hyperlink" Target="https://pubmed.ncbi.nlm.nih.gov/?term=minimal+residual+disease+multiple+myeloma+prognostic+meta-analysis" TargetMode="External"/><Relationship Id="rIdqqenn8z2uwui5xgarzfaw" Type="http://schemas.openxmlformats.org/officeDocument/2006/relationships/hyperlink" Target="https://pubmed.ncbi.nlm.nih.gov/?term=bisphosphonates+denosumab+multiple+myeloma+bone+disease" TargetMode="External"/><Relationship Id="rId9vpibzo2fkywvrvnpv46a" Type="http://schemas.openxmlformats.org/officeDocument/2006/relationships/hyperlink" Target="https://pubmed.ncbi.nlm.nih.gov/?term=Waldenstrom+macroglobulinemia+MYD88+BTK+inhibitor+treatment" TargetMode="External"/><Relationship Id="rIdhvee_ds-5qutsr8k_z1yv" Type="http://schemas.openxmlformats.org/officeDocument/2006/relationships/hyperlink" Target="https://www.cancer.gov/publications/pdq" TargetMode="External"/><Relationship Id="rIdr3n2hszwfzvojwrlaa6js" Type="http://schemas.openxmlformats.org/officeDocument/2006/relationships/hyperlink" Target="https://pubmed.ncbi.nlm.nih.gov/?term=PERSEUS+daratumumab+VRd+transplant-eligible+myeloma" TargetMode="External"/><Relationship Id="rIdm2yclttzphzmne47hsgxp" Type="http://schemas.openxmlformats.org/officeDocument/2006/relationships/hyperlink" Target="https://pubmed.ncbi.nlm.nih.gov/?term=IMROZ+isatuximab+bortezomib+lenalidomide+dexamethasone" TargetMode="External"/><Relationship Id="rIdstvr4_6xt9sizs1_i3zb-" Type="http://schemas.openxmlformats.org/officeDocument/2006/relationships/hyperlink" Target="https://pubmed.ncbi.nlm.nih.gov/?term=CEPHEUS+daratumumab+VRd+transplant-ineligible" TargetMode="External"/><Relationship Id="rIdmsnsc8psbyhpkfi61wew3" Type="http://schemas.openxmlformats.org/officeDocument/2006/relationships/hyperlink" Target="https://pubmed.ncbi.nlm.nih.gov/?term=MAIA+daratumumab+lenalidomide+dexamethasone+myeloma" TargetMode="External"/><Relationship Id="rIdqri46urpwvkfrmpssztfv" Type="http://schemas.openxmlformats.org/officeDocument/2006/relationships/hyperlink" Target="https://pubmed.ncbi.nlm.nih.gov/?term=CARTITUDE-4+ciltacabtagene+autoleucel" TargetMode="External"/><Relationship Id="rId4id5gjkvulioowbyxn-u_" Type="http://schemas.openxmlformats.org/officeDocument/2006/relationships/hyperlink" Target="https://pubmed.ncbi.nlm.nih.gov/?term=KarMMa-3+idecabtagene+vicleucel" TargetMode="External"/><Relationship Id="rIdgsyr6-c-vg7jqki8hfbgs" Type="http://schemas.openxmlformats.org/officeDocument/2006/relationships/hyperlink" Target="https://pubmed.ncbi.nlm.nih.gov/?term=MajesTEC-1+teclistamab+MagnetisMM-3+elranatamab+MonumenTAL-1+talquetamab" TargetMode="External"/><Relationship Id="rIdvzwy7y68wfdsjsouyzogq" Type="http://schemas.openxmlformats.org/officeDocument/2006/relationships/hyperlink" Target="https://pubmed.ncbi.nlm.nih.gov/?term=DREAMM-7+DREAMM-8+belantamab+mafodotin" TargetMode="External"/><Relationship Id="rId6z3pvyokpdigkfeod7wbt" Type="http://schemas.openxmlformats.org/officeDocument/2006/relationships/hyperlink" Target="https://www.rosoncoweb.ru/events/2025/12/11/video/" TargetMode="External"/><Relationship Id="rIdvkwmmygwu9riccmztivi9" Type="http://schemas.openxmlformats.org/officeDocument/2006/relationships/hyperlink" Target="https://www.rosoncoweb.ru/events/2024/11/12/video/" TargetMode="External"/><Relationship Id="rIdbxav2u-fnwrgjviuz7maf" Type="http://schemas.openxmlformats.org/officeDocument/2006/relationships/hyperlink" Target="https://oncologypro.esmo.org/esmo-e-learning" TargetMode="External"/><Relationship Id="rIdjdosoo02qeqxj3nsorayv" Type="http://schemas.openxmlformats.org/officeDocument/2006/relationships/hyperlink" Target="https://www.rosoncoweb.ru/events/archive/" TargetMode="External"/><Relationship Id="rIdtxa5ujq3memnkg8ecaxpz" Type="http://schemas.openxmlformats.org/officeDocument/2006/relationships/hyperlink" Target="https://www.rosoncoweb.ru/events/webinar/archive/" TargetMode="External"/><Relationship Id="rIdqqw_9imkiraenekhdqkij" Type="http://schemas.openxmlformats.org/officeDocument/2006/relationships/hyperlink" Target="https://pubmed.ncbi.nlm.nih.gov/?term=IMWG+updated+criteria+diagnosis+multiple+myeloma+SLiM+CRAB" TargetMode="External"/><Relationship Id="rIdqzd_jttfe72fbvbog-ruj" Type="http://schemas.openxmlformats.org/officeDocument/2006/relationships/hyperlink" Target="https://pubmed.ncbi.nlm.nih.gov/?term=IMWG+updated+criteria+diagnosis+multiple+myeloma+SLiM+CRAB" TargetMode="External"/><Relationship Id="rIdtp1itdfbqhipdkzhshm7x" Type="http://schemas.openxmlformats.org/officeDocument/2006/relationships/hyperlink" Target="https://pubmed.ncbi.nlm.nih.gov/?term=PERSEUS+daratumumab+VRd+transplant-eligible+myeloma" TargetMode="External"/><Relationship Id="rIdb6edxb_4kfzadupqafao5" Type="http://schemas.openxmlformats.org/officeDocument/2006/relationships/hyperlink" Target="https://pubmed.ncbi.nlm.nih.gov/?term=CEPHEUS+daratumumab+VRd+transplant-ineligible" TargetMode="External"/><Relationship Id="rIdclnlsslfthvj1db-uylhq" Type="http://schemas.openxmlformats.org/officeDocument/2006/relationships/hyperlink" Target="https://pubmed.ncbi.nlm.nih.gov/?term=minimal+residual+disease+multiple+myeloma+prognostic+meta-analysis" TargetMode="External"/><Relationship Id="rIdb5anzerfn7tumqvq0ixyp" Type="http://schemas.openxmlformats.org/officeDocument/2006/relationships/hyperlink" Target="https://pubmed.ncbi.nlm.nih.gov/?term=CARTITUDE-4+ciltacabtagene+autoleucel" TargetMode="External"/><Relationship Id="rIdedqy3uttyxfzvnpqlltbb" Type="http://schemas.openxmlformats.org/officeDocument/2006/relationships/hyperlink" Target="https://pubmed.ncbi.nlm.nih.gov/?term=DREAMM-7+DREAMM-8+belantamab+mafodotin" TargetMode="External"/><Relationship Id="rIdybq__obbss5v04fa03ygj" Type="http://schemas.openxmlformats.org/officeDocument/2006/relationships/hyperlink" Target="https://pubmed.ncbi.nlm.nih.gov/?term=bisphosphonates+denosumab+multiple+myeloma+bone+disease" TargetMode="External"/><Relationship Id="rIdn_zgwcu9tv5dmozyr890k" Type="http://schemas.openxmlformats.org/officeDocument/2006/relationships/hyperlink" Target="https://www.esmo.org/guidelines" TargetMode="External"/><Relationship Id="rIdp3dcihutwmhjjiv46qr-p" Type="http://schemas.openxmlformats.org/officeDocument/2006/relationships/hyperlink" Target="https://www.rosoncoweb.ru/standarts/suptherapy/" TargetMode="External"/><Relationship Id="rIdr2i8bkhbdst-yppqkgnaj" Type="http://schemas.openxmlformats.org/officeDocument/2006/relationships/hyperlink" Target="https://pubmed.ncbi.nlm.nih.gov/?term=Waldenstrom+macroglobulinemia+MYD88+BTK+inhibitor+treatment" TargetMode="External"/><Relationship Id="rIdyhoheumdcocpafnmm-ue1" Type="http://schemas.openxmlformats.org/officeDocument/2006/relationships/hyperlink" Target="https://pubmed.ncbi.nlm.nih.gov/?term=IMWG+updated+criteria+diagnosis+multiple+myeloma+SLiM+CRAB" TargetMode="External"/><Relationship Id="rId55ek5wllvqj11xhahlrn0" Type="http://schemas.openxmlformats.org/officeDocument/2006/relationships/hyperlink" Target="https://pubmed.ncbi.nlm.nih.gov/?term=PERSEUS+daratumumab+VRd+transplant-eligible+myeloma" TargetMode="External"/><Relationship Id="rIdfotcrngkirfweyx88e3li" Type="http://schemas.openxmlformats.org/officeDocument/2006/relationships/hyperlink" Target="https://pubmed.ncbi.nlm.nih.gov/?term=MAIA+daratumumab+lenalidomide+dexamethasone+myeloma" TargetMode="External"/><Relationship Id="rIdewgycrggmsg2wcpxopp78" Type="http://schemas.openxmlformats.org/officeDocument/2006/relationships/hyperlink" Target="https://pubmed.ncbi.nlm.nih.gov/?term=CEPHEUS+daratumumab+VRd+transplant-ineligible" TargetMode="External"/><Relationship Id="rId9axu4odhg_bqkdpz-dh2d" Type="http://schemas.openxmlformats.org/officeDocument/2006/relationships/hyperlink" Target="https://pubmed.ncbi.nlm.nih.gov/?term=CARTITUDE-4+ciltacabtagene+autoleucel" TargetMode="External"/><Relationship Id="rIdeidnrfd-w-nsfotx7f3q7" Type="http://schemas.openxmlformats.org/officeDocument/2006/relationships/hyperlink" Target="https://pubmed.ncbi.nlm.nih.gov/?term=DREAMM-7+DREAMM-8+belantamab+mafodotin" TargetMode="External"/><Relationship Id="rIdxpekimjf34fblk-iv4dvw" Type="http://schemas.openxmlformats.org/officeDocument/2006/relationships/hyperlink" Target="https://pubmed.ncbi.nlm.nih.gov/?term=Waldenstrom+macroglobulinemia+MYD88+BTK+inhibitor+treatment" TargetMode="External"/><Relationship Id="rIdqhfisw53vbpeuer-m3eqm" Type="http://schemas.openxmlformats.org/officeDocument/2006/relationships/hyperlink" Target="https://www.esmo.org/guidelines" TargetMode="External"/><Relationship Id="rId48" Type="http://schemas.openxmlformats.org/officeDocument/2006/relationships/fontTable" Target="fontTable.xml"/><Relationship Id="rId7" Type="http://schemas.openxmlformats.org/officeDocument/2006/relationships/hyperlink" Target="https://ehaweb.org/clinical-practice/guidelines-by-areas-of-disease/eha-emn-evidence-based-guidelines-for-diagnosis-treatment-and-follow-up-of-patients-with-multiple-myeloma" TargetMode="External"/><Relationship Id="rId8" Type="http://schemas.openxmlformats.org/officeDocument/2006/relationships/hyperlink" Target="https://pubmed.ncbi.nlm.nih.gov/37173155/" TargetMode="External"/><Relationship Id="rId9" Type="http://schemas.openxmlformats.org/officeDocument/2006/relationships/hyperlink" Target="https://pubmed.ncbi.nlm.nih.gov/37099028/"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Множественная миелома и макроглобулинемия Вальденстрёма</dc:title>
  <dc:creator>Кафедра онкологии ИУВ НМХЦ им. Н.И. Пирогова</dc:creator>
  <cp:lastModifiedBy>Un-named</cp:lastModifiedBy>
  <cp:revision>1</cp:revision>
  <dcterms:created xsi:type="dcterms:W3CDTF">2026-08-27T09:34:18.209Z</dcterms:created>
  <dcterms:modified xsi:type="dcterms:W3CDTF">2026-08-27T09:34:18.209Z</dcterms:modified>
</cp:coreProperties>
</file>

<file path=docProps/custom.xml><?xml version="1.0" encoding="utf-8"?>
<Properties xmlns="http://schemas.openxmlformats.org/officeDocument/2006/custom-properties" xmlns:vt="http://schemas.openxmlformats.org/officeDocument/2006/docPropsVTypes"/>
</file>