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val="false"/>
          <w:bCs w:val="false"/>
          <w:i w:val="false"/>
          <w:iCs w:val="false"/>
          <w:sz w:val="20"/>
          <w:szCs w:val="20"/>
        </w:rPr>
        <w:t xml:space="preserve">Кафедра онкологии ИУВ ФГБУ «НМХЦ им. Н.И. Пирогова» Минздрава России</w:t>
      </w:r>
    </w:p>
    <w:p>
      <w:pPr>
        <w:spacing w:after="120"/>
        <w:jc w:val="center"/>
      </w:pPr>
      <w:r>
        <w:rPr>
          <w:rFonts w:ascii="Times New Roman" w:cs="Times New Roman" w:eastAsia="Times New Roman" w:hAnsi="Times New Roman"/>
          <w:b/>
          <w:bCs/>
          <w:i w:val="false"/>
          <w:iCs w:val="false"/>
          <w:sz w:val="28"/>
          <w:szCs w:val="28"/>
        </w:rPr>
        <w:t xml:space="preserve">УЧЕБНЫЙ МОДУЛЬ М-24</w:t>
      </w:r>
    </w:p>
    <w:p>
      <w:pPr>
        <w:spacing w:after="80"/>
        <w:jc w:val="center"/>
      </w:pPr>
      <w:r>
        <w:rPr>
          <w:rFonts w:ascii="Times New Roman" w:cs="Times New Roman" w:eastAsia="Times New Roman" w:hAnsi="Times New Roman"/>
          <w:b/>
          <w:bCs/>
          <w:i w:val="false"/>
          <w:iCs w:val="false"/>
          <w:sz w:val="26"/>
          <w:szCs w:val="26"/>
        </w:rPr>
        <w:t xml:space="preserve">Методология клинических исследований</w:t>
      </w:r>
    </w:p>
    <w:p>
      <w:pPr>
        <w:spacing w:after="300"/>
        <w:jc w:val="center"/>
      </w:pPr>
      <w:r>
        <w:rPr>
          <w:rFonts w:ascii="Times New Roman" w:cs="Times New Roman" w:eastAsia="Times New Roman" w:hAnsi="Times New Roman"/>
          <w:b w:val="false"/>
          <w:bCs w:val="false"/>
          <w:i/>
          <w:iCs/>
          <w:sz w:val="22"/>
          <w:szCs w:val="22"/>
        </w:rPr>
        <w:t xml:space="preserve">Лекция 23.10.2026 · Сессия RUSSCO · раздел «Общая онкология»</w:t>
      </w:r>
    </w:p>
    <w:p>
      <w:pPr>
        <w:spacing w:after="120" w:line="276"/>
      </w:pPr>
      <w:r>
        <w:rPr>
          <w:rFonts w:ascii="Times New Roman" w:cs="Times New Roman" w:eastAsia="Times New Roman" w:hAnsi="Times New Roman"/>
          <w:b w:val="false"/>
          <w:bCs w:val="false"/>
          <w:i/>
          <w:iCs/>
          <w:sz w:val="22"/>
          <w:szCs w:val="22"/>
        </w:rPr>
        <w:t xml:space="preserve">Все ссылки активны. Ординатор сталкивается с исследованиями с двух сторон: как читатель результатов и как врач, предлагающий пациенту участие. Модуль охватывает устройство исследований, современные дизайны и этические основы.</w:t>
      </w:r>
    </w:p>
    <w:p>
      <w:pPr>
        <w:pStyle w:val="Heading1"/>
        <w:spacing w:after="130" w:before="260"/>
      </w:pPr>
      <w:r>
        <w:rPr>
          <w:rFonts w:ascii="Times New Roman" w:cs="Times New Roman" w:eastAsia="Times New Roman" w:hAnsi="Times New Roman"/>
          <w:b/>
          <w:bCs/>
          <w:sz w:val="30"/>
          <w:szCs w:val="30"/>
        </w:rPr>
        <w:t xml:space="preserve">Блок А. Библиотека материалов</w:t>
      </w:r>
    </w:p>
    <w:p>
      <w:pPr>
        <w:pStyle w:val="Heading2"/>
        <w:spacing w:after="130" w:before="260"/>
      </w:pPr>
      <w:r>
        <w:rPr>
          <w:rFonts w:ascii="Times New Roman" w:cs="Times New Roman" w:eastAsia="Times New Roman" w:hAnsi="Times New Roman"/>
          <w:b/>
          <w:bCs/>
          <w:sz w:val="26"/>
          <w:szCs w:val="26"/>
        </w:rPr>
        <w:t xml:space="preserve">А1. Рекомендации и нормативные документы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500"/>
        <w:gridCol w:w="2760"/>
      </w:tblGrid>
      <w:tr>
        <w:trPr>
          <w:tblHeader/>
        </w:trPr>
        <w:tc>
          <w:tcPr>
            <w:tcW w:type="dxa" w:w="21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Источник</w:t>
            </w:r>
          </w:p>
        </w:tc>
        <w:tc>
          <w:tcPr>
            <w:tcW w:type="dxa" w:w="45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Что даёт</w:t>
            </w:r>
          </w:p>
        </w:tc>
        <w:tc>
          <w:tcPr>
            <w:tcW w:type="dxa" w:w="276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Ссылка</w:t>
            </w:r>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Надлежащая клиническая практика ICH-GCP</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Международный стандарт планирования, проведения и отчётности; обязателен для всех регистрационных исследований.</w:t>
            </w:r>
          </w:p>
        </w:tc>
        <w:tc>
          <w:tcPr>
            <w:tcW w:type="dxa" w:w="2760"/>
            <w:tcMar>
              <w:top w:type="dxa" w:w="55"/>
              <w:left w:type="dxa" w:w="85"/>
              <w:bottom w:type="dxa" w:w="55"/>
              <w:right w:type="dxa" w:w="85"/>
            </w:tcMar>
          </w:tcPr>
          <w:p>
            <w:pPr>
              <w:spacing w:after="40" w:line="240"/>
            </w:pPr>
            <w:hyperlink w:history="1" r:id="rIddpyf1rczvenjjae5bij9r">
              <w:r>
                <w:rPr>
                  <w:rStyle w:val="Hyperlink"/>
                  <w:rFonts w:ascii="Times New Roman" w:cs="Times New Roman" w:eastAsia="Times New Roman" w:hAnsi="Times New Roman"/>
                  <w:sz w:val="19"/>
                  <w:szCs w:val="19"/>
                </w:rPr>
                <w:t xml:space="preserve">PubMed</w:t>
              </w:r>
            </w:hyperlink>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Хельсинкская декларация</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Этическая основа исследований с участием человека; действующая редакция усилила требования к уязвимым группам и к доступу к лечению после окончания исследования.</w:t>
            </w:r>
          </w:p>
        </w:tc>
        <w:tc>
          <w:tcPr>
            <w:tcW w:type="dxa" w:w="2760"/>
            <w:tcMar>
              <w:top w:type="dxa" w:w="55"/>
              <w:left w:type="dxa" w:w="85"/>
              <w:bottom w:type="dxa" w:w="55"/>
              <w:right w:type="dxa" w:w="85"/>
            </w:tcMar>
          </w:tcPr>
          <w:p>
            <w:pPr>
              <w:spacing w:after="40" w:line="240"/>
            </w:pPr>
            <w:hyperlink w:history="1" r:id="rIdwooh97xl_mlgusnunwyph">
              <w:r>
                <w:rPr>
                  <w:rStyle w:val="Hyperlink"/>
                  <w:rFonts w:ascii="Times New Roman" w:cs="Times New Roman" w:eastAsia="Times New Roman" w:hAnsi="Times New Roman"/>
                  <w:sz w:val="19"/>
                  <w:szCs w:val="19"/>
                </w:rPr>
                <w:t xml:space="preserve">PubMed</w:t>
              </w:r>
            </w:hyperlink>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ClinicalTrials.gov</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Регистр исследований: протоколы, критерии включения, статус набора. Чтение протокола нередко отвечает на вопросы, которых нет в публикации.</w:t>
            </w:r>
          </w:p>
        </w:tc>
        <w:tc>
          <w:tcPr>
            <w:tcW w:type="dxa" w:w="2760"/>
            <w:tcMar>
              <w:top w:type="dxa" w:w="55"/>
              <w:left w:type="dxa" w:w="85"/>
              <w:bottom w:type="dxa" w:w="55"/>
              <w:right w:type="dxa" w:w="85"/>
            </w:tcMar>
          </w:tcPr>
          <w:p>
            <w:pPr>
              <w:spacing w:after="40" w:line="240"/>
            </w:pPr>
            <w:hyperlink w:history="1" r:id="rId8h-xltq3-vwwliwv_-9ng">
              <w:r>
                <w:rPr>
                  <w:rStyle w:val="Hyperlink"/>
                  <w:rFonts w:ascii="Times New Roman" w:cs="Times New Roman" w:eastAsia="Times New Roman" w:hAnsi="Times New Roman"/>
                  <w:sz w:val="19"/>
                  <w:szCs w:val="19"/>
                </w:rPr>
                <w:t xml:space="preserve">clinicaltrials.gov</w:t>
              </w:r>
            </w:hyperlink>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Стандарт отчётности CONSORT</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Требования к описанию рандомизированных исследований; полезен как чек-лист при критическом чтении.</w:t>
            </w:r>
          </w:p>
        </w:tc>
        <w:tc>
          <w:tcPr>
            <w:tcW w:type="dxa" w:w="2760"/>
            <w:tcMar>
              <w:top w:type="dxa" w:w="55"/>
              <w:left w:type="dxa" w:w="85"/>
              <w:bottom w:type="dxa" w:w="55"/>
              <w:right w:type="dxa" w:w="85"/>
            </w:tcMar>
          </w:tcPr>
          <w:p>
            <w:pPr>
              <w:spacing w:after="40" w:line="240"/>
            </w:pPr>
            <w:hyperlink w:history="1" r:id="rIdclhn5dlue2grk4p2zkrx3">
              <w:r>
                <w:rPr>
                  <w:rStyle w:val="Hyperlink"/>
                  <w:rFonts w:ascii="Times New Roman" w:cs="Times New Roman" w:eastAsia="Times New Roman" w:hAnsi="Times New Roman"/>
                  <w:sz w:val="19"/>
                  <w:szCs w:val="19"/>
                </w:rPr>
                <w:t xml:space="preserve">PubMed</w:t>
              </w:r>
            </w:hyperlink>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Инициатива FDA Project Optimus</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Пересмотр подхода к выбору дозы в онкологии: от максимально переносимой дозы к оптимальной биологической.</w:t>
            </w:r>
          </w:p>
        </w:tc>
        <w:tc>
          <w:tcPr>
            <w:tcW w:type="dxa" w:w="2760"/>
            <w:tcMar>
              <w:top w:type="dxa" w:w="55"/>
              <w:left w:type="dxa" w:w="85"/>
              <w:bottom w:type="dxa" w:w="55"/>
              <w:right w:type="dxa" w:w="85"/>
            </w:tcMar>
          </w:tcPr>
          <w:p>
            <w:pPr>
              <w:spacing w:after="40" w:line="240"/>
            </w:pPr>
            <w:hyperlink w:history="1" r:id="rIdoiddl_lzgxrnyewnbnhvj">
              <w:r>
                <w:rPr>
                  <w:rStyle w:val="Hyperlink"/>
                  <w:rFonts w:ascii="Times New Roman" w:cs="Times New Roman" w:eastAsia="Times New Roman" w:hAnsi="Times New Roman"/>
                  <w:sz w:val="19"/>
                  <w:szCs w:val="19"/>
                </w:rPr>
                <w:t xml:space="preserve">PubMed</w:t>
              </w:r>
            </w:hyperlink>
          </w:p>
        </w:tc>
      </w:tr>
    </w:tbl>
    <w:p>
      <w:pPr>
        <w:pStyle w:val="Heading2"/>
        <w:spacing w:after="130" w:before="260"/>
      </w:pPr>
      <w:r>
        <w:rPr>
          <w:rFonts w:ascii="Times New Roman" w:cs="Times New Roman" w:eastAsia="Times New Roman" w:hAnsi="Times New Roman"/>
          <w:b/>
          <w:bCs/>
          <w:sz w:val="26"/>
          <w:szCs w:val="26"/>
        </w:rPr>
        <w:t xml:space="preserve">А2. Обзоры и справочные ресурсы</w:t>
      </w:r>
    </w:p>
    <w:p>
      <w:pPr>
        <w:pStyle w:val="ListParagraph"/>
        <w:numPr>
          <w:ilvl w:val="0"/>
          <w:numId w:val="1"/>
        </w:numPr>
        <w:spacing w:after="60" w:line="276"/>
      </w:pPr>
      <w:hyperlink w:history="1" r:id="rIdkgpjm2fsg_ne0pwipxcbg">
        <w:r>
          <w:rPr>
            <w:rStyle w:val="Hyperlink"/>
            <w:rFonts w:ascii="Times New Roman" w:cs="Times New Roman" w:eastAsia="Times New Roman" w:hAnsi="Times New Roman"/>
            <w:sz w:val="22"/>
            <w:szCs w:val="22"/>
          </w:rPr>
          <w:t xml:space="preserve">Корзинные, зонтичные и платформенные дизайны</w:t>
        </w:r>
      </w:hyperlink>
      <w:r>
        <w:rPr>
          <w:rFonts w:ascii="Times New Roman" w:cs="Times New Roman" w:eastAsia="Times New Roman" w:hAnsi="Times New Roman"/>
          <w:b w:val="false"/>
          <w:bCs w:val="false"/>
          <w:i w:val="false"/>
          <w:iCs w:val="false"/>
          <w:sz w:val="22"/>
          <w:szCs w:val="22"/>
        </w:rPr>
        <w:t xml:space="preserve"> — как устроены исследования, отбирающие больных по молекулярной мишени, а не по локализации опухоли.</w:t>
      </w:r>
    </w:p>
    <w:p>
      <w:pPr>
        <w:pStyle w:val="ListParagraph"/>
        <w:numPr>
          <w:ilvl w:val="0"/>
          <w:numId w:val="1"/>
        </w:numPr>
        <w:spacing w:after="60" w:line="276"/>
      </w:pPr>
      <w:hyperlink w:history="1" r:id="rIdsnvkvb7on3yuk4gewzijv">
        <w:r>
          <w:rPr>
            <w:rStyle w:val="Hyperlink"/>
            <w:rFonts w:ascii="Times New Roman" w:cs="Times New Roman" w:eastAsia="Times New Roman" w:hAnsi="Times New Roman"/>
            <w:sz w:val="22"/>
            <w:szCs w:val="22"/>
          </w:rPr>
          <w:t xml:space="preserve">Адаптивные дизайны</w:t>
        </w:r>
      </w:hyperlink>
      <w:r>
        <w:rPr>
          <w:rFonts w:ascii="Times New Roman" w:cs="Times New Roman" w:eastAsia="Times New Roman" w:hAnsi="Times New Roman"/>
          <w:b w:val="false"/>
          <w:bCs w:val="false"/>
          <w:i w:val="false"/>
          <w:iCs w:val="false"/>
          <w:sz w:val="22"/>
          <w:szCs w:val="22"/>
        </w:rPr>
        <w:t xml:space="preserve"> — заранее запланированное изменение параметров по промежуточным данным.</w:t>
      </w:r>
    </w:p>
    <w:p>
      <w:pPr>
        <w:pStyle w:val="ListParagraph"/>
        <w:numPr>
          <w:ilvl w:val="0"/>
          <w:numId w:val="1"/>
        </w:numPr>
        <w:spacing w:after="60" w:line="276"/>
      </w:pPr>
      <w:hyperlink w:history="1" r:id="rIdpf2zr6rchsi0qtzjjlmwf">
        <w:r>
          <w:rPr>
            <w:rStyle w:val="Hyperlink"/>
            <w:rFonts w:ascii="Times New Roman" w:cs="Times New Roman" w:eastAsia="Times New Roman" w:hAnsi="Times New Roman"/>
            <w:sz w:val="22"/>
            <w:szCs w:val="22"/>
          </w:rPr>
          <w:t xml:space="preserve">Данные реальной клинической практики и внешние контрольные группы</w:t>
        </w:r>
      </w:hyperlink>
      <w:r>
        <w:rPr>
          <w:rFonts w:ascii="Times New Roman" w:cs="Times New Roman" w:eastAsia="Times New Roman" w:hAnsi="Times New Roman"/>
          <w:b w:val="false"/>
          <w:bCs w:val="false"/>
          <w:i w:val="false"/>
          <w:iCs w:val="false"/>
          <w:sz w:val="22"/>
          <w:szCs w:val="22"/>
        </w:rPr>
        <w:t xml:space="preserve"> — когда они принимаются регуляторами, а когда нет.</w:t>
      </w:r>
    </w:p>
    <w:p>
      <w:pPr>
        <w:pStyle w:val="ListParagraph"/>
        <w:numPr>
          <w:ilvl w:val="0"/>
          <w:numId w:val="1"/>
        </w:numPr>
        <w:spacing w:after="60" w:line="276"/>
      </w:pPr>
      <w:hyperlink w:history="1" r:id="rIdc6iuba09fuxjwn6hdsjnm">
        <w:r>
          <w:rPr>
            <w:rStyle w:val="Hyperlink"/>
            <w:rFonts w:ascii="Times New Roman" w:cs="Times New Roman" w:eastAsia="Times New Roman" w:hAnsi="Times New Roman"/>
            <w:sz w:val="22"/>
            <w:szCs w:val="22"/>
          </w:rPr>
          <w:t xml:space="preserve">Систематическая ошибка публикации</w:t>
        </w:r>
      </w:hyperlink>
      <w:r>
        <w:rPr>
          <w:rFonts w:ascii="Times New Roman" w:cs="Times New Roman" w:eastAsia="Times New Roman" w:hAnsi="Times New Roman"/>
          <w:b w:val="false"/>
          <w:bCs w:val="false"/>
          <w:i w:val="false"/>
          <w:iCs w:val="false"/>
          <w:sz w:val="22"/>
          <w:szCs w:val="22"/>
        </w:rPr>
        <w:t xml:space="preserve"> — почему отрицательные результаты публикуются реже и как это искажает картину.</w:t>
      </w:r>
    </w:p>
    <w:p>
      <w:pPr>
        <w:pStyle w:val="Heading2"/>
        <w:spacing w:after="130" w:before="260"/>
      </w:pPr>
      <w:r>
        <w:rPr>
          <w:rFonts w:ascii="Times New Roman" w:cs="Times New Roman" w:eastAsia="Times New Roman" w:hAnsi="Times New Roman"/>
          <w:b/>
          <w:bCs/>
          <w:sz w:val="26"/>
          <w:szCs w:val="26"/>
        </w:rPr>
        <w:t xml:space="preserve">А3. Ключевые исследования и работы</w:t>
      </w:r>
    </w:p>
    <w:p>
      <w:pPr>
        <w:pStyle w:val="Heading3"/>
        <w:spacing w:after="130" w:before="260"/>
      </w:pPr>
      <w:r>
        <w:rPr>
          <w:rFonts w:ascii="Times New Roman" w:cs="Times New Roman" w:eastAsia="Times New Roman" w:hAnsi="Times New Roman"/>
          <w:b/>
          <w:bCs/>
          <w:sz w:val="23"/>
          <w:szCs w:val="23"/>
        </w:rPr>
        <w:t xml:space="preserve">Фазы и дизайны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760"/>
      </w:tblGrid>
      <w:tr>
        <w:trPr>
          <w:tblHeader/>
        </w:trPr>
        <w:tc>
          <w:tcPr>
            <w:tcW w:type="dxa" w:w="19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Исследование / работа</w:t>
            </w:r>
          </w:p>
        </w:tc>
        <w:tc>
          <w:tcPr>
            <w:tcW w:type="dxa" w:w="47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Что показало</w:t>
            </w:r>
          </w:p>
        </w:tc>
        <w:tc>
          <w:tcPr>
            <w:tcW w:type="dxa" w:w="276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Ссылка</w:t>
            </w:r>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Фаза I</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Задача — безопасность и подбор дозы; классический дизайн «3+3» уступает место модельным подходам. Project Optimus требует обосновывать дозу не только переносимостью, но и фармакодинамикой и эффективностью: для таргетных препаратов и иммунотерапии максимально переносимая доза часто избыточна.</w:t>
            </w:r>
          </w:p>
        </w:tc>
        <w:tc>
          <w:tcPr>
            <w:tcW w:type="dxa" w:w="2760"/>
            <w:tcMar>
              <w:top w:type="dxa" w:w="55"/>
              <w:left w:type="dxa" w:w="85"/>
              <w:bottom w:type="dxa" w:w="55"/>
              <w:right w:type="dxa" w:w="85"/>
            </w:tcMar>
          </w:tcPr>
          <w:p>
            <w:pPr>
              <w:spacing w:after="40" w:line="240"/>
            </w:pPr>
            <w:hyperlink w:history="1" r:id="rIdermocl8vmdnegbstkplmc">
              <w:r>
                <w:rPr>
                  <w:rStyle w:val="Hyperlink"/>
                  <w:rFonts w:ascii="Times New Roman" w:cs="Times New Roman" w:eastAsia="Times New Roman" w:hAnsi="Times New Roman"/>
                  <w:sz w:val="19"/>
                  <w:szCs w:val="19"/>
                </w:rPr>
                <w:t xml:space="preserve">Project Optimus</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Фаза II</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Оценка активности, обычно по частоте объективного ответа; может быть одногрупповой или рандомизированной. Положительный результат фазы II не подтверждает клиническую пользу — частая причина преждевременных выводов.</w:t>
            </w:r>
          </w:p>
        </w:tc>
        <w:tc>
          <w:tcPr>
            <w:tcW w:type="dxa" w:w="2760"/>
            <w:tcMar>
              <w:top w:type="dxa" w:w="55"/>
              <w:left w:type="dxa" w:w="85"/>
              <w:bottom w:type="dxa" w:w="55"/>
              <w:right w:type="dxa" w:w="85"/>
            </w:tcMar>
          </w:tcPr>
          <w:p>
            <w:pPr>
              <w:spacing w:after="40" w:line="240"/>
            </w:pPr>
            <w:hyperlink w:history="1" r:id="rIda32trf6zi4r3ihfbl4gqb">
              <w:r>
                <w:rPr>
                  <w:rStyle w:val="Hyperlink"/>
                  <w:rFonts w:ascii="Times New Roman" w:cs="Times New Roman" w:eastAsia="Times New Roman" w:hAnsi="Times New Roman"/>
                  <w:sz w:val="19"/>
                  <w:szCs w:val="19"/>
                </w:rPr>
                <w:t xml:space="preserve">CONSORT</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Фаза III</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Сравнение со стандартом на клинически значимых конечных точках. Рандомизация устраняет систематический отбор, ослепление — искажение оценки. Требует расчёта размера выборки и заранее определённого плана анализа.</w:t>
            </w:r>
          </w:p>
        </w:tc>
        <w:tc>
          <w:tcPr>
            <w:tcW w:type="dxa" w:w="2760"/>
            <w:tcMar>
              <w:top w:type="dxa" w:w="55"/>
              <w:left w:type="dxa" w:w="85"/>
              <w:bottom w:type="dxa" w:w="55"/>
              <w:right w:type="dxa" w:w="85"/>
            </w:tcMar>
          </w:tcPr>
          <w:p>
            <w:pPr>
              <w:spacing w:after="40" w:line="240"/>
            </w:pPr>
            <w:hyperlink w:history="1" r:id="rIdujmvxa3n4bnlphcslfonl">
              <w:r>
                <w:rPr>
                  <w:rStyle w:val="Hyperlink"/>
                  <w:rFonts w:ascii="Times New Roman" w:cs="Times New Roman" w:eastAsia="Times New Roman" w:hAnsi="Times New Roman"/>
                  <w:sz w:val="19"/>
                  <w:szCs w:val="19"/>
                </w:rPr>
                <w:t xml:space="preserve">CONSORT</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Фаза IV и наблюдательные исследования</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Изучение препарата после регистрации: редкие нежелательные явления, эффективность в реальной популяции, которая всегда шире исследовательской.</w:t>
            </w:r>
          </w:p>
        </w:tc>
        <w:tc>
          <w:tcPr>
            <w:tcW w:type="dxa" w:w="2760"/>
            <w:tcMar>
              <w:top w:type="dxa" w:w="55"/>
              <w:left w:type="dxa" w:w="85"/>
              <w:bottom w:type="dxa" w:w="55"/>
              <w:right w:type="dxa" w:w="85"/>
            </w:tcMar>
          </w:tcPr>
          <w:p>
            <w:pPr>
              <w:spacing w:after="40" w:line="240"/>
            </w:pPr>
            <w:hyperlink w:history="1" r:id="rIdcgmy6ksxozeebhd2lxagr">
              <w:r>
                <w:rPr>
                  <w:rStyle w:val="Hyperlink"/>
                  <w:rFonts w:ascii="Times New Roman" w:cs="Times New Roman" w:eastAsia="Times New Roman" w:hAnsi="Times New Roman"/>
                  <w:sz w:val="19"/>
                  <w:szCs w:val="19"/>
                </w:rPr>
                <w:t xml:space="preserve">Данные реальной практики</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Корзинные и зонтичные исследования</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Корзинное — один препарат при разных опухолях с общей мишенью; зонтичное — одна нозология, разные препараты по молекулярным подгруппам; платформенное — постоянно обновляемый набор ветвей с общей контрольной группой.</w:t>
            </w:r>
          </w:p>
        </w:tc>
        <w:tc>
          <w:tcPr>
            <w:tcW w:type="dxa" w:w="2760"/>
            <w:tcMar>
              <w:top w:type="dxa" w:w="55"/>
              <w:left w:type="dxa" w:w="85"/>
              <w:bottom w:type="dxa" w:w="55"/>
              <w:right w:type="dxa" w:w="85"/>
            </w:tcMar>
          </w:tcPr>
          <w:p>
            <w:pPr>
              <w:spacing w:after="40" w:line="240"/>
            </w:pPr>
            <w:hyperlink w:history="1" r:id="rId16psdrsxj4altrt6zptnm">
              <w:r>
                <w:rPr>
                  <w:rStyle w:val="Hyperlink"/>
                  <w:rFonts w:ascii="Times New Roman" w:cs="Times New Roman" w:eastAsia="Times New Roman" w:hAnsi="Times New Roman"/>
                  <w:sz w:val="19"/>
                  <w:szCs w:val="19"/>
                </w:rPr>
                <w:t xml:space="preserve">PubMed</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Адаптивные дизайны</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Заранее запланированное изменение размера выборки, прекращение бесперспективных ветвей, изменение соотношения рандомизации. Повышают эффективность, но требуют строгого контроля ошибки первого рода.</w:t>
            </w:r>
          </w:p>
        </w:tc>
        <w:tc>
          <w:tcPr>
            <w:tcW w:type="dxa" w:w="2760"/>
            <w:tcMar>
              <w:top w:type="dxa" w:w="55"/>
              <w:left w:type="dxa" w:w="85"/>
              <w:bottom w:type="dxa" w:w="55"/>
              <w:right w:type="dxa" w:w="85"/>
            </w:tcMar>
          </w:tcPr>
          <w:p>
            <w:pPr>
              <w:spacing w:after="40" w:line="240"/>
            </w:pPr>
            <w:hyperlink w:history="1" r:id="rIdpbkmavuo0maorxnxhan3a">
              <w:r>
                <w:rPr>
                  <w:rStyle w:val="Hyperlink"/>
                  <w:rFonts w:ascii="Times New Roman" w:cs="Times New Roman" w:eastAsia="Times New Roman" w:hAnsi="Times New Roman"/>
                  <w:sz w:val="19"/>
                  <w:szCs w:val="19"/>
                </w:rPr>
                <w:t xml:space="preserve">PubMed</w:t>
              </w:r>
            </w:hyperlink>
          </w:p>
        </w:tc>
      </w:tr>
    </w:tbl>
    <w:p>
      <w:pPr>
        <w:pStyle w:val="Heading2"/>
        <w:spacing w:after="130" w:before="260"/>
      </w:pPr>
      <w:r>
        <w:rPr>
          <w:rFonts w:ascii="Times New Roman" w:cs="Times New Roman" w:eastAsia="Times New Roman" w:hAnsi="Times New Roman"/>
          <w:b/>
          <w:bCs/>
          <w:sz w:val="26"/>
          <w:szCs w:val="26"/>
        </w:rPr>
        <w:t xml:space="preserve">А4. Лекции и видеоматериалы</w:t>
      </w:r>
    </w:p>
    <w:p>
      <w:pPr>
        <w:pStyle w:val="ListParagraph"/>
        <w:numPr>
          <w:ilvl w:val="0"/>
          <w:numId w:val="1"/>
        </w:numPr>
        <w:spacing w:after="60" w:line="276"/>
      </w:pPr>
      <w:hyperlink w:history="1" r:id="rIdfotrnnvun6yd8dxv8tw6t">
        <w:r>
          <w:rPr>
            <w:rStyle w:val="Hyperlink"/>
            <w:rFonts w:ascii="Times New Roman" w:cs="Times New Roman" w:eastAsia="Times New Roman" w:hAnsi="Times New Roman"/>
            <w:sz w:val="22"/>
            <w:szCs w:val="22"/>
          </w:rPr>
          <w:t xml:space="preserve">Разница между клиническими исследованиями и реальной практикой</w:t>
        </w:r>
      </w:hyperlink>
      <w:r>
        <w:rPr>
          <w:rFonts w:ascii="Times New Roman" w:cs="Times New Roman" w:eastAsia="Times New Roman" w:hAnsi="Times New Roman"/>
          <w:b w:val="false"/>
          <w:bCs w:val="false"/>
          <w:i w:val="false"/>
          <w:iCs w:val="false"/>
          <w:sz w:val="22"/>
          <w:szCs w:val="22"/>
        </w:rPr>
        <w:t xml:space="preserve"> — д.м.н. М.Ю. Федянин. XI Конференция RUSSCO «Рак лёгкого и другие опухоли грудной клетки», апрель 2025.</w:t>
      </w:r>
    </w:p>
    <w:p>
      <w:pPr>
        <w:pStyle w:val="ListParagraph"/>
        <w:numPr>
          <w:ilvl w:val="0"/>
          <w:numId w:val="1"/>
        </w:numPr>
        <w:spacing w:after="60" w:line="276"/>
      </w:pPr>
      <w:hyperlink w:history="1" r:id="rIdiztu4fzsx9ponxw9dmhew">
        <w:r>
          <w:rPr>
            <w:rStyle w:val="Hyperlink"/>
            <w:rFonts w:ascii="Times New Roman" w:cs="Times New Roman" w:eastAsia="Times New Roman" w:hAnsi="Times New Roman"/>
            <w:sz w:val="22"/>
            <w:szCs w:val="22"/>
          </w:rPr>
          <w:t xml:space="preserve">Применение системы оценки клинической значимости RUSSCO на примере НМРЛ</w:t>
        </w:r>
      </w:hyperlink>
      <w:r>
        <w:rPr>
          <w:rFonts w:ascii="Times New Roman" w:cs="Times New Roman" w:eastAsia="Times New Roman" w:hAnsi="Times New Roman"/>
          <w:b w:val="false"/>
          <w:bCs w:val="false"/>
          <w:i w:val="false"/>
          <w:iCs w:val="false"/>
          <w:sz w:val="22"/>
          <w:szCs w:val="22"/>
        </w:rPr>
        <w:t xml:space="preserve"> — д.м.н. Ф.В. Моисеенко. XI Конференция RUSSCO «Рак лёгкого и другие опухоли грудной клетки», апрель 2025.</w:t>
      </w:r>
    </w:p>
    <w:p>
      <w:pPr>
        <w:pStyle w:val="ListParagraph"/>
        <w:numPr>
          <w:ilvl w:val="0"/>
          <w:numId w:val="1"/>
        </w:numPr>
        <w:spacing w:after="60" w:line="276"/>
      </w:pPr>
      <w:hyperlink w:history="1" r:id="rIdne5vyy_bys3inkvdesfyg">
        <w:r>
          <w:rPr>
            <w:rStyle w:val="Hyperlink"/>
            <w:rFonts w:ascii="Times New Roman" w:cs="Times New Roman" w:eastAsia="Times New Roman" w:hAnsi="Times New Roman"/>
            <w:sz w:val="22"/>
            <w:szCs w:val="22"/>
          </w:rPr>
          <w:t xml:space="preserve">Международный образовательный курс по организации клинических исследований ICTW-Russia, 13–15.07.2017</w:t>
        </w:r>
      </w:hyperlink>
      <w:r>
        <w:rPr>
          <w:rFonts w:ascii="Times New Roman" w:cs="Times New Roman" w:eastAsia="Times New Roman" w:hAnsi="Times New Roman"/>
          <w:b w:val="false"/>
          <w:bCs w:val="false"/>
          <w:i w:val="false"/>
          <w:iCs w:val="false"/>
          <w:sz w:val="22"/>
          <w:szCs w:val="22"/>
        </w:rPr>
        <w:t xml:space="preserve"> — видеозаписи всех докладов конференции.</w:t>
      </w:r>
    </w:p>
    <w:p>
      <w:pPr>
        <w:pStyle w:val="ListParagraph"/>
        <w:numPr>
          <w:ilvl w:val="0"/>
          <w:numId w:val="1"/>
        </w:numPr>
        <w:spacing w:after="60" w:line="276"/>
      </w:pPr>
      <w:hyperlink w:history="1" r:id="rIdnu3moynmtd-a-qeirf9y-">
        <w:r>
          <w:rPr>
            <w:rStyle w:val="Hyperlink"/>
            <w:rFonts w:ascii="Times New Roman" w:cs="Times New Roman" w:eastAsia="Times New Roman" w:hAnsi="Times New Roman"/>
            <w:sz w:val="22"/>
            <w:szCs w:val="22"/>
          </w:rPr>
          <w:t xml:space="preserve">Конференция «Исследования, меняющие клиническую практику», 2–4.12.2022</w:t>
        </w:r>
      </w:hyperlink>
      <w:r>
        <w:rPr>
          <w:rFonts w:ascii="Times New Roman" w:cs="Times New Roman" w:eastAsia="Times New Roman" w:hAnsi="Times New Roman"/>
          <w:b w:val="false"/>
          <w:bCs w:val="false"/>
          <w:i w:val="false"/>
          <w:iCs w:val="false"/>
          <w:sz w:val="22"/>
          <w:szCs w:val="22"/>
        </w:rPr>
        <w:t xml:space="preserve"> — видеозаписи всех докладов конференции.</w:t>
      </w:r>
    </w:p>
    <w:p>
      <w:pPr>
        <w:pStyle w:val="ListParagraph"/>
        <w:numPr>
          <w:ilvl w:val="0"/>
          <w:numId w:val="1"/>
        </w:numPr>
        <w:spacing w:after="60" w:line="276"/>
      </w:pPr>
      <w:hyperlink w:history="1" r:id="rIduapfq5tf567qek9im11dy">
        <w:r>
          <w:rPr>
            <w:rStyle w:val="Hyperlink"/>
            <w:rFonts w:ascii="Times New Roman" w:cs="Times New Roman" w:eastAsia="Times New Roman" w:hAnsi="Times New Roman"/>
            <w:sz w:val="22"/>
            <w:szCs w:val="22"/>
          </w:rPr>
          <w:t xml:space="preserve">«Лучшее по материалам ASCO». Третий молодёжный онкологический саммит, 20–21.06.2025</w:t>
        </w:r>
      </w:hyperlink>
      <w:r>
        <w:rPr>
          <w:rFonts w:ascii="Times New Roman" w:cs="Times New Roman" w:eastAsia="Times New Roman" w:hAnsi="Times New Roman"/>
          <w:b w:val="false"/>
          <w:bCs w:val="false"/>
          <w:i w:val="false"/>
          <w:iCs w:val="false"/>
          <w:sz w:val="22"/>
          <w:szCs w:val="22"/>
        </w:rPr>
        <w:t xml:space="preserve"> — видеозаписи всех докладов конференции.</w:t>
      </w:r>
    </w:p>
    <w:p>
      <w:pPr>
        <w:pStyle w:val="ListParagraph"/>
        <w:numPr>
          <w:ilvl w:val="0"/>
          <w:numId w:val="1"/>
        </w:numPr>
        <w:spacing w:after="60" w:line="276"/>
      </w:pPr>
      <w:hyperlink w:history="1" r:id="rIdpg5wvp6eh02bcgjt7t6ck">
        <w:r>
          <w:rPr>
            <w:rStyle w:val="Hyperlink"/>
            <w:rFonts w:ascii="Times New Roman" w:cs="Times New Roman" w:eastAsia="Times New Roman" w:hAnsi="Times New Roman"/>
            <w:sz w:val="22"/>
            <w:szCs w:val="22"/>
          </w:rPr>
          <w:t xml:space="preserve">ESMO E-Learning</w:t>
        </w:r>
      </w:hyperlink>
      <w:r>
        <w:rPr>
          <w:rFonts w:ascii="Times New Roman" w:cs="Times New Roman" w:eastAsia="Times New Roman" w:hAnsi="Times New Roman"/>
          <w:b w:val="false"/>
          <w:bCs w:val="false"/>
          <w:i w:val="false"/>
          <w:iCs w:val="false"/>
          <w:sz w:val="22"/>
          <w:szCs w:val="22"/>
        </w:rPr>
        <w:t xml:space="preserve"> — модули с тестами и баллами CME.</w:t>
      </w:r>
    </w:p>
    <w:p>
      <w:pPr>
        <w:pStyle w:val="ListParagraph"/>
        <w:numPr>
          <w:ilvl w:val="0"/>
          <w:numId w:val="1"/>
        </w:numPr>
        <w:spacing w:after="60" w:line="276"/>
      </w:pPr>
      <w:hyperlink w:history="1" r:id="rId6n1rm8tlzy_mp0lzekgmj">
        <w:r>
          <w:rPr>
            <w:rStyle w:val="Hyperlink"/>
            <w:rFonts w:ascii="Times New Roman" w:cs="Times New Roman" w:eastAsia="Times New Roman" w:hAnsi="Times New Roman"/>
            <w:sz w:val="22"/>
            <w:szCs w:val="22"/>
          </w:rPr>
          <w:t xml:space="preserve">Полный видеоархив конференций RUSSCO</w:t>
        </w:r>
      </w:hyperlink>
      <w:r>
        <w:rPr>
          <w:rFonts w:ascii="Times New Roman" w:cs="Times New Roman" w:eastAsia="Times New Roman" w:hAnsi="Times New Roman"/>
          <w:b w:val="false"/>
          <w:bCs w:val="false"/>
          <w:i w:val="false"/>
          <w:iCs w:val="false"/>
          <w:sz w:val="22"/>
          <w:szCs w:val="22"/>
        </w:rPr>
        <w:t xml:space="preserve"> · </w:t>
      </w:r>
      <w:hyperlink w:history="1" r:id="rIdfss9nxndnkg6gavkvzfvp">
        <w:r>
          <w:rPr>
            <w:rStyle w:val="Hyperlink"/>
            <w:rFonts w:ascii="Times New Roman" w:cs="Times New Roman" w:eastAsia="Times New Roman" w:hAnsi="Times New Roman"/>
            <w:sz w:val="22"/>
            <w:szCs w:val="22"/>
          </w:rPr>
          <w:t xml:space="preserve">архив вебинаров</w:t>
        </w:r>
      </w:hyperlink>
      <w:r>
        <w:rPr>
          <w:rFonts w:ascii="Times New Roman" w:cs="Times New Roman" w:eastAsia="Times New Roman" w:hAnsi="Times New Roman"/>
          <w:b w:val="false"/>
          <w:bCs w:val="false"/>
          <w:i w:val="false"/>
          <w:iCs w:val="false"/>
          <w:sz w:val="22"/>
          <w:szCs w:val="22"/>
        </w:rPr>
        <w:t xml:space="preserve"> — если нужной темы нет в списке выше.</w:t>
      </w:r>
    </w:p>
    <w:p>
      <w:pPr>
        <w:spacing w:after="120" w:line="276"/>
      </w:pPr>
      <w:r>
        <w:rPr>
          <w:rFonts w:ascii="Times New Roman" w:cs="Times New Roman" w:eastAsia="Times New Roman" w:hAnsi="Times New Roman"/>
          <w:b w:val="false"/>
          <w:bCs w:val="false"/>
          <w:i/>
          <w:iCs/>
          <w:sz w:val="22"/>
          <w:szCs w:val="22"/>
        </w:rPr>
        <w:t xml:space="preserve">Ссылки на лекции сотрудников кафедры по этой теме собираются отдельно — пришлите названия докладов или ссылки на записи, добавлю в модуль.</w:t>
      </w:r>
    </w:p>
    <w:p>
      <w:pPr>
        <w:pStyle w:val="Heading2"/>
        <w:spacing w:after="130" w:before="260"/>
      </w:pPr>
      <w:r>
        <w:rPr>
          <w:rFonts w:ascii="Times New Roman" w:cs="Times New Roman" w:eastAsia="Times New Roman" w:hAnsi="Times New Roman"/>
          <w:b/>
          <w:bCs/>
          <w:sz w:val="26"/>
          <w:szCs w:val="26"/>
        </w:rPr>
        <w:t xml:space="preserve">А5. О переводе англоязычных работ</w:t>
      </w:r>
    </w:p>
    <w:p>
      <w:pPr>
        <w:spacing w:after="120" w:line="276"/>
      </w:pPr>
      <w:r>
        <w:rPr>
          <w:rFonts w:ascii="Times New Roman" w:cs="Times New Roman" w:eastAsia="Times New Roman" w:hAnsi="Times New Roman"/>
          <w:b w:val="false"/>
          <w:bCs w:val="false"/>
          <w:i w:val="false"/>
          <w:iCs w:val="false"/>
          <w:sz w:val="22"/>
          <w:szCs w:val="22"/>
        </w:rPr>
        <w:t xml:space="preserve">Полный перевод статей и рекомендаций публиковать нельзя — это нарушение авторских прав издателей. Законное решение: русскоязычная аннотация на 3–5 предложений (дизайн, популяция, конечные точки, результат, что меняет в практике) плюс активная ссылка на оригинал. Именно так оформлены таблицы выше. Для документов с официальным русским переводом приоритет отдаётся рекомендациям RUSSCO и КР Минздрава.</w:t>
      </w:r>
    </w:p>
    <w:p>
      <w:r>
        <w:br w:type="page"/>
      </w:r>
    </w:p>
    <w:p>
      <w:r>
        <w:rPr>
          <w:b/>
          <w:sz w:val="22"/>
        </w:rPr>
        <w:t>А6. Актуализация источников и стандартов — 2026</w:t>
      </w:r>
    </w:p>
    <w:p>
      <w:r>
        <w:rPr>
          <w:b/>
        </w:rPr>
        <w:t xml:space="preserve">ICH E6(R3) Good Clinical Practice. </w:t>
      </w:r>
      <w:r>
        <w:t xml:space="preserve">Заменить E6(R2) на E6(R3) Principles + Annex 1 как действующий базовый стандарт; Annex 2 отметить отдельно как принятый, но с датой вступления в силу в ЕС 15.01.2027. </w:t>
      </w:r>
      <w:hyperlink r:id="rId7">
        <w:r>
          <w:rPr>
            <w:color w:val="0563C1"/>
            <w:u w:val="single"/>
          </w:rPr>
          <w:t>Открыть источник</w:t>
        </w:r>
      </w:hyperlink>
    </w:p>
    <w:p>
      <w:r>
        <w:rPr>
          <w:b/>
        </w:rPr>
        <w:t xml:space="preserve">WMA Declaration of Helsinki 2024. </w:t>
      </w:r>
      <w:r>
        <w:t xml:space="preserve">Использовать только редакцию 2024; предыдущие редакции оставить лишь в исторической справке. </w:t>
      </w:r>
      <w:hyperlink r:id="rId8">
        <w:r>
          <w:rPr>
            <w:color w:val="0563C1"/>
            <w:u w:val="single"/>
          </w:rPr>
          <w:t>Открыть источник</w:t>
        </w:r>
      </w:hyperlink>
    </w:p>
    <w:p>
      <w:r>
        <w:rPr>
          <w:b/>
        </w:rPr>
        <w:t xml:space="preserve">CONSORT 2025. </w:t>
      </w:r>
      <w:r>
        <w:t xml:space="preserve">Заменить CONSORT 2010; использовать для критического разбора публикаций рандомизированных исследований. </w:t>
      </w:r>
      <w:hyperlink r:id="rId9">
        <w:r>
          <w:rPr>
            <w:color w:val="0563C1"/>
            <w:u w:val="single"/>
          </w:rPr>
          <w:t>Открыть источник</w:t>
        </w:r>
      </w:hyperlink>
    </w:p>
    <w:p>
      <w:r>
        <w:rPr>
          <w:b/>
        </w:rPr>
        <w:t xml:space="preserve">SPIRIT 2025. </w:t>
      </w:r>
      <w:r>
        <w:t xml:space="preserve">Добавить как стандарт оценки протокола исследования; связать с CONSORT 2025 в одном практическом упражнении. </w:t>
      </w:r>
      <w:hyperlink r:id="rId10">
        <w:r>
          <w:rPr>
            <w:color w:val="0563C1"/>
            <w:u w:val="single"/>
          </w:rPr>
          <w:t>Открыть источник</w:t>
        </w:r>
      </w:hyperlink>
    </w:p>
    <w:p/>
    <w:p>
      <w:pPr>
        <w:pStyle w:val="Heading1"/>
        <w:spacing w:after="130" w:before="260"/>
      </w:pPr>
      <w:r>
        <w:rPr>
          <w:rFonts w:ascii="Times New Roman" w:cs="Times New Roman" w:eastAsia="Times New Roman" w:hAnsi="Times New Roman"/>
          <w:b/>
          <w:bCs/>
          <w:sz w:val="30"/>
          <w:szCs w:val="30"/>
        </w:rPr>
        <w:t xml:space="preserve">Блок Б. Проверочные материалы</w:t>
      </w:r>
    </w:p>
    <w:p>
      <w:pPr>
        <w:pStyle w:val="Heading2"/>
        <w:spacing w:after="130" w:before="260"/>
      </w:pPr>
      <w:r>
        <w:rPr>
          <w:rFonts w:ascii="Times New Roman" w:cs="Times New Roman" w:eastAsia="Times New Roman" w:hAnsi="Times New Roman"/>
          <w:b/>
          <w:bCs/>
          <w:sz w:val="26"/>
          <w:szCs w:val="26"/>
        </w:rPr>
        <w:t xml:space="preserve">Б1. Тестовые задания (10 вопросов)</w:t>
      </w:r>
    </w:p>
    <w:p>
      <w:pPr>
        <w:spacing w:after="120" w:line="276"/>
      </w:pPr>
      <w:r>
        <w:rPr>
          <w:rFonts w:ascii="Times New Roman" w:cs="Times New Roman" w:eastAsia="Times New Roman" w:hAnsi="Times New Roman"/>
          <w:b w:val="false"/>
          <w:bCs w:val="false"/>
          <w:i/>
          <w:iCs/>
          <w:sz w:val="22"/>
          <w:szCs w:val="22"/>
        </w:rPr>
        <w:t xml:space="preserve">Один лучший ответ. Формат приближен к экзаменационному стилю ESMO и RUSSCO. Пояснения предназначены для разбора после теста и для версии с автопроверкой на сайте.</w:t>
      </w:r>
    </w:p>
    <w:p>
      <w:pPr>
        <w:spacing w:after="60" w:line="276"/>
      </w:pPr>
      <w:r>
        <w:rPr>
          <w:rFonts w:ascii="Times New Roman" w:cs="Times New Roman" w:eastAsia="Times New Roman" w:hAnsi="Times New Roman"/>
          <w:b/>
          <w:bCs/>
          <w:i w:val="false"/>
          <w:iCs w:val="false"/>
          <w:sz w:val="22"/>
          <w:szCs w:val="22"/>
        </w:rPr>
        <w:t xml:space="preserve">1. Основная задача исследования I фазы в онкологии:</w:t>
      </w:r>
    </w:p>
    <w:p>
      <w:pPr>
        <w:spacing w:after="30" w:line="250"/>
        <w:ind w:left="340"/>
      </w:pPr>
      <w:r>
        <w:rPr>
          <w:rFonts w:ascii="Times New Roman" w:cs="Times New Roman" w:eastAsia="Times New Roman" w:hAnsi="Times New Roman"/>
          <w:b w:val="false"/>
          <w:bCs w:val="false"/>
          <w:i w:val="false"/>
          <w:iCs w:val="false"/>
          <w:sz w:val="21"/>
          <w:szCs w:val="21"/>
        </w:rPr>
        <w:t xml:space="preserve">A. Сравнить со стандартом</w:t>
      </w:r>
    </w:p>
    <w:p>
      <w:pPr>
        <w:spacing w:after="30" w:line="250"/>
        <w:ind w:left="340"/>
      </w:pPr>
      <w:r>
        <w:rPr>
          <w:rFonts w:ascii="Times New Roman" w:cs="Times New Roman" w:eastAsia="Times New Roman" w:hAnsi="Times New Roman"/>
          <w:b w:val="false"/>
          <w:bCs w:val="false"/>
          <w:i w:val="false"/>
          <w:iCs w:val="false"/>
          <w:sz w:val="21"/>
          <w:szCs w:val="21"/>
        </w:rPr>
        <w:t xml:space="preserve">B. Оценить безопасность и определить рекомендуемую дозу</w:t>
      </w:r>
    </w:p>
    <w:p>
      <w:pPr>
        <w:spacing w:after="30" w:line="250"/>
        <w:ind w:left="340"/>
      </w:pPr>
      <w:r>
        <w:rPr>
          <w:rFonts w:ascii="Times New Roman" w:cs="Times New Roman" w:eastAsia="Times New Roman" w:hAnsi="Times New Roman"/>
          <w:b w:val="false"/>
          <w:bCs w:val="false"/>
          <w:i w:val="false"/>
          <w:iCs w:val="false"/>
          <w:sz w:val="21"/>
          <w:szCs w:val="21"/>
        </w:rPr>
        <w:t xml:space="preserve">C. Доказать эффективность</w:t>
      </w:r>
    </w:p>
    <w:p>
      <w:pPr>
        <w:spacing w:after="30" w:line="250"/>
        <w:ind w:left="340"/>
      </w:pPr>
      <w:r>
        <w:rPr>
          <w:rFonts w:ascii="Times New Roman" w:cs="Times New Roman" w:eastAsia="Times New Roman" w:hAnsi="Times New Roman"/>
          <w:b w:val="false"/>
          <w:bCs w:val="false"/>
          <w:i w:val="false"/>
          <w:iCs w:val="false"/>
          <w:sz w:val="21"/>
          <w:szCs w:val="21"/>
        </w:rPr>
        <w:t xml:space="preserve">D. Оценить качество жизни</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B</w:t>
      </w:r>
    </w:p>
    <w:p>
      <w:pPr>
        <w:spacing w:after="40" w:line="250"/>
        <w:ind w:left="340"/>
      </w:pPr>
      <w:r>
        <w:rPr>
          <w:rFonts w:ascii="Times New Roman" w:cs="Times New Roman" w:eastAsia="Times New Roman" w:hAnsi="Times New Roman"/>
          <w:b w:val="false"/>
          <w:bCs w:val="false"/>
          <w:i/>
          <w:iCs/>
          <w:sz w:val="21"/>
          <w:szCs w:val="21"/>
        </w:rPr>
        <w:t xml:space="preserve">Пояснение. Эффективность в I фазе оценивается как вторичная конечная точка. Историческая цель — определение максимально переносимой дозы через дозолимитирующую токсичность — сегодня пересматривается: для таргетных препаратов и иммунотерапии оптимальная доза часто ниже максимально переносимой.</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ocugos8inlfx4lch8zsb0">
        <w:r>
          <w:rPr>
            <w:rStyle w:val="Hyperlink"/>
            <w:rFonts w:ascii="Times New Roman" w:cs="Times New Roman" w:eastAsia="Times New Roman" w:hAnsi="Times New Roman"/>
            <w:sz w:val="20"/>
            <w:szCs w:val="20"/>
          </w:rPr>
          <w:t xml:space="preserve">Project Optimus</w:t>
        </w:r>
      </w:hyperlink>
    </w:p>
    <w:p>
      <w:pPr>
        <w:spacing w:after="60" w:line="276"/>
      </w:pPr>
      <w:r>
        <w:rPr>
          <w:rFonts w:ascii="Times New Roman" w:cs="Times New Roman" w:eastAsia="Times New Roman" w:hAnsi="Times New Roman"/>
          <w:b/>
          <w:bCs/>
          <w:i w:val="false"/>
          <w:iCs w:val="false"/>
          <w:sz w:val="22"/>
          <w:szCs w:val="22"/>
        </w:rPr>
        <w:t xml:space="preserve">2. В чём суть инициативы Project Optimus?</w:t>
      </w:r>
    </w:p>
    <w:p>
      <w:pPr>
        <w:spacing w:after="30" w:line="250"/>
        <w:ind w:left="340"/>
      </w:pPr>
      <w:r>
        <w:rPr>
          <w:rFonts w:ascii="Times New Roman" w:cs="Times New Roman" w:eastAsia="Times New Roman" w:hAnsi="Times New Roman"/>
          <w:b w:val="false"/>
          <w:bCs w:val="false"/>
          <w:i w:val="false"/>
          <w:iCs w:val="false"/>
          <w:sz w:val="21"/>
          <w:szCs w:val="21"/>
        </w:rPr>
        <w:t xml:space="preserve">A. Отменить исследования I фазы</w:t>
      </w:r>
    </w:p>
    <w:p>
      <w:pPr>
        <w:spacing w:after="30" w:line="250"/>
        <w:ind w:left="340"/>
      </w:pPr>
      <w:r>
        <w:rPr>
          <w:rFonts w:ascii="Times New Roman" w:cs="Times New Roman" w:eastAsia="Times New Roman" w:hAnsi="Times New Roman"/>
          <w:b w:val="false"/>
          <w:bCs w:val="false"/>
          <w:i w:val="false"/>
          <w:iCs w:val="false"/>
          <w:sz w:val="21"/>
          <w:szCs w:val="21"/>
        </w:rPr>
        <w:t xml:space="preserve">B. Перейти от выбора дозы по максимальной переносимости к обоснованию оптимальной дозы с учётом фармакодинамики, эффективности и переносимости</w:t>
      </w:r>
    </w:p>
    <w:p>
      <w:pPr>
        <w:spacing w:after="30" w:line="250"/>
        <w:ind w:left="340"/>
      </w:pPr>
      <w:r>
        <w:rPr>
          <w:rFonts w:ascii="Times New Roman" w:cs="Times New Roman" w:eastAsia="Times New Roman" w:hAnsi="Times New Roman"/>
          <w:b w:val="false"/>
          <w:bCs w:val="false"/>
          <w:i w:val="false"/>
          <w:iCs w:val="false"/>
          <w:sz w:val="21"/>
          <w:szCs w:val="21"/>
        </w:rPr>
        <w:t xml:space="preserve">C. Ускорить регистрацию препаратов</w:t>
      </w:r>
    </w:p>
    <w:p>
      <w:pPr>
        <w:spacing w:after="30" w:line="250"/>
        <w:ind w:left="340"/>
      </w:pPr>
      <w:r>
        <w:rPr>
          <w:rFonts w:ascii="Times New Roman" w:cs="Times New Roman" w:eastAsia="Times New Roman" w:hAnsi="Times New Roman"/>
          <w:b w:val="false"/>
          <w:bCs w:val="false"/>
          <w:i w:val="false"/>
          <w:iCs w:val="false"/>
          <w:sz w:val="21"/>
          <w:szCs w:val="21"/>
        </w:rPr>
        <w:t xml:space="preserve">D. Стандартизировать дозы во всех странах</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B</w:t>
      </w:r>
    </w:p>
    <w:p>
      <w:pPr>
        <w:spacing w:after="40" w:line="250"/>
        <w:ind w:left="340"/>
      </w:pPr>
      <w:r>
        <w:rPr>
          <w:rFonts w:ascii="Times New Roman" w:cs="Times New Roman" w:eastAsia="Times New Roman" w:hAnsi="Times New Roman"/>
          <w:b w:val="false"/>
          <w:bCs w:val="false"/>
          <w:i/>
          <w:iCs/>
          <w:sz w:val="21"/>
          <w:szCs w:val="21"/>
        </w:rPr>
        <w:t xml:space="preserve">Пояснение. Логика максимально переносимой дозы пришла из цитостатической химиотерапии, где эффект дозозависим. Для таргетных препаратов и иммунотерапии кривая доза — эффект выходит на плато раньше, чем кривая доза — токсичность, поэтому регистрация избыточных доз приводила к ненужной токсичности и отказам от лечения.</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ecpuswa3dic5scxiz84ms">
        <w:r>
          <w:rPr>
            <w:rStyle w:val="Hyperlink"/>
            <w:rFonts w:ascii="Times New Roman" w:cs="Times New Roman" w:eastAsia="Times New Roman" w:hAnsi="Times New Roman"/>
            <w:sz w:val="20"/>
            <w:szCs w:val="20"/>
          </w:rPr>
          <w:t xml:space="preserve">Project Optimus</w:t>
        </w:r>
      </w:hyperlink>
    </w:p>
    <w:p>
      <w:pPr>
        <w:spacing w:after="60" w:line="276"/>
      </w:pPr>
      <w:r>
        <w:rPr>
          <w:rFonts w:ascii="Times New Roman" w:cs="Times New Roman" w:eastAsia="Times New Roman" w:hAnsi="Times New Roman"/>
          <w:b/>
          <w:bCs/>
          <w:i w:val="false"/>
          <w:iCs w:val="false"/>
          <w:sz w:val="22"/>
          <w:szCs w:val="22"/>
        </w:rPr>
        <w:t xml:space="preserve">3. Корзинное исследование отличается от зонтичного тем, что:</w:t>
      </w:r>
    </w:p>
    <w:p>
      <w:pPr>
        <w:spacing w:after="30" w:line="250"/>
        <w:ind w:left="340"/>
      </w:pPr>
      <w:r>
        <w:rPr>
          <w:rFonts w:ascii="Times New Roman" w:cs="Times New Roman" w:eastAsia="Times New Roman" w:hAnsi="Times New Roman"/>
          <w:b w:val="false"/>
          <w:bCs w:val="false"/>
          <w:i w:val="false"/>
          <w:iCs w:val="false"/>
          <w:sz w:val="21"/>
          <w:szCs w:val="21"/>
        </w:rPr>
        <w:t xml:space="preserve">A. Различий нет</w:t>
      </w:r>
    </w:p>
    <w:p>
      <w:pPr>
        <w:spacing w:after="30" w:line="250"/>
        <w:ind w:left="340"/>
      </w:pPr>
      <w:r>
        <w:rPr>
          <w:rFonts w:ascii="Times New Roman" w:cs="Times New Roman" w:eastAsia="Times New Roman" w:hAnsi="Times New Roman"/>
          <w:b w:val="false"/>
          <w:bCs w:val="false"/>
          <w:i w:val="false"/>
          <w:iCs w:val="false"/>
          <w:sz w:val="21"/>
          <w:szCs w:val="21"/>
        </w:rPr>
        <w:t xml:space="preserve">B. Корзинное включает больных с разными опухолями, объединёнными общей молекулярной мишенью; зонтичное — одну нозологию с разделением на молекулярные подгруппы</w:t>
      </w:r>
    </w:p>
    <w:p>
      <w:pPr>
        <w:spacing w:after="30" w:line="250"/>
        <w:ind w:left="340"/>
      </w:pPr>
      <w:r>
        <w:rPr>
          <w:rFonts w:ascii="Times New Roman" w:cs="Times New Roman" w:eastAsia="Times New Roman" w:hAnsi="Times New Roman"/>
          <w:b w:val="false"/>
          <w:bCs w:val="false"/>
          <w:i w:val="false"/>
          <w:iCs w:val="false"/>
          <w:sz w:val="21"/>
          <w:szCs w:val="21"/>
        </w:rPr>
        <w:t xml:space="preserve">C. Корзинное всегда рандомизировано</w:t>
      </w:r>
    </w:p>
    <w:p>
      <w:pPr>
        <w:spacing w:after="30" w:line="250"/>
        <w:ind w:left="340"/>
      </w:pPr>
      <w:r>
        <w:rPr>
          <w:rFonts w:ascii="Times New Roman" w:cs="Times New Roman" w:eastAsia="Times New Roman" w:hAnsi="Times New Roman"/>
          <w:b w:val="false"/>
          <w:bCs w:val="false"/>
          <w:i w:val="false"/>
          <w:iCs w:val="false"/>
          <w:sz w:val="21"/>
          <w:szCs w:val="21"/>
        </w:rPr>
        <w:t xml:space="preserve">D. Зонтичное не требует биомаркёра</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B</w:t>
      </w:r>
    </w:p>
    <w:p>
      <w:pPr>
        <w:spacing w:after="40" w:line="250"/>
        <w:ind w:left="340"/>
      </w:pPr>
      <w:r>
        <w:rPr>
          <w:rFonts w:ascii="Times New Roman" w:cs="Times New Roman" w:eastAsia="Times New Roman" w:hAnsi="Times New Roman"/>
          <w:b w:val="false"/>
          <w:bCs w:val="false"/>
          <w:i/>
          <w:iCs/>
          <w:sz w:val="21"/>
          <w:szCs w:val="21"/>
        </w:rPr>
        <w:t xml:space="preserve">Пояснение. Корзинный дизайн проверяет гипотезу, что мишень важнее локализации, и лежит в основе тканенезависимых регистраций. Зонтичный эффективен там, где нозология распадается на молекулярные подгруппы. Платформенный дизайн добавляет возможность включать новые ветви и использовать общую контрольную группу.</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ri_zfipjwegb2ag56tk6b">
        <w:r>
          <w:rPr>
            <w:rStyle w:val="Hyperlink"/>
            <w:rFonts w:ascii="Times New Roman" w:cs="Times New Roman" w:eastAsia="Times New Roman" w:hAnsi="Times New Roman"/>
            <w:sz w:val="20"/>
            <w:szCs w:val="20"/>
          </w:rPr>
          <w:t xml:space="preserve">Корзинные, зонтичные и платформенные дизайны</w:t>
        </w:r>
      </w:hyperlink>
    </w:p>
    <w:p>
      <w:pPr>
        <w:spacing w:after="60" w:line="276"/>
      </w:pPr>
      <w:r>
        <w:rPr>
          <w:rFonts w:ascii="Times New Roman" w:cs="Times New Roman" w:eastAsia="Times New Roman" w:hAnsi="Times New Roman"/>
          <w:b/>
          <w:bCs/>
          <w:i w:val="false"/>
          <w:iCs w:val="false"/>
          <w:sz w:val="22"/>
          <w:szCs w:val="22"/>
        </w:rPr>
        <w:t xml:space="preserve">4. Зачем нужен независимый комитет по мониторингу данных?</w:t>
      </w:r>
    </w:p>
    <w:p>
      <w:pPr>
        <w:spacing w:after="30" w:line="250"/>
        <w:ind w:left="340"/>
      </w:pPr>
      <w:r>
        <w:rPr>
          <w:rFonts w:ascii="Times New Roman" w:cs="Times New Roman" w:eastAsia="Times New Roman" w:hAnsi="Times New Roman"/>
          <w:b w:val="false"/>
          <w:bCs w:val="false"/>
          <w:i w:val="false"/>
          <w:iCs w:val="false"/>
          <w:sz w:val="21"/>
          <w:szCs w:val="21"/>
        </w:rPr>
        <w:t xml:space="preserve">A. Для отбора больных</w:t>
      </w:r>
    </w:p>
    <w:p>
      <w:pPr>
        <w:spacing w:after="30" w:line="250"/>
        <w:ind w:left="340"/>
      </w:pPr>
      <w:r>
        <w:rPr>
          <w:rFonts w:ascii="Times New Roman" w:cs="Times New Roman" w:eastAsia="Times New Roman" w:hAnsi="Times New Roman"/>
          <w:b w:val="false"/>
          <w:bCs w:val="false"/>
          <w:i w:val="false"/>
          <w:iCs w:val="false"/>
          <w:sz w:val="21"/>
          <w:szCs w:val="21"/>
        </w:rPr>
        <w:t xml:space="preserve">B. Для оценки промежуточных данных по безопасности и эффективности и рекомендации о продолжении, изменении или прекращении исследования</w:t>
      </w:r>
    </w:p>
    <w:p>
      <w:pPr>
        <w:spacing w:after="30" w:line="250"/>
        <w:ind w:left="340"/>
      </w:pPr>
      <w:r>
        <w:rPr>
          <w:rFonts w:ascii="Times New Roman" w:cs="Times New Roman" w:eastAsia="Times New Roman" w:hAnsi="Times New Roman"/>
          <w:b w:val="false"/>
          <w:bCs w:val="false"/>
          <w:i w:val="false"/>
          <w:iCs w:val="false"/>
          <w:sz w:val="21"/>
          <w:szCs w:val="21"/>
        </w:rPr>
        <w:t xml:space="preserve">C. Для ускорения набора</w:t>
      </w:r>
    </w:p>
    <w:p>
      <w:pPr>
        <w:spacing w:after="30" w:line="250"/>
        <w:ind w:left="340"/>
      </w:pPr>
      <w:r>
        <w:rPr>
          <w:rFonts w:ascii="Times New Roman" w:cs="Times New Roman" w:eastAsia="Times New Roman" w:hAnsi="Times New Roman"/>
          <w:b w:val="false"/>
          <w:bCs w:val="false"/>
          <w:i w:val="false"/>
          <w:iCs w:val="false"/>
          <w:sz w:val="21"/>
          <w:szCs w:val="21"/>
        </w:rPr>
        <w:t xml:space="preserve">D. Для публикации результатов</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B</w:t>
      </w:r>
    </w:p>
    <w:p>
      <w:pPr>
        <w:spacing w:after="40" w:line="250"/>
        <w:ind w:left="340"/>
      </w:pPr>
      <w:r>
        <w:rPr>
          <w:rFonts w:ascii="Times New Roman" w:cs="Times New Roman" w:eastAsia="Times New Roman" w:hAnsi="Times New Roman"/>
          <w:b w:val="false"/>
          <w:bCs w:val="false"/>
          <w:i/>
          <w:iCs/>
          <w:sz w:val="21"/>
          <w:szCs w:val="21"/>
        </w:rPr>
        <w:t xml:space="preserve">Пояснение. Комитет — единственная группа, видящая незаслеплённые промежуточные данные. Он может рекомендовать досрочное прекращение при явном преимуществе, при вреде или при бесперспективности. Это защищает участников и предотвращает продолжение исследования, ответ на вопрос которого уже получен.</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h8uytfburwqazl6xmgyfu">
        <w:r>
          <w:rPr>
            <w:rStyle w:val="Hyperlink"/>
            <w:rFonts w:ascii="Times New Roman" w:cs="Times New Roman" w:eastAsia="Times New Roman" w:hAnsi="Times New Roman"/>
            <w:sz w:val="20"/>
            <w:szCs w:val="20"/>
          </w:rPr>
          <w:t xml:space="preserve">ICH-GCP</w:t>
        </w:r>
      </w:hyperlink>
    </w:p>
    <w:p>
      <w:pPr>
        <w:spacing w:after="60" w:line="276"/>
      </w:pPr>
      <w:r>
        <w:rPr>
          <w:rFonts w:ascii="Times New Roman" w:cs="Times New Roman" w:eastAsia="Times New Roman" w:hAnsi="Times New Roman"/>
          <w:b/>
          <w:bCs/>
          <w:i w:val="false"/>
          <w:iCs w:val="false"/>
          <w:sz w:val="22"/>
          <w:szCs w:val="22"/>
        </w:rPr>
        <w:t xml:space="preserve">5. Информированное согласие в клиническом исследовании — это:</w:t>
      </w:r>
    </w:p>
    <w:p>
      <w:pPr>
        <w:spacing w:after="30" w:line="250"/>
        <w:ind w:left="340"/>
      </w:pPr>
      <w:r>
        <w:rPr>
          <w:rFonts w:ascii="Times New Roman" w:cs="Times New Roman" w:eastAsia="Times New Roman" w:hAnsi="Times New Roman"/>
          <w:b w:val="false"/>
          <w:bCs w:val="false"/>
          <w:i w:val="false"/>
          <w:iCs w:val="false"/>
          <w:sz w:val="21"/>
          <w:szCs w:val="21"/>
        </w:rPr>
        <w:t xml:space="preserve">A. Согласие родственников</w:t>
      </w:r>
    </w:p>
    <w:p>
      <w:pPr>
        <w:spacing w:after="30" w:line="250"/>
        <w:ind w:left="340"/>
      </w:pPr>
      <w:r>
        <w:rPr>
          <w:rFonts w:ascii="Times New Roman" w:cs="Times New Roman" w:eastAsia="Times New Roman" w:hAnsi="Times New Roman"/>
          <w:b w:val="false"/>
          <w:bCs w:val="false"/>
          <w:i w:val="false"/>
          <w:iCs w:val="false"/>
          <w:sz w:val="21"/>
          <w:szCs w:val="21"/>
        </w:rPr>
        <w:t xml:space="preserve">B. Формальность</w:t>
      </w:r>
    </w:p>
    <w:p>
      <w:pPr>
        <w:spacing w:after="30" w:line="250"/>
        <w:ind w:left="340"/>
      </w:pPr>
      <w:r>
        <w:rPr>
          <w:rFonts w:ascii="Times New Roman" w:cs="Times New Roman" w:eastAsia="Times New Roman" w:hAnsi="Times New Roman"/>
          <w:b w:val="false"/>
          <w:bCs w:val="false"/>
          <w:i w:val="false"/>
          <w:iCs w:val="false"/>
          <w:sz w:val="21"/>
          <w:szCs w:val="21"/>
        </w:rPr>
        <w:t xml:space="preserve">C. Подпись на бланке</w:t>
      </w:r>
    </w:p>
    <w:p>
      <w:pPr>
        <w:spacing w:after="30" w:line="250"/>
        <w:ind w:left="340"/>
      </w:pPr>
      <w:r>
        <w:rPr>
          <w:rFonts w:ascii="Times New Roman" w:cs="Times New Roman" w:eastAsia="Times New Roman" w:hAnsi="Times New Roman"/>
          <w:b w:val="false"/>
          <w:bCs w:val="false"/>
          <w:i w:val="false"/>
          <w:iCs w:val="false"/>
          <w:sz w:val="21"/>
          <w:szCs w:val="21"/>
        </w:rPr>
        <w:t xml:space="preserve">D. Процесс: разъяснение целей, процедур, рисков, альтернатив и права выйти в любой момент, с проверкой понимания и достаточным временем на решение</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D</w:t>
      </w:r>
    </w:p>
    <w:p>
      <w:pPr>
        <w:spacing w:after="40" w:line="250"/>
        <w:ind w:left="340"/>
      </w:pPr>
      <w:r>
        <w:rPr>
          <w:rFonts w:ascii="Times New Roman" w:cs="Times New Roman" w:eastAsia="Times New Roman" w:hAnsi="Times New Roman"/>
          <w:b w:val="false"/>
          <w:bCs w:val="false"/>
          <w:i/>
          <w:iCs/>
          <w:sz w:val="21"/>
          <w:szCs w:val="21"/>
        </w:rPr>
        <w:t xml:space="preserve">Пояснение. Подпись фиксирует процесс, но не заменяет его. Особая проблема онкологии — терапевтическое заблуждение: больной воспринимает исследование как гарантированно лучшее лечение. Обязанность врача — объяснить, что цель исследования в получении знания, а личная польза не гарантирована, и что отказ никак не повлияет на дальнейшее лечение.</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kql9i8oq87lvzm95et_s0">
        <w:r>
          <w:rPr>
            <w:rStyle w:val="Hyperlink"/>
            <w:rFonts w:ascii="Times New Roman" w:cs="Times New Roman" w:eastAsia="Times New Roman" w:hAnsi="Times New Roman"/>
            <w:sz w:val="20"/>
            <w:szCs w:val="20"/>
          </w:rPr>
          <w:t xml:space="preserve">Хельсинкская декларация</w:t>
        </w:r>
      </w:hyperlink>
    </w:p>
    <w:p>
      <w:pPr>
        <w:spacing w:after="60" w:line="276"/>
      </w:pPr>
      <w:r>
        <w:rPr>
          <w:rFonts w:ascii="Times New Roman" w:cs="Times New Roman" w:eastAsia="Times New Roman" w:hAnsi="Times New Roman"/>
          <w:b/>
          <w:bCs/>
          <w:i w:val="false"/>
          <w:iCs w:val="false"/>
          <w:sz w:val="22"/>
          <w:szCs w:val="22"/>
        </w:rPr>
        <w:t xml:space="preserve">6. Больной спрашивает: «Мне дадут пустышку?» Корректный ответ при исследовании в онкологии:</w:t>
      </w:r>
    </w:p>
    <w:p>
      <w:pPr>
        <w:spacing w:after="30" w:line="250"/>
        <w:ind w:left="340"/>
      </w:pPr>
      <w:r>
        <w:rPr>
          <w:rFonts w:ascii="Times New Roman" w:cs="Times New Roman" w:eastAsia="Times New Roman" w:hAnsi="Times New Roman"/>
          <w:b w:val="false"/>
          <w:bCs w:val="false"/>
          <w:i w:val="false"/>
          <w:iCs w:val="false"/>
          <w:sz w:val="21"/>
          <w:szCs w:val="21"/>
        </w:rPr>
        <w:t xml:space="preserve">A. «Это неизвестно»</w:t>
      </w:r>
    </w:p>
    <w:p>
      <w:pPr>
        <w:spacing w:after="30" w:line="250"/>
        <w:ind w:left="340"/>
      </w:pPr>
      <w:r>
        <w:rPr>
          <w:rFonts w:ascii="Times New Roman" w:cs="Times New Roman" w:eastAsia="Times New Roman" w:hAnsi="Times New Roman"/>
          <w:b w:val="false"/>
          <w:bCs w:val="false"/>
          <w:i w:val="false"/>
          <w:iCs w:val="false"/>
          <w:sz w:val="21"/>
          <w:szCs w:val="21"/>
        </w:rPr>
        <w:t xml:space="preserve">B. «В онкологии плацебо в чистом виде почти не применяется: обычно сравнивают стандартное лечение с добавлением исследуемого препарата или плацебо, поэтому без лечения вы не останетесь»</w:t>
      </w:r>
    </w:p>
    <w:p>
      <w:pPr>
        <w:spacing w:after="30" w:line="250"/>
        <w:ind w:left="340"/>
      </w:pPr>
      <w:r>
        <w:rPr>
          <w:rFonts w:ascii="Times New Roman" w:cs="Times New Roman" w:eastAsia="Times New Roman" w:hAnsi="Times New Roman"/>
          <w:b w:val="false"/>
          <w:bCs w:val="false"/>
          <w:i w:val="false"/>
          <w:iCs w:val="false"/>
          <w:sz w:val="21"/>
          <w:szCs w:val="21"/>
        </w:rPr>
        <w:t xml:space="preserve">C. «Возможно, вы получите только плацебо»</w:t>
      </w:r>
    </w:p>
    <w:p>
      <w:pPr>
        <w:spacing w:after="30" w:line="250"/>
        <w:ind w:left="340"/>
      </w:pPr>
      <w:r>
        <w:rPr>
          <w:rFonts w:ascii="Times New Roman" w:cs="Times New Roman" w:eastAsia="Times New Roman" w:hAnsi="Times New Roman"/>
          <w:b w:val="false"/>
          <w:bCs w:val="false"/>
          <w:i w:val="false"/>
          <w:iCs w:val="false"/>
          <w:sz w:val="21"/>
          <w:szCs w:val="21"/>
        </w:rPr>
        <w:t xml:space="preserve">D. «Плацебо не бывает»</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B</w:t>
      </w:r>
    </w:p>
    <w:p>
      <w:pPr>
        <w:spacing w:after="40" w:line="250"/>
        <w:ind w:left="340"/>
      </w:pPr>
      <w:r>
        <w:rPr>
          <w:rFonts w:ascii="Times New Roman" w:cs="Times New Roman" w:eastAsia="Times New Roman" w:hAnsi="Times New Roman"/>
          <w:b w:val="false"/>
          <w:bCs w:val="false"/>
          <w:i/>
          <w:iCs/>
          <w:sz w:val="21"/>
          <w:szCs w:val="21"/>
        </w:rPr>
        <w:t xml:space="preserve">Пояснение. Полное плацебо допустимо только при отсутствии эффективного стандарта. Обычно сравниваются стандарт плюс исследуемый препарат против стандарта плюс плацебо, либо новый режим против действующего стандарта. Честное объяснение этой конструкции снимает основной страх и не создаёт ложных ожиданий.</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_qsvgjb7pkdywimxx4qum">
        <w:r>
          <w:rPr>
            <w:rStyle w:val="Hyperlink"/>
            <w:rFonts w:ascii="Times New Roman" w:cs="Times New Roman" w:eastAsia="Times New Roman" w:hAnsi="Times New Roman"/>
            <w:sz w:val="20"/>
            <w:szCs w:val="20"/>
          </w:rPr>
          <w:t xml:space="preserve">Хельсинкская декларация</w:t>
        </w:r>
      </w:hyperlink>
    </w:p>
    <w:p>
      <w:pPr>
        <w:spacing w:after="60" w:line="276"/>
      </w:pPr>
      <w:r>
        <w:rPr>
          <w:rFonts w:ascii="Times New Roman" w:cs="Times New Roman" w:eastAsia="Times New Roman" w:hAnsi="Times New Roman"/>
          <w:b/>
          <w:bCs/>
          <w:i w:val="false"/>
          <w:iCs w:val="false"/>
          <w:sz w:val="22"/>
          <w:szCs w:val="22"/>
        </w:rPr>
        <w:t xml:space="preserve">7. Почему результат одногруппового исследования II фазы нельзя приравнивать к доказательству пользы?</w:t>
      </w:r>
    </w:p>
    <w:p>
      <w:pPr>
        <w:spacing w:after="30" w:line="250"/>
        <w:ind w:left="340"/>
      </w:pPr>
      <w:r>
        <w:rPr>
          <w:rFonts w:ascii="Times New Roman" w:cs="Times New Roman" w:eastAsia="Times New Roman" w:hAnsi="Times New Roman"/>
          <w:b w:val="false"/>
          <w:bCs w:val="false"/>
          <w:i w:val="false"/>
          <w:iCs w:val="false"/>
          <w:sz w:val="21"/>
          <w:szCs w:val="21"/>
        </w:rPr>
        <w:t xml:space="preserve">A. Короткое наблюдение</w:t>
      </w:r>
    </w:p>
    <w:p>
      <w:pPr>
        <w:spacing w:after="30" w:line="250"/>
        <w:ind w:left="340"/>
      </w:pPr>
      <w:r>
        <w:rPr>
          <w:rFonts w:ascii="Times New Roman" w:cs="Times New Roman" w:eastAsia="Times New Roman" w:hAnsi="Times New Roman"/>
          <w:b w:val="false"/>
          <w:bCs w:val="false"/>
          <w:i w:val="false"/>
          <w:iCs w:val="false"/>
          <w:sz w:val="21"/>
          <w:szCs w:val="21"/>
        </w:rPr>
        <w:t xml:space="preserve">B. Отсутствие группы сравнения не позволяет отделить эффект препарата от отбора больных и естественного течения болезни</w:t>
      </w:r>
    </w:p>
    <w:p>
      <w:pPr>
        <w:spacing w:after="30" w:line="250"/>
        <w:ind w:left="340"/>
      </w:pPr>
      <w:r>
        <w:rPr>
          <w:rFonts w:ascii="Times New Roman" w:cs="Times New Roman" w:eastAsia="Times New Roman" w:hAnsi="Times New Roman"/>
          <w:b w:val="false"/>
          <w:bCs w:val="false"/>
          <w:i w:val="false"/>
          <w:iCs w:val="false"/>
          <w:sz w:val="21"/>
          <w:szCs w:val="21"/>
        </w:rPr>
        <w:t xml:space="preserve">C. Отсутствие ослепления</w:t>
      </w:r>
    </w:p>
    <w:p>
      <w:pPr>
        <w:spacing w:after="30" w:line="250"/>
        <w:ind w:left="340"/>
      </w:pPr>
      <w:r>
        <w:rPr>
          <w:rFonts w:ascii="Times New Roman" w:cs="Times New Roman" w:eastAsia="Times New Roman" w:hAnsi="Times New Roman"/>
          <w:b w:val="false"/>
          <w:bCs w:val="false"/>
          <w:i w:val="false"/>
          <w:iCs w:val="false"/>
          <w:sz w:val="21"/>
          <w:szCs w:val="21"/>
        </w:rPr>
        <w:t xml:space="preserve">D. Малая выборка</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B</w:t>
      </w:r>
    </w:p>
    <w:p>
      <w:pPr>
        <w:spacing w:after="40" w:line="250"/>
        <w:ind w:left="340"/>
      </w:pPr>
      <w:r>
        <w:rPr>
          <w:rFonts w:ascii="Times New Roman" w:cs="Times New Roman" w:eastAsia="Times New Roman" w:hAnsi="Times New Roman"/>
          <w:b w:val="false"/>
          <w:bCs w:val="false"/>
          <w:i/>
          <w:iCs/>
          <w:sz w:val="21"/>
          <w:szCs w:val="21"/>
        </w:rPr>
        <w:t xml:space="preserve">Пояснение. Высокая частота ответов может отражать благоприятный отбор. История онкологии знает немало препаратов, впечатляющих во II фазе и провалившихся в III. Ускоренные регистрации по данным одногрупповых исследований требуют последующего подтверждения.</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xqlgkjb-xxakizhincwyi">
        <w:r>
          <w:rPr>
            <w:rStyle w:val="Hyperlink"/>
            <w:rFonts w:ascii="Times New Roman" w:cs="Times New Roman" w:eastAsia="Times New Roman" w:hAnsi="Times New Roman"/>
            <w:sz w:val="20"/>
            <w:szCs w:val="20"/>
          </w:rPr>
          <w:t xml:space="preserve">CONSORT</w:t>
        </w:r>
      </w:hyperlink>
    </w:p>
    <w:p>
      <w:pPr>
        <w:spacing w:after="60" w:line="276"/>
      </w:pPr>
      <w:r>
        <w:rPr>
          <w:rFonts w:ascii="Times New Roman" w:cs="Times New Roman" w:eastAsia="Times New Roman" w:hAnsi="Times New Roman"/>
          <w:b/>
          <w:bCs/>
          <w:i w:val="false"/>
          <w:iCs w:val="false"/>
          <w:sz w:val="22"/>
          <w:szCs w:val="22"/>
        </w:rPr>
        <w:t xml:space="preserve">8. Систематическая ошибка публикации проявляется в том, что:</w:t>
      </w:r>
    </w:p>
    <w:p>
      <w:pPr>
        <w:spacing w:after="30" w:line="250"/>
        <w:ind w:left="340"/>
      </w:pPr>
      <w:r>
        <w:rPr>
          <w:rFonts w:ascii="Times New Roman" w:cs="Times New Roman" w:eastAsia="Times New Roman" w:hAnsi="Times New Roman"/>
          <w:b w:val="false"/>
          <w:bCs w:val="false"/>
          <w:i w:val="false"/>
          <w:iCs w:val="false"/>
          <w:sz w:val="21"/>
          <w:szCs w:val="21"/>
        </w:rPr>
        <w:t xml:space="preserve">A. Исследования с положительным результатом публикуются чаще и быстрее, из-за чего совокупная картина смещена в сторону эффективности</w:t>
      </w:r>
    </w:p>
    <w:p>
      <w:pPr>
        <w:spacing w:after="30" w:line="250"/>
        <w:ind w:left="340"/>
      </w:pPr>
      <w:r>
        <w:rPr>
          <w:rFonts w:ascii="Times New Roman" w:cs="Times New Roman" w:eastAsia="Times New Roman" w:hAnsi="Times New Roman"/>
          <w:b w:val="false"/>
          <w:bCs w:val="false"/>
          <w:i w:val="false"/>
          <w:iCs w:val="false"/>
          <w:sz w:val="21"/>
          <w:szCs w:val="21"/>
        </w:rPr>
        <w:t xml:space="preserve">B. Журналы искажают данные</w:t>
      </w:r>
    </w:p>
    <w:p>
      <w:pPr>
        <w:spacing w:after="30" w:line="250"/>
        <w:ind w:left="340"/>
      </w:pPr>
      <w:r>
        <w:rPr>
          <w:rFonts w:ascii="Times New Roman" w:cs="Times New Roman" w:eastAsia="Times New Roman" w:hAnsi="Times New Roman"/>
          <w:b w:val="false"/>
          <w:bCs w:val="false"/>
          <w:i w:val="false"/>
          <w:iCs w:val="false"/>
          <w:sz w:val="21"/>
          <w:szCs w:val="21"/>
        </w:rPr>
        <w:t xml:space="preserve">C. Публикации содержат ошибки</w:t>
      </w:r>
    </w:p>
    <w:p>
      <w:pPr>
        <w:spacing w:after="30" w:line="250"/>
        <w:ind w:left="340"/>
      </w:pPr>
      <w:r>
        <w:rPr>
          <w:rFonts w:ascii="Times New Roman" w:cs="Times New Roman" w:eastAsia="Times New Roman" w:hAnsi="Times New Roman"/>
          <w:b w:val="false"/>
          <w:bCs w:val="false"/>
          <w:i w:val="false"/>
          <w:iCs w:val="false"/>
          <w:sz w:val="21"/>
          <w:szCs w:val="21"/>
        </w:rPr>
        <w:t xml:space="preserve">D. Публикуются только крупные исследования</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A</w:t>
      </w:r>
    </w:p>
    <w:p>
      <w:pPr>
        <w:spacing w:after="40" w:line="250"/>
        <w:ind w:left="340"/>
      </w:pPr>
      <w:r>
        <w:rPr>
          <w:rFonts w:ascii="Times New Roman" w:cs="Times New Roman" w:eastAsia="Times New Roman" w:hAnsi="Times New Roman"/>
          <w:b w:val="false"/>
          <w:bCs w:val="false"/>
          <w:i/>
          <w:iCs/>
          <w:sz w:val="21"/>
          <w:szCs w:val="21"/>
        </w:rPr>
        <w:t xml:space="preserve">Пояснение. Отрицательные результаты публикуются реже, позже и в менее заметных журналах. Связанное явление — избирательное представление конечных точек, когда в публикацию попадает та точка, по которой получен положительный результат. Противодействие — обязательная предварительная регистрация протокола с указанием первичной конечной точки; сопоставление публикации с записью в регистре обязательно при критическом чтении.</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yrdqyo--fmcoul-hrdimt">
        <w:r>
          <w:rPr>
            <w:rStyle w:val="Hyperlink"/>
            <w:rFonts w:ascii="Times New Roman" w:cs="Times New Roman" w:eastAsia="Times New Roman" w:hAnsi="Times New Roman"/>
            <w:sz w:val="20"/>
            <w:szCs w:val="20"/>
          </w:rPr>
          <w:t xml:space="preserve">Систематическая ошибка публикации</w:t>
        </w:r>
      </w:hyperlink>
    </w:p>
    <w:p>
      <w:pPr>
        <w:spacing w:after="60" w:line="276"/>
      </w:pPr>
      <w:r>
        <w:rPr>
          <w:rFonts w:ascii="Times New Roman" w:cs="Times New Roman" w:eastAsia="Times New Roman" w:hAnsi="Times New Roman"/>
          <w:b/>
          <w:bCs/>
          <w:i w:val="false"/>
          <w:iCs w:val="false"/>
          <w:sz w:val="22"/>
          <w:szCs w:val="22"/>
        </w:rPr>
        <w:t xml:space="preserve">9. Внешняя контрольная группа на основе данных реальной практики принимается регуляторами:</w:t>
      </w:r>
    </w:p>
    <w:p>
      <w:pPr>
        <w:spacing w:after="30" w:line="250"/>
        <w:ind w:left="340"/>
      </w:pPr>
      <w:r>
        <w:rPr>
          <w:rFonts w:ascii="Times New Roman" w:cs="Times New Roman" w:eastAsia="Times New Roman" w:hAnsi="Times New Roman"/>
          <w:b w:val="false"/>
          <w:bCs w:val="false"/>
          <w:i w:val="false"/>
          <w:iCs w:val="false"/>
          <w:sz w:val="21"/>
          <w:szCs w:val="21"/>
        </w:rPr>
        <w:t xml:space="preserve">A. Только в наблюдательных исследованиях</w:t>
      </w:r>
    </w:p>
    <w:p>
      <w:pPr>
        <w:spacing w:after="30" w:line="250"/>
        <w:ind w:left="340"/>
      </w:pPr>
      <w:r>
        <w:rPr>
          <w:rFonts w:ascii="Times New Roman" w:cs="Times New Roman" w:eastAsia="Times New Roman" w:hAnsi="Times New Roman"/>
          <w:b w:val="false"/>
          <w:bCs w:val="false"/>
          <w:i w:val="false"/>
          <w:iCs w:val="false"/>
          <w:sz w:val="21"/>
          <w:szCs w:val="21"/>
        </w:rPr>
        <w:t xml:space="preserve">B. Никогда</w:t>
      </w:r>
    </w:p>
    <w:p>
      <w:pPr>
        <w:spacing w:after="30" w:line="250"/>
        <w:ind w:left="340"/>
      </w:pPr>
      <w:r>
        <w:rPr>
          <w:rFonts w:ascii="Times New Roman" w:cs="Times New Roman" w:eastAsia="Times New Roman" w:hAnsi="Times New Roman"/>
          <w:b w:val="false"/>
          <w:bCs w:val="false"/>
          <w:i w:val="false"/>
          <w:iCs w:val="false"/>
          <w:sz w:val="21"/>
          <w:szCs w:val="21"/>
        </w:rPr>
        <w:t xml:space="preserve">C. Ограниченно: при редких заболеваниях, отсутствии стандарта или очевидном эффекте, при условии сопоставимости популяций и качества данных</w:t>
      </w:r>
    </w:p>
    <w:p>
      <w:pPr>
        <w:spacing w:after="30" w:line="250"/>
        <w:ind w:left="340"/>
      </w:pPr>
      <w:r>
        <w:rPr>
          <w:rFonts w:ascii="Times New Roman" w:cs="Times New Roman" w:eastAsia="Times New Roman" w:hAnsi="Times New Roman"/>
          <w:b w:val="false"/>
          <w:bCs w:val="false"/>
          <w:i w:val="false"/>
          <w:iCs w:val="false"/>
          <w:sz w:val="21"/>
          <w:szCs w:val="21"/>
        </w:rPr>
        <w:t xml:space="preserve">D. Всегда</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C</w:t>
      </w:r>
    </w:p>
    <w:p>
      <w:pPr>
        <w:spacing w:after="40" w:line="250"/>
        <w:ind w:left="340"/>
      </w:pPr>
      <w:r>
        <w:rPr>
          <w:rFonts w:ascii="Times New Roman" w:cs="Times New Roman" w:eastAsia="Times New Roman" w:hAnsi="Times New Roman"/>
          <w:b w:val="false"/>
          <w:bCs w:val="false"/>
          <w:i/>
          <w:iCs/>
          <w:sz w:val="21"/>
          <w:szCs w:val="21"/>
        </w:rPr>
        <w:t xml:space="preserve">Пояснение. Основная проблема внешнего контроля — несопоставимость популяций и различия в диагностике и сопроводительной терапии между эпохами. Такой дизайн применяется, когда рандомизация невозможна или неэтична, и требует тщательного подбора и анализа чувствительности.</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3m-g922ral5jwl98ly8-c">
        <w:r>
          <w:rPr>
            <w:rStyle w:val="Hyperlink"/>
            <w:rFonts w:ascii="Times New Roman" w:cs="Times New Roman" w:eastAsia="Times New Roman" w:hAnsi="Times New Roman"/>
            <w:sz w:val="20"/>
            <w:szCs w:val="20"/>
          </w:rPr>
          <w:t xml:space="preserve">Данные реальной практики и внешние контроли</w:t>
        </w:r>
      </w:hyperlink>
    </w:p>
    <w:p>
      <w:pPr>
        <w:spacing w:after="60" w:line="276"/>
      </w:pPr>
      <w:r>
        <w:rPr>
          <w:rFonts w:ascii="Times New Roman" w:cs="Times New Roman" w:eastAsia="Times New Roman" w:hAnsi="Times New Roman"/>
          <w:b/>
          <w:bCs/>
          <w:i w:val="false"/>
          <w:iCs w:val="false"/>
          <w:sz w:val="22"/>
          <w:szCs w:val="22"/>
        </w:rPr>
        <w:t xml:space="preserve">10. Что необходимо проверить в публикации перед тем, как менять свою практику?</w:t>
      </w:r>
    </w:p>
    <w:p>
      <w:pPr>
        <w:spacing w:after="30" w:line="250"/>
        <w:ind w:left="340"/>
      </w:pPr>
      <w:r>
        <w:rPr>
          <w:rFonts w:ascii="Times New Roman" w:cs="Times New Roman" w:eastAsia="Times New Roman" w:hAnsi="Times New Roman"/>
          <w:b w:val="false"/>
          <w:bCs w:val="false"/>
          <w:i w:val="false"/>
          <w:iCs w:val="false"/>
          <w:sz w:val="21"/>
          <w:szCs w:val="21"/>
        </w:rPr>
        <w:t xml:space="preserve">A. Число авторов</w:t>
      </w:r>
    </w:p>
    <w:p>
      <w:pPr>
        <w:spacing w:after="30" w:line="250"/>
        <w:ind w:left="340"/>
      </w:pPr>
      <w:r>
        <w:rPr>
          <w:rFonts w:ascii="Times New Roman" w:cs="Times New Roman" w:eastAsia="Times New Roman" w:hAnsi="Times New Roman"/>
          <w:b w:val="false"/>
          <w:bCs w:val="false"/>
          <w:i w:val="false"/>
          <w:iCs w:val="false"/>
          <w:sz w:val="21"/>
          <w:szCs w:val="21"/>
        </w:rPr>
        <w:t xml:space="preserve">B. Страну проведения</w:t>
      </w:r>
    </w:p>
    <w:p>
      <w:pPr>
        <w:spacing w:after="30" w:line="250"/>
        <w:ind w:left="340"/>
      </w:pPr>
      <w:r>
        <w:rPr>
          <w:rFonts w:ascii="Times New Roman" w:cs="Times New Roman" w:eastAsia="Times New Roman" w:hAnsi="Times New Roman"/>
          <w:b w:val="false"/>
          <w:bCs w:val="false"/>
          <w:i w:val="false"/>
          <w:iCs w:val="false"/>
          <w:sz w:val="21"/>
          <w:szCs w:val="21"/>
        </w:rPr>
        <w:t xml:space="preserve">C. Первичную конечную точку и её совпадение с зарегистрированным протоколом, размер эффекта в абсолютных величинах, характеристики популяции, профиль токсичности и качество жизни</w:t>
      </w:r>
    </w:p>
    <w:p>
      <w:pPr>
        <w:spacing w:after="30" w:line="250"/>
        <w:ind w:left="340"/>
      </w:pPr>
      <w:r>
        <w:rPr>
          <w:rFonts w:ascii="Times New Roman" w:cs="Times New Roman" w:eastAsia="Times New Roman" w:hAnsi="Times New Roman"/>
          <w:b w:val="false"/>
          <w:bCs w:val="false"/>
          <w:i w:val="false"/>
          <w:iCs w:val="false"/>
          <w:sz w:val="21"/>
          <w:szCs w:val="21"/>
        </w:rPr>
        <w:t xml:space="preserve">D. Импакт-фактор журнала</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C</w:t>
      </w:r>
    </w:p>
    <w:p>
      <w:pPr>
        <w:spacing w:after="40" w:line="250"/>
        <w:ind w:left="340"/>
      </w:pPr>
      <w:r>
        <w:rPr>
          <w:rFonts w:ascii="Times New Roman" w:cs="Times New Roman" w:eastAsia="Times New Roman" w:hAnsi="Times New Roman"/>
          <w:b w:val="false"/>
          <w:bCs w:val="false"/>
          <w:i/>
          <w:iCs/>
          <w:sz w:val="21"/>
          <w:szCs w:val="21"/>
        </w:rPr>
        <w:t xml:space="preserve">Пояснение. Ключевые вопросы: соответствует ли популяция исследования вашим больным, была ли первичная точка заявлена заранее, каков абсолютный выигрыш, какова цена в токсичности и как менялось качество жизни. Импакт-фактор журнала о применимости результата к конкретному пациенту не говорит ничего.</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xa7ibmosmj69gx7__x4wo">
        <w:r>
          <w:rPr>
            <w:rStyle w:val="Hyperlink"/>
            <w:rFonts w:ascii="Times New Roman" w:cs="Times New Roman" w:eastAsia="Times New Roman" w:hAnsi="Times New Roman"/>
            <w:sz w:val="20"/>
            <w:szCs w:val="20"/>
          </w:rPr>
          <w:t xml:space="preserve">CONSORT · ClinicalTrials.gov</w:t>
        </w:r>
      </w:hyperlink>
    </w:p>
    <w:p>
      <w:r>
        <w:br w:type="page"/>
      </w:r>
    </w:p>
    <w:p>
      <w:pPr>
        <w:pStyle w:val="Heading2"/>
        <w:spacing w:after="130" w:before="260"/>
      </w:pPr>
      <w:r>
        <w:rPr>
          <w:rFonts w:ascii="Times New Roman" w:cs="Times New Roman" w:eastAsia="Times New Roman" w:hAnsi="Times New Roman"/>
          <w:b/>
          <w:bCs/>
          <w:sz w:val="26"/>
          <w:szCs w:val="26"/>
        </w:rPr>
        <w:t xml:space="preserve">Б2. Клинические задачи</w:t>
      </w:r>
    </w:p>
    <w:p>
      <w:pPr>
        <w:pStyle w:val="Heading3"/>
        <w:spacing w:after="130" w:before="260"/>
      </w:pPr>
      <w:r>
        <w:rPr>
          <w:rFonts w:ascii="Times New Roman" w:cs="Times New Roman" w:eastAsia="Times New Roman" w:hAnsi="Times New Roman"/>
          <w:b/>
          <w:bCs/>
          <w:sz w:val="23"/>
          <w:szCs w:val="23"/>
        </w:rPr>
        <w:t xml:space="preserve">Задача 1. Предложение участия в исследовании</w:t>
      </w:r>
    </w:p>
    <w:p>
      <w:pPr>
        <w:spacing w:after="120" w:line="276"/>
      </w:pPr>
      <w:r>
        <w:rPr>
          <w:rFonts w:ascii="Times New Roman" w:cs="Times New Roman" w:eastAsia="Times New Roman" w:hAnsi="Times New Roman"/>
          <w:b w:val="false"/>
          <w:bCs w:val="false"/>
          <w:i w:val="false"/>
          <w:iCs w:val="false"/>
          <w:sz w:val="22"/>
          <w:szCs w:val="22"/>
        </w:rPr>
        <w:t xml:space="preserve">Больная с метастатическим процессом, прогрессирование после второй линии. Есть открытое исследование I фазы нового препарата. Пациентка говорит: «Доктор, я согласна на всё, лишь бы был шанс».</w:t>
      </w:r>
    </w:p>
    <w:p>
      <w:pPr>
        <w:spacing w:after="120" w:line="276"/>
      </w:pPr>
      <w:r>
        <w:rPr>
          <w:rFonts w:ascii="Times New Roman" w:cs="Times New Roman" w:eastAsia="Times New Roman" w:hAnsi="Times New Roman"/>
          <w:b/>
          <w:bCs/>
          <w:i w:val="false"/>
          <w:iCs w:val="false"/>
          <w:sz w:val="22"/>
          <w:szCs w:val="22"/>
        </w:rPr>
        <w:t xml:space="preserve">Вопросы: 1) Что обязательно объяснить? 2) Как избежать терапевтического заблуждения? 3) Что проверить до предложения?</w:t>
      </w:r>
    </w:p>
    <w:p>
      <w:pPr>
        <w:spacing w:after="60" w:line="270"/>
      </w:pPr>
      <w:r>
        <w:rPr>
          <w:rFonts w:ascii="Times New Roman" w:cs="Times New Roman" w:eastAsia="Times New Roman" w:hAnsi="Times New Roman"/>
          <w:b w:val="false"/>
          <w:bCs w:val="false"/>
          <w:i/>
          <w:iCs/>
          <w:sz w:val="21"/>
          <w:szCs w:val="21"/>
        </w:rPr>
        <w:t xml:space="preserve">Эталонный ответ. Объяснить нужно: цель исследования I фазы — оценка безопасности и подбор дозы, а не лечение конкретной больной; вероятность объективного ответа в исследованиях ранних фаз невелика; предусмотрены частые визиты, дополнительные процедуры и биопсии; выйти можно в любой момент без последствий для дальнейшего лечения. Избежать терапевтического заблуждения помогает прямой вопрос: «Расскажите своими словами, что вы поняли о цели этого исследования» — он выявляет расхождение между сказанным и услышанным лучше любых подписей. До предложения следует проверить соответствие критериям включения по протоколу в регистре, доступность центра для пациентки логистически и наличие альтернатив, включая зарегистрированные опции и качественную паллиативную помощь, которые обсуждаются наравне.</w:t>
      </w:r>
    </w:p>
    <w:p>
      <w:pPr>
        <w:spacing w:after="200" w:line="250"/>
      </w:pPr>
      <w:r>
        <w:rPr>
          <w:rFonts w:ascii="Times New Roman" w:cs="Times New Roman" w:eastAsia="Times New Roman" w:hAnsi="Times New Roman"/>
          <w:b w:val="false"/>
          <w:bCs w:val="false"/>
          <w:i w:val="false"/>
          <w:iCs w:val="false"/>
          <w:sz w:val="20"/>
          <w:szCs w:val="20"/>
        </w:rPr>
        <w:t xml:space="preserve">Источники: </w:t>
      </w:r>
      <w:hyperlink w:history="1" r:id="rId1uhb9tlmj7pavoy18h1xk">
        <w:r>
          <w:rPr>
            <w:rStyle w:val="Hyperlink"/>
            <w:rFonts w:ascii="Times New Roman" w:cs="Times New Roman" w:eastAsia="Times New Roman" w:hAnsi="Times New Roman"/>
            <w:sz w:val="20"/>
            <w:szCs w:val="20"/>
          </w:rPr>
          <w:t xml:space="preserve">Хельсинкская декларация</w:t>
        </w:r>
      </w:hyperlink>
      <w:r>
        <w:rPr>
          <w:rFonts w:ascii="Times New Roman" w:cs="Times New Roman" w:eastAsia="Times New Roman" w:hAnsi="Times New Roman"/>
          <w:b w:val="false"/>
          <w:bCs w:val="false"/>
          <w:i w:val="false"/>
          <w:iCs w:val="false"/>
          <w:sz w:val="20"/>
          <w:szCs w:val="20"/>
        </w:rPr>
        <w:t xml:space="preserve"> · </w:t>
      </w:r>
      <w:hyperlink w:history="1" r:id="rId6otv1robwozz3dll_akyy">
        <w:r>
          <w:rPr>
            <w:rStyle w:val="Hyperlink"/>
            <w:rFonts w:ascii="Times New Roman" w:cs="Times New Roman" w:eastAsia="Times New Roman" w:hAnsi="Times New Roman"/>
            <w:sz w:val="20"/>
            <w:szCs w:val="20"/>
          </w:rPr>
          <w:t xml:space="preserve">ClinicalTrials.gov</w:t>
        </w:r>
      </w:hyperlink>
    </w:p>
    <w:p>
      <w:pPr>
        <w:pStyle w:val="Heading3"/>
        <w:spacing w:after="130" w:before="260"/>
      </w:pPr>
      <w:r>
        <w:rPr>
          <w:rFonts w:ascii="Times New Roman" w:cs="Times New Roman" w:eastAsia="Times New Roman" w:hAnsi="Times New Roman"/>
          <w:b/>
          <w:bCs/>
          <w:sz w:val="23"/>
          <w:szCs w:val="23"/>
        </w:rPr>
        <w:t xml:space="preserve">Задача 2. Расхождение публикации и протокола</w:t>
      </w:r>
    </w:p>
    <w:p>
      <w:pPr>
        <w:spacing w:after="120" w:line="276"/>
      </w:pPr>
      <w:r>
        <w:rPr>
          <w:rFonts w:ascii="Times New Roman" w:cs="Times New Roman" w:eastAsia="Times New Roman" w:hAnsi="Times New Roman"/>
          <w:b w:val="false"/>
          <w:bCs w:val="false"/>
          <w:i w:val="false"/>
          <w:iCs w:val="false"/>
          <w:sz w:val="22"/>
          <w:szCs w:val="22"/>
        </w:rPr>
        <w:t xml:space="preserve">Ординатор готовит журнальный клуб. В публикации первичной конечной точкой названа беспрогрессивная выживаемость, результат положительный. В регистре первичной точкой указана общая выживаемость.</w:t>
      </w:r>
    </w:p>
    <w:p>
      <w:pPr>
        <w:spacing w:after="120" w:line="276"/>
      </w:pPr>
      <w:r>
        <w:rPr>
          <w:rFonts w:ascii="Times New Roman" w:cs="Times New Roman" w:eastAsia="Times New Roman" w:hAnsi="Times New Roman"/>
          <w:b/>
          <w:bCs/>
          <w:i w:val="false"/>
          <w:iCs w:val="false"/>
          <w:sz w:val="22"/>
          <w:szCs w:val="22"/>
        </w:rPr>
        <w:t xml:space="preserve">Вопросы: 1) Как это трактовать? 2) Что искать в статье? 3) Какой вывод?</w:t>
      </w:r>
    </w:p>
    <w:p>
      <w:pPr>
        <w:spacing w:after="60" w:line="270"/>
      </w:pPr>
      <w:r>
        <w:rPr>
          <w:rFonts w:ascii="Times New Roman" w:cs="Times New Roman" w:eastAsia="Times New Roman" w:hAnsi="Times New Roman"/>
          <w:b w:val="false"/>
          <w:bCs w:val="false"/>
          <w:i/>
          <w:iCs/>
          <w:sz w:val="21"/>
          <w:szCs w:val="21"/>
        </w:rPr>
        <w:t xml:space="preserve">Эталонный ответ. Это признак избирательного представления конечных точек: первичная точка изменена после получения данных, что резко повышает вероятность ложноположительного вывода. В статье следует искать: указана ли смена точки явно, обоснована ли она и датирована ли до раскрытия данных, приведены ли результаты по исходной первичной точке. Вывод: результат по беспрогрессивной выживаемости рассматривается как гипотезообразующий, а отсутствие данных по общей выживаемости — как существенное ограничение. Само по себе сопоставление публикации с записью в регистре должно стать привычкой при критическом чтении.</w:t>
      </w:r>
    </w:p>
    <w:p>
      <w:pPr>
        <w:spacing w:after="200" w:line="250"/>
      </w:pPr>
      <w:r>
        <w:rPr>
          <w:rFonts w:ascii="Times New Roman" w:cs="Times New Roman" w:eastAsia="Times New Roman" w:hAnsi="Times New Roman"/>
          <w:b w:val="false"/>
          <w:bCs w:val="false"/>
          <w:i w:val="false"/>
          <w:iCs w:val="false"/>
          <w:sz w:val="20"/>
          <w:szCs w:val="20"/>
        </w:rPr>
        <w:t xml:space="preserve">Источники: </w:t>
      </w:r>
      <w:hyperlink w:history="1" r:id="rIdp6xhck9x5r3kchhool_dx">
        <w:r>
          <w:rPr>
            <w:rStyle w:val="Hyperlink"/>
            <w:rFonts w:ascii="Times New Roman" w:cs="Times New Roman" w:eastAsia="Times New Roman" w:hAnsi="Times New Roman"/>
            <w:sz w:val="20"/>
            <w:szCs w:val="20"/>
          </w:rPr>
          <w:t xml:space="preserve">Систематическая ошибка публикации</w:t>
        </w:r>
      </w:hyperlink>
      <w:r>
        <w:rPr>
          <w:rFonts w:ascii="Times New Roman" w:cs="Times New Roman" w:eastAsia="Times New Roman" w:hAnsi="Times New Roman"/>
          <w:b w:val="false"/>
          <w:bCs w:val="false"/>
          <w:i w:val="false"/>
          <w:iCs w:val="false"/>
          <w:sz w:val="20"/>
          <w:szCs w:val="20"/>
        </w:rPr>
        <w:t xml:space="preserve"> · </w:t>
      </w:r>
      <w:hyperlink w:history="1" r:id="rId5qm-ezu8qrgw8bpmkis84">
        <w:r>
          <w:rPr>
            <w:rStyle w:val="Hyperlink"/>
            <w:rFonts w:ascii="Times New Roman" w:cs="Times New Roman" w:eastAsia="Times New Roman" w:hAnsi="Times New Roman"/>
            <w:sz w:val="20"/>
            <w:szCs w:val="20"/>
          </w:rPr>
          <w:t xml:space="preserve">CONSORT</w:t>
        </w:r>
      </w:hyperlink>
    </w:p>
    <w:p>
      <w:pPr>
        <w:pStyle w:val="Heading3"/>
        <w:spacing w:after="130" w:before="260"/>
      </w:pPr>
      <w:r>
        <w:rPr>
          <w:rFonts w:ascii="Times New Roman" w:cs="Times New Roman" w:eastAsia="Times New Roman" w:hAnsi="Times New Roman"/>
          <w:b/>
          <w:bCs/>
          <w:sz w:val="23"/>
          <w:szCs w:val="23"/>
        </w:rPr>
        <w:t xml:space="preserve">Задача 3. Досрочное прекращение</w:t>
      </w:r>
    </w:p>
    <w:p>
      <w:pPr>
        <w:spacing w:after="120" w:line="276"/>
      </w:pPr>
      <w:r>
        <w:rPr>
          <w:rFonts w:ascii="Times New Roman" w:cs="Times New Roman" w:eastAsia="Times New Roman" w:hAnsi="Times New Roman"/>
          <w:b w:val="false"/>
          <w:bCs w:val="false"/>
          <w:i w:val="false"/>
          <w:iCs w:val="false"/>
          <w:sz w:val="22"/>
          <w:szCs w:val="22"/>
        </w:rPr>
        <w:t xml:space="preserve">Исследование III фазы прекращено досрочно по рекомендации независимого комитета в связи с преимуществом исследуемого препарата на первом промежуточном анализе. Отношение рисков 0,55, число событий небольшое.</w:t>
      </w:r>
    </w:p>
    <w:p>
      <w:pPr>
        <w:spacing w:after="120" w:line="276"/>
      </w:pPr>
      <w:r>
        <w:rPr>
          <w:rFonts w:ascii="Times New Roman" w:cs="Times New Roman" w:eastAsia="Times New Roman" w:hAnsi="Times New Roman"/>
          <w:b/>
          <w:bCs/>
          <w:i w:val="false"/>
          <w:iCs w:val="false"/>
          <w:sz w:val="22"/>
          <w:szCs w:val="22"/>
        </w:rPr>
        <w:t xml:space="preserve">Вопросы: 1) Как трактовать? 2) В чём риск? 3) Что делать практически?</w:t>
      </w:r>
    </w:p>
    <w:p>
      <w:pPr>
        <w:spacing w:after="60" w:line="270"/>
      </w:pPr>
      <w:r>
        <w:rPr>
          <w:rFonts w:ascii="Times New Roman" w:cs="Times New Roman" w:eastAsia="Times New Roman" w:hAnsi="Times New Roman"/>
          <w:b w:val="false"/>
          <w:bCs w:val="false"/>
          <w:i/>
          <w:iCs/>
          <w:sz w:val="21"/>
          <w:szCs w:val="21"/>
        </w:rPr>
        <w:t xml:space="preserve">Эталонный ответ. Досрочное прекращение по эффективности этически обосновано, но статистически создаёт проблему: при малом числе событий эффект систематически переоценивается, и при полном наборе данных истинное отношение рисков обычно оказывается ближе к единице. Кроме того, короткое наблюдение не позволяет оценить отдалённую токсичность и стойкость эффекта. Практически: результат принимается, но с поправкой на вероятную переоценку; особое внимание уделяется данным по общей выживаемости и токсичности при последующих обновлённых публикациях, которые обязательно нужно отслеживать.</w:t>
      </w:r>
    </w:p>
    <w:p>
      <w:pPr>
        <w:spacing w:after="200" w:line="250"/>
      </w:pPr>
      <w:r>
        <w:rPr>
          <w:rFonts w:ascii="Times New Roman" w:cs="Times New Roman" w:eastAsia="Times New Roman" w:hAnsi="Times New Roman"/>
          <w:b w:val="false"/>
          <w:bCs w:val="false"/>
          <w:i w:val="false"/>
          <w:iCs w:val="false"/>
          <w:sz w:val="20"/>
          <w:szCs w:val="20"/>
        </w:rPr>
        <w:t xml:space="preserve">Источники: </w:t>
      </w:r>
      <w:hyperlink w:history="1" r:id="rIdmqoetts-fpknseocasdly">
        <w:r>
          <w:rPr>
            <w:rStyle w:val="Hyperlink"/>
            <w:rFonts w:ascii="Times New Roman" w:cs="Times New Roman" w:eastAsia="Times New Roman" w:hAnsi="Times New Roman"/>
            <w:sz w:val="20"/>
            <w:szCs w:val="20"/>
          </w:rPr>
          <w:t xml:space="preserve">ICH-GCP</w:t>
        </w:r>
      </w:hyperlink>
      <w:r>
        <w:rPr>
          <w:rFonts w:ascii="Times New Roman" w:cs="Times New Roman" w:eastAsia="Times New Roman" w:hAnsi="Times New Roman"/>
          <w:b w:val="false"/>
          <w:bCs w:val="false"/>
          <w:i w:val="false"/>
          <w:iCs w:val="false"/>
          <w:sz w:val="20"/>
          <w:szCs w:val="20"/>
        </w:rPr>
        <w:t xml:space="preserve"> · </w:t>
      </w:r>
      <w:hyperlink w:history="1" r:id="rId9cdhadavnj5hyajrggy1o">
        <w:r>
          <w:rPr>
            <w:rStyle w:val="Hyperlink"/>
            <w:rFonts w:ascii="Times New Roman" w:cs="Times New Roman" w:eastAsia="Times New Roman" w:hAnsi="Times New Roman"/>
            <w:sz w:val="20"/>
            <w:szCs w:val="20"/>
          </w:rPr>
          <w:t xml:space="preserve">CONSORT</w:t>
        </w:r>
      </w:hyperlink>
    </w:p>
    <w:p>
      <w:pPr>
        <w:pStyle w:val="Heading3"/>
        <w:spacing w:after="130" w:before="260"/>
      </w:pPr>
      <w:r>
        <w:rPr>
          <w:rFonts w:ascii="Times New Roman" w:cs="Times New Roman" w:eastAsia="Times New Roman" w:hAnsi="Times New Roman"/>
          <w:b/>
          <w:bCs/>
          <w:sz w:val="23"/>
          <w:szCs w:val="23"/>
        </w:rPr>
        <w:t xml:space="preserve">Задача 4. Корзинное исследование</w:t>
      </w:r>
    </w:p>
    <w:p>
      <w:pPr>
        <w:spacing w:after="120" w:line="276"/>
      </w:pPr>
      <w:r>
        <w:rPr>
          <w:rFonts w:ascii="Times New Roman" w:cs="Times New Roman" w:eastAsia="Times New Roman" w:hAnsi="Times New Roman"/>
          <w:b w:val="false"/>
          <w:bCs w:val="false"/>
          <w:i w:val="false"/>
          <w:iCs w:val="false"/>
          <w:sz w:val="22"/>
          <w:szCs w:val="22"/>
        </w:rPr>
        <w:t xml:space="preserve">У больного с редкой опухолью выявлено слияние гена, для которого зарегистрирован препарат при других нозологиях. Идёт корзинное исследование.</w:t>
      </w:r>
    </w:p>
    <w:p>
      <w:pPr>
        <w:spacing w:after="120" w:line="276"/>
      </w:pPr>
      <w:r>
        <w:rPr>
          <w:rFonts w:ascii="Times New Roman" w:cs="Times New Roman" w:eastAsia="Times New Roman" w:hAnsi="Times New Roman"/>
          <w:b/>
          <w:bCs/>
          <w:i w:val="false"/>
          <w:iCs w:val="false"/>
          <w:sz w:val="22"/>
          <w:szCs w:val="22"/>
        </w:rPr>
        <w:t xml:space="preserve">Вопросы: 1) В чём логика такого дизайна? 2) Каковы ограничения? 3) Что учесть?</w:t>
      </w:r>
    </w:p>
    <w:p>
      <w:pPr>
        <w:spacing w:after="60" w:line="270"/>
      </w:pPr>
      <w:r>
        <w:rPr>
          <w:rFonts w:ascii="Times New Roman" w:cs="Times New Roman" w:eastAsia="Times New Roman" w:hAnsi="Times New Roman"/>
          <w:b w:val="false"/>
          <w:bCs w:val="false"/>
          <w:i/>
          <w:iCs/>
          <w:sz w:val="21"/>
          <w:szCs w:val="21"/>
        </w:rPr>
        <w:t xml:space="preserve">Эталонный ответ. Логика корзинного дизайна в том, что молекулярная мишень может определять чувствительность сильнее, чем локализация опухоли; именно так получены тканенезависимые регистрации. Ограничение существенное: эффективность одной и той же мишени различается между нозологиями — классический пример с ингибиторами BRAF, высокоэффективными при меланоме и малоэффективными в монорежиме при колоректальном раке из-за реактивации EGFR. Поэтому каждая когорта анализируется отдельно, а малый размер когорт снижает надёжность выводов. Учесть следует доступность препарата, требования протокола к предшествующей терапии и возможность продолжения лечения после окончания исследования.</w:t>
      </w:r>
    </w:p>
    <w:p>
      <w:pPr>
        <w:spacing w:after="200" w:line="250"/>
      </w:pPr>
      <w:r>
        <w:rPr>
          <w:rFonts w:ascii="Times New Roman" w:cs="Times New Roman" w:eastAsia="Times New Roman" w:hAnsi="Times New Roman"/>
          <w:b w:val="false"/>
          <w:bCs w:val="false"/>
          <w:i w:val="false"/>
          <w:iCs w:val="false"/>
          <w:sz w:val="20"/>
          <w:szCs w:val="20"/>
        </w:rPr>
        <w:t xml:space="preserve">Источники: </w:t>
      </w:r>
      <w:hyperlink w:history="1" r:id="rIdrzmtazucqbktm7ciqj7r9">
        <w:r>
          <w:rPr>
            <w:rStyle w:val="Hyperlink"/>
            <w:rFonts w:ascii="Times New Roman" w:cs="Times New Roman" w:eastAsia="Times New Roman" w:hAnsi="Times New Roman"/>
            <w:sz w:val="20"/>
            <w:szCs w:val="20"/>
          </w:rPr>
          <w:t xml:space="preserve">Корзинные, зонтичные и платформенные дизайны</w:t>
        </w:r>
      </w:hyperlink>
      <w:r>
        <w:rPr>
          <w:rFonts w:ascii="Times New Roman" w:cs="Times New Roman" w:eastAsia="Times New Roman" w:hAnsi="Times New Roman"/>
          <w:b w:val="false"/>
          <w:bCs w:val="false"/>
          <w:i w:val="false"/>
          <w:iCs w:val="false"/>
          <w:sz w:val="20"/>
          <w:szCs w:val="20"/>
        </w:rPr>
        <w:t xml:space="preserve"> · </w:t>
      </w:r>
      <w:hyperlink w:history="1" r:id="rIddyy6emnz5vsfibvn11sjh">
        <w:r>
          <w:rPr>
            <w:rStyle w:val="Hyperlink"/>
            <w:rFonts w:ascii="Times New Roman" w:cs="Times New Roman" w:eastAsia="Times New Roman" w:hAnsi="Times New Roman"/>
            <w:sz w:val="20"/>
            <w:szCs w:val="20"/>
          </w:rPr>
          <w:t xml:space="preserve">ClinicalTrials.gov</w:t>
        </w:r>
      </w:hyperlink>
    </w:p>
    <w:p>
      <w:pPr>
        <w:pStyle w:val="Heading2"/>
        <w:spacing w:after="130" w:before="260"/>
      </w:pPr>
      <w:r>
        <w:rPr>
          <w:rFonts w:ascii="Times New Roman" w:cs="Times New Roman" w:eastAsia="Times New Roman" w:hAnsi="Times New Roman"/>
          <w:b/>
          <w:bCs/>
          <w:sz w:val="26"/>
          <w:szCs w:val="26"/>
        </w:rPr>
        <w:t xml:space="preserve">Б3. Дополнительные материалы</w:t>
      </w:r>
    </w:p>
    <w:p>
      <w:pPr>
        <w:pStyle w:val="Heading3"/>
        <w:spacing w:after="130" w:before="260"/>
      </w:pPr>
      <w:r>
        <w:rPr>
          <w:rFonts w:ascii="Times New Roman" w:cs="Times New Roman" w:eastAsia="Times New Roman" w:hAnsi="Times New Roman"/>
          <w:b/>
          <w:bCs/>
          <w:sz w:val="23"/>
          <w:szCs w:val="23"/>
        </w:rPr>
        <w:t xml:space="preserve">Вопросы для устного разбора</w:t>
      </w:r>
    </w:p>
    <w:p>
      <w:pPr>
        <w:pStyle w:val="ListParagraph"/>
        <w:numPr>
          <w:ilvl w:val="0"/>
          <w:numId w:val="1"/>
        </w:numPr>
        <w:spacing w:after="60" w:line="276"/>
      </w:pPr>
      <w:r>
        <w:rPr>
          <w:rFonts w:ascii="Times New Roman" w:cs="Times New Roman" w:eastAsia="Times New Roman" w:hAnsi="Times New Roman"/>
          <w:b w:val="false"/>
          <w:bCs w:val="false"/>
          <w:i w:val="false"/>
          <w:iCs w:val="false"/>
          <w:sz w:val="22"/>
          <w:szCs w:val="22"/>
        </w:rPr>
        <w:t xml:space="preserve">Почему максимально переносимая доза не всегда оптимальна?</w:t>
      </w:r>
    </w:p>
    <w:p>
      <w:pPr>
        <w:pStyle w:val="ListParagraph"/>
        <w:numPr>
          <w:ilvl w:val="0"/>
          <w:numId w:val="1"/>
        </w:numPr>
        <w:spacing w:after="60" w:line="276"/>
      </w:pPr>
      <w:r>
        <w:rPr>
          <w:rFonts w:ascii="Times New Roman" w:cs="Times New Roman" w:eastAsia="Times New Roman" w:hAnsi="Times New Roman"/>
          <w:b w:val="false"/>
          <w:bCs w:val="false"/>
          <w:i w:val="false"/>
          <w:iCs w:val="false"/>
          <w:sz w:val="22"/>
          <w:szCs w:val="22"/>
        </w:rPr>
        <w:t xml:space="preserve">Как распознать терапевтическое заблуждение у пациента и что с ним делать?</w:t>
      </w:r>
    </w:p>
    <w:p>
      <w:pPr>
        <w:pStyle w:val="ListParagraph"/>
        <w:numPr>
          <w:ilvl w:val="0"/>
          <w:numId w:val="1"/>
        </w:numPr>
        <w:spacing w:after="60" w:line="276"/>
      </w:pPr>
      <w:r>
        <w:rPr>
          <w:rFonts w:ascii="Times New Roman" w:cs="Times New Roman" w:eastAsia="Times New Roman" w:hAnsi="Times New Roman"/>
          <w:b w:val="false"/>
          <w:bCs w:val="false"/>
          <w:i w:val="false"/>
          <w:iCs w:val="false"/>
          <w:sz w:val="22"/>
          <w:szCs w:val="22"/>
        </w:rPr>
        <w:t xml:space="preserve">Почему сопоставление публикации с зарегистрированным протоколом должно стать привычкой?</w:t>
      </w:r>
    </w:p>
    <w:p>
      <w:pPr>
        <w:pStyle w:val="ListParagraph"/>
        <w:numPr>
          <w:ilvl w:val="0"/>
          <w:numId w:val="1"/>
        </w:numPr>
        <w:spacing w:after="60" w:line="276"/>
      </w:pPr>
      <w:r>
        <w:rPr>
          <w:rFonts w:ascii="Times New Roman" w:cs="Times New Roman" w:eastAsia="Times New Roman" w:hAnsi="Times New Roman"/>
          <w:b w:val="false"/>
          <w:bCs w:val="false"/>
          <w:i w:val="false"/>
          <w:iCs w:val="false"/>
          <w:sz w:val="22"/>
          <w:szCs w:val="22"/>
        </w:rPr>
        <w:t xml:space="preserve">В каких ситуациях внешняя контрольная группа допустима?</w:t>
      </w:r>
    </w:p>
    <w:p>
      <w:pPr>
        <w:pStyle w:val="Heading3"/>
        <w:spacing w:after="130" w:before="260"/>
      </w:pPr>
      <w:r>
        <w:rPr>
          <w:rFonts w:ascii="Times New Roman" w:cs="Times New Roman" w:eastAsia="Times New Roman" w:hAnsi="Times New Roman"/>
          <w:b/>
          <w:bCs/>
          <w:sz w:val="23"/>
          <w:szCs w:val="23"/>
        </w:rPr>
        <w:t xml:space="preserve">Чек-лист по теме (для дневника ординатора)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Навык</w:t>
            </w:r>
          </w:p>
        </w:tc>
        <w:tc>
          <w:tcPr>
            <w:tcW w:type="dxa" w:w="416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Отметка</w:t>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Прочитал протокол исследования в регистре и сопоставил его с публикацией</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Провёл беседу об участии в исследовании с проверкой понимания пациентом</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Разобрал на журнальном клубе исследование с обсуждением дизайна и ограничений</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Подобрал больному подходящее клиническое исследование по критериям включения</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bl>
    <w:p>
      <w:pPr>
        <w:spacing w:after="120" w:line="276"/>
      </w:pPr>
      <w:r>
        <w:rPr>
          <w:rFonts w:ascii="Times New Roman" w:cs="Times New Roman" w:eastAsia="Times New Roman" w:hAnsi="Times New Roman"/>
          <w:b w:val="false"/>
          <w:bCs w:val="false"/>
          <w:i w:val="false"/>
          <w:iCs w:val="false"/>
          <w:sz w:val="22"/>
          <w:szCs w:val="22"/>
        </w:rPr>
        <w:t xml:space="preserve"/>
      </w:r>
    </w:p>
    <w:p>
      <w:pPr>
        <w:spacing w:after="120" w:line="276"/>
      </w:pPr>
      <w:r>
        <w:rPr>
          <w:rFonts w:ascii="Times New Roman" w:cs="Times New Roman" w:eastAsia="Times New Roman" w:hAnsi="Times New Roman"/>
          <w:b w:val="false"/>
          <w:bCs w:val="false"/>
          <w:i/>
          <w:iCs/>
          <w:sz w:val="22"/>
          <w:szCs w:val="22"/>
        </w:rPr>
        <w:t xml:space="preserve">Материал подготовлен по состоянию на август 2026 г. Перед началом учебного года проверить актуальность редакций клинических рекомендаций и работоспособность ссылок.</w:t>
      </w:r>
    </w:p>
    <w:sectPr>
      <w:pgSz w:w="11906" w:h="16838" w:orient="portrait"/>
      <w:pgMar w:top="1000" w:right="9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0"/>
      <w:szCs w:val="30"/>
    </w:rPr>
  </w:style>
  <w:style w:type="paragraph" w:styleId="Heading2">
    <w:name w:val="Heading 2"/>
    <w:basedOn w:val="Normal"/>
    <w:next w:val="Normal"/>
    <w:qFormat/>
    <w:rPr>
      <w:rFonts w:ascii="Times New Roman" w:cs="Times New Roman" w:eastAsia="Times New Roman" w:hAnsi="Times New Roman"/>
      <w:b/>
      <w:bCs/>
      <w:color w:val="2E5496"/>
      <w:sz w:val="26"/>
      <w:szCs w:val="26"/>
    </w:rPr>
  </w:style>
  <w:style w:type="paragraph" w:styleId="Heading3">
    <w:name w:val="Heading 3"/>
    <w:basedOn w:val="Normal"/>
    <w:next w:val="Normal"/>
    <w:qFormat/>
    <w:rPr>
      <w:rFonts w:ascii="Times New Roman" w:cs="Times New Roman" w:eastAsia="Times New Roman" w:hAnsi="Times New Roman"/>
      <w:b/>
      <w:bCs/>
      <w:color w:val="2E549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pyf1rczvenjjae5bij9r" Type="http://schemas.openxmlformats.org/officeDocument/2006/relationships/hyperlink" Target="https://pubmed.ncbi.nlm.nih.gov/?term=ICH+GCP+E6+good+clinical+practice+revision" TargetMode="External"/><Relationship Id="rIdwooh97xl_mlgusnunwyph" Type="http://schemas.openxmlformats.org/officeDocument/2006/relationships/hyperlink" Target="https://pubmed.ncbi.nlm.nih.gov/?term=Declaration+of+Helsinki+2024+revision" TargetMode="External"/><Relationship Id="rId8h-xltq3-vwwliwv_-9ng" Type="http://schemas.openxmlformats.org/officeDocument/2006/relationships/hyperlink" Target="https://clinicaltrials.gov/" TargetMode="External"/><Relationship Id="rIdclhn5dlue2grk4p2zkrx3" Type="http://schemas.openxmlformats.org/officeDocument/2006/relationships/hyperlink" Target="https://pubmed.ncbi.nlm.nih.gov/?term=CONSORT+2025+statement+randomised+trials" TargetMode="External"/><Relationship Id="rIdoiddl_lzgxrnyewnbnhvj" Type="http://schemas.openxmlformats.org/officeDocument/2006/relationships/hyperlink" Target="https://pubmed.ncbi.nlm.nih.gov/?term=Project+Optimus+dose+optimization+oncology+FDA" TargetMode="External"/><Relationship Id="rIdkgpjm2fsg_ne0pwipxcbg" Type="http://schemas.openxmlformats.org/officeDocument/2006/relationships/hyperlink" Target="https://pubmed.ncbi.nlm.nih.gov/?term=basket+umbrella+platform+trial+design+oncology" TargetMode="External"/><Relationship Id="rIdsnvkvb7on3yuk4gewzijv" Type="http://schemas.openxmlformats.org/officeDocument/2006/relationships/hyperlink" Target="https://pubmed.ncbi.nlm.nih.gov/?term=adaptive+design+clinical+trials+oncology+guidance" TargetMode="External"/><Relationship Id="rIdpf2zr6rchsi0qtzjjlmwf" Type="http://schemas.openxmlformats.org/officeDocument/2006/relationships/hyperlink" Target="https://pubmed.ncbi.nlm.nih.gov/?term=real-world+evidence+external+control+arm+oncology+regulatory" TargetMode="External"/><Relationship Id="rIdc6iuba09fuxjwn6hdsjnm" Type="http://schemas.openxmlformats.org/officeDocument/2006/relationships/hyperlink" Target="https://pubmed.ncbi.nlm.nih.gov/?term=publication+bias+outcome+reporting+bias+clinical+trials" TargetMode="External"/><Relationship Id="rIdermocl8vmdnegbstkplmc" Type="http://schemas.openxmlformats.org/officeDocument/2006/relationships/hyperlink" Target="https://pubmed.ncbi.nlm.nih.gov/?term=Project+Optimus+dose+optimization+oncology+FDA" TargetMode="External"/><Relationship Id="rIda32trf6zi4r3ihfbl4gqb" Type="http://schemas.openxmlformats.org/officeDocument/2006/relationships/hyperlink" Target="https://pubmed.ncbi.nlm.nih.gov/?term=CONSORT+2025+statement+randomised+trials" TargetMode="External"/><Relationship Id="rIdujmvxa3n4bnlphcslfonl" Type="http://schemas.openxmlformats.org/officeDocument/2006/relationships/hyperlink" Target="https://pubmed.ncbi.nlm.nih.gov/?term=CONSORT+2025+statement+randomised+trials" TargetMode="External"/><Relationship Id="rIdcgmy6ksxozeebhd2lxagr" Type="http://schemas.openxmlformats.org/officeDocument/2006/relationships/hyperlink" Target="https://pubmed.ncbi.nlm.nih.gov/?term=real-world+evidence+external+control+arm+oncology+regulatory" TargetMode="External"/><Relationship Id="rId16psdrsxj4altrt6zptnm" Type="http://schemas.openxmlformats.org/officeDocument/2006/relationships/hyperlink" Target="https://pubmed.ncbi.nlm.nih.gov/?term=basket+umbrella+platform+trial+design+oncology" TargetMode="External"/><Relationship Id="rIdpbkmavuo0maorxnxhan3a" Type="http://schemas.openxmlformats.org/officeDocument/2006/relationships/hyperlink" Target="https://pubmed.ncbi.nlm.nih.gov/?term=adaptive+design+clinical+trials+oncology+guidance" TargetMode="External"/><Relationship Id="rIdfotrnnvun6yd8dxv8tw6t" Type="http://schemas.openxmlformats.org/officeDocument/2006/relationships/hyperlink" Target="https://www.youtube.com/watch?v=XU3Jz-urfhw" TargetMode="External"/><Relationship Id="rIdiztu4fzsx9ponxw9dmhew" Type="http://schemas.openxmlformats.org/officeDocument/2006/relationships/hyperlink" Target="https://www.youtube.com/watch?v=i1oEBNZJal0" TargetMode="External"/><Relationship Id="rIdne5vyy_bys3inkvdesfyg" Type="http://schemas.openxmlformats.org/officeDocument/2006/relationships/hyperlink" Target="https://www.rosoncoweb.ru/events/2017/07/13/archive/" TargetMode="External"/><Relationship Id="rIdnu3moynmtd-a-qeirf9y-" Type="http://schemas.openxmlformats.org/officeDocument/2006/relationships/hyperlink" Target="https://www.rosoncoweb.ru/events/2022/12/02/video/" TargetMode="External"/><Relationship Id="rIduapfq5tf567qek9im11dy" Type="http://schemas.openxmlformats.org/officeDocument/2006/relationships/hyperlink" Target="https://www.rosoncoweb.ru/events/2025/06/20-21/" TargetMode="External"/><Relationship Id="rIdpg5wvp6eh02bcgjt7t6ck" Type="http://schemas.openxmlformats.org/officeDocument/2006/relationships/hyperlink" Target="https://oncologypro.esmo.org/esmo-e-learning" TargetMode="External"/><Relationship Id="rId6n1rm8tlzy_mp0lzekgmj" Type="http://schemas.openxmlformats.org/officeDocument/2006/relationships/hyperlink" Target="https://www.rosoncoweb.ru/events/archive/" TargetMode="External"/><Relationship Id="rIdfss9nxndnkg6gavkvzfvp" Type="http://schemas.openxmlformats.org/officeDocument/2006/relationships/hyperlink" Target="https://www.rosoncoweb.ru/events/webinar/archive/" TargetMode="External"/><Relationship Id="rIdocugos8inlfx4lch8zsb0" Type="http://schemas.openxmlformats.org/officeDocument/2006/relationships/hyperlink" Target="https://pubmed.ncbi.nlm.nih.gov/?term=Project+Optimus+dose+optimization+oncology+FDA" TargetMode="External"/><Relationship Id="rIdecpuswa3dic5scxiz84ms" Type="http://schemas.openxmlformats.org/officeDocument/2006/relationships/hyperlink" Target="https://pubmed.ncbi.nlm.nih.gov/?term=Project+Optimus+dose+optimization+oncology+FDA" TargetMode="External"/><Relationship Id="rIdri_zfipjwegb2ag56tk6b" Type="http://schemas.openxmlformats.org/officeDocument/2006/relationships/hyperlink" Target="https://pubmed.ncbi.nlm.nih.gov/?term=basket+umbrella+platform+trial+design+oncology" TargetMode="External"/><Relationship Id="rIdh8uytfburwqazl6xmgyfu" Type="http://schemas.openxmlformats.org/officeDocument/2006/relationships/hyperlink" Target="https://pubmed.ncbi.nlm.nih.gov/?term=ICH+GCP+E6+good+clinical+practice+revision" TargetMode="External"/><Relationship Id="rIdkql9i8oq87lvzm95et_s0" Type="http://schemas.openxmlformats.org/officeDocument/2006/relationships/hyperlink" Target="https://pubmed.ncbi.nlm.nih.gov/?term=Declaration+of+Helsinki+2024+revision" TargetMode="External"/><Relationship Id="rId_qsvgjb7pkdywimxx4qum" Type="http://schemas.openxmlformats.org/officeDocument/2006/relationships/hyperlink" Target="https://pubmed.ncbi.nlm.nih.gov/?term=Declaration+of+Helsinki+2024+revision" TargetMode="External"/><Relationship Id="rIdxqlgkjb-xxakizhincwyi" Type="http://schemas.openxmlformats.org/officeDocument/2006/relationships/hyperlink" Target="https://pubmed.ncbi.nlm.nih.gov/?term=CONSORT+2025+statement+randomised+trials" TargetMode="External"/><Relationship Id="rIdyrdqyo--fmcoul-hrdimt" Type="http://schemas.openxmlformats.org/officeDocument/2006/relationships/hyperlink" Target="https://pubmed.ncbi.nlm.nih.gov/?term=publication+bias+outcome+reporting+bias+clinical+trials" TargetMode="External"/><Relationship Id="rId3m-g922ral5jwl98ly8-c" Type="http://schemas.openxmlformats.org/officeDocument/2006/relationships/hyperlink" Target="https://pubmed.ncbi.nlm.nih.gov/?term=real-world+evidence+external+control+arm+oncology+regulatory" TargetMode="External"/><Relationship Id="rIdxa7ibmosmj69gx7__x4wo" Type="http://schemas.openxmlformats.org/officeDocument/2006/relationships/hyperlink" Target="https://pubmed.ncbi.nlm.nih.gov/?term=CONSORT+2025+statement+randomised+trials" TargetMode="External"/><Relationship Id="rId1uhb9tlmj7pavoy18h1xk" Type="http://schemas.openxmlformats.org/officeDocument/2006/relationships/hyperlink" Target="https://pubmed.ncbi.nlm.nih.gov/?term=Declaration+of+Helsinki+2024+revision" TargetMode="External"/><Relationship Id="rId6otv1robwozz3dll_akyy" Type="http://schemas.openxmlformats.org/officeDocument/2006/relationships/hyperlink" Target="https://clinicaltrials.gov/" TargetMode="External"/><Relationship Id="rIdp6xhck9x5r3kchhool_dx" Type="http://schemas.openxmlformats.org/officeDocument/2006/relationships/hyperlink" Target="https://pubmed.ncbi.nlm.nih.gov/?term=publication+bias+outcome+reporting+bias+clinical+trials" TargetMode="External"/><Relationship Id="rId5qm-ezu8qrgw8bpmkis84" Type="http://schemas.openxmlformats.org/officeDocument/2006/relationships/hyperlink" Target="https://pubmed.ncbi.nlm.nih.gov/?term=CONSORT+2025+statement+randomised+trials" TargetMode="External"/><Relationship Id="rIdmqoetts-fpknseocasdly" Type="http://schemas.openxmlformats.org/officeDocument/2006/relationships/hyperlink" Target="https://pubmed.ncbi.nlm.nih.gov/?term=ICH+GCP+E6+good+clinical+practice+revision" TargetMode="External"/><Relationship Id="rId9cdhadavnj5hyajrggy1o" Type="http://schemas.openxmlformats.org/officeDocument/2006/relationships/hyperlink" Target="https://pubmed.ncbi.nlm.nih.gov/?term=CONSORT+2025+statement+randomised+trials" TargetMode="External"/><Relationship Id="rIdrzmtazucqbktm7ciqj7r9" Type="http://schemas.openxmlformats.org/officeDocument/2006/relationships/hyperlink" Target="https://pubmed.ncbi.nlm.nih.gov/?term=basket+umbrella+platform+trial+design+oncology" TargetMode="External"/><Relationship Id="rIddyy6emnz5vsfibvn11sjh" Type="http://schemas.openxmlformats.org/officeDocument/2006/relationships/hyperlink" Target="https://clinicaltrials.gov/" TargetMode="External"/><Relationship Id="rId48" Type="http://schemas.openxmlformats.org/officeDocument/2006/relationships/fontTable" Target="fontTable.xml"/><Relationship Id="rId7" Type="http://schemas.openxmlformats.org/officeDocument/2006/relationships/hyperlink" Target="https://www.ema.europa.eu/en/ich-e6-good-clinical-practice-scientific-guideline" TargetMode="External"/><Relationship Id="rId8" Type="http://schemas.openxmlformats.org/officeDocument/2006/relationships/hyperlink" Target="https://www.wma.net/what-we-do/medical-ethics/declaration-of-helsinki/" TargetMode="External"/><Relationship Id="rId9" Type="http://schemas.openxmlformats.org/officeDocument/2006/relationships/hyperlink" Target="https://www.bmj.com/content/389/bmj-2024-081123" TargetMode="External"/><Relationship Id="rId10" Type="http://schemas.openxmlformats.org/officeDocument/2006/relationships/hyperlink" Target="https://www.bmj.com/content/389/bmj-2024-081477"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Методология клинических исследований</dc:title>
  <dc:creator>Кафедра онкологии ИУВ НМХЦ им. Н.И. Пирогова</dc:creator>
  <cp:lastModifiedBy>Un-named</cp:lastModifiedBy>
  <cp:revision>1</cp:revision>
  <dcterms:created xsi:type="dcterms:W3CDTF">2026-08-27T09:34:18.536Z</dcterms:created>
  <dcterms:modified xsi:type="dcterms:W3CDTF">2026-08-27T09:34:18.536Z</dcterms:modified>
</cp:coreProperties>
</file>

<file path=docProps/custom.xml><?xml version="1.0" encoding="utf-8"?>
<Properties xmlns="http://schemas.openxmlformats.org/officeDocument/2006/custom-properties" xmlns:vt="http://schemas.openxmlformats.org/officeDocument/2006/docPropsVTypes"/>
</file>