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Кафедра онкологии ИУВ ФГБУ «НМХЦ им. Н.И. Пирогова» Минздрава России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УЧЕБНЫЙ МОДУЛЬ М-38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Рак ободочной кишки: ранние стадии и адъювантная терапия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Лекция 24.02.2027 · Федянин М.Ю. · раздел «Частная онкология, ч. 1»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Все ссылки активны. Адъювантная терапия рака ободочной кишки — область, где главные вопросы касаются не выбора препарата, а отбора больных: кого лечить, как долго и как не перелечить. Статус системы репарации неспаренных оснований и молекулярная остаточная болезнь меняют ответы на эти вопросы.</w:t>
      </w:r>
    </w:p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А. Библиотека материалов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А1. Рекомендации и нормативные документы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4500"/>
        <w:gridCol w:w="2760"/>
      </w:tblGrid>
      <w:tr>
        <w:trPr>
          <w:tblHeader/>
        </w:trPr>
        <w:tc>
          <w:tcPr>
            <w:tcW w:type="dxa" w:w="21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45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даёт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Клинические рекомендации Минздрава России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Юридическое основание диагностики, лечения и наблюдения.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6nsgkvynixbvw92xc7xz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cr.minzdrav.gov.ru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ESMO Clinical Practice Guidelines: рак ободочной кишки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Алгоритмы по стадиям и факторам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itendocqi18xgf6zpden8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NCCN Guidelines: Colon Cancer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Блок-схемы по стадиям.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jvehhvpq-_tvpq6ux3jly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nccn.org/guidelines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Практические рекомендации RUSSCO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Лекарственное лечение рака ободочной кишки.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rwu3ynhufetwsxty2qu12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rosoncoweb.ru/standarts/RUSSCO</w:t>
              </w:r>
            </w:hyperlink>
          </w:p>
        </w:tc>
      </w:tr>
      <w:tr>
        <w:tc>
          <w:tcPr>
            <w:tcW w:type="dxa" w:w="21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Рекомендации по тестированию системы репарации неспаренных оснований</w:t>
            </w:r>
          </w:p>
        </w:tc>
        <w:tc>
          <w:tcPr>
            <w:tcW w:type="dxa" w:w="45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Обязательное определение статуса MMR/MSI при всех случаях колоректального рака.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zi9u2mlfjezcnt241yjug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ESMO Clinical Practice Guidelines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А2. Обзоры и справочные ресурсы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a64uyaj5q8lc2avj8vlxz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Значение микросателлитной нестабильности при II стадии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при MSI-H фторпиримидин в монорежиме не только бесполезен, но и потенциально вреден.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176nlav_m0mivc1rc60zp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PDQ® — рак ободочной кишки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свободный доступ.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jbjgemywhi0cyg_rpqvch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ClinicalTrials.gov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исследования по молекулярной остаточной болезни.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А3. Ключевые исследования и работы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Классика адъювантной терапии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MOSAIC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оксалиплатина к фторпиримидину при III стадии улучшает безрецидивную и общую выживаемость. Установило FOLFOX стандартом адъювантной терапии.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rorx633tbzabidmlmbql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IDEA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Объединённый анализ шести исследований: при III стадии низкого риска (T1–3N1) три месяца режима CAPOX не уступают шести при существенно меньшей нейротоксичности; при высоком риске (T4 или N2) шесть месяцев предпочтительнее. Пример деэскалации, основанной на стратификации риска.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ksifc_tdtop9elkxdt5gc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Иммунотерапия при дефиците системы репарации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ATOMIC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Добавление атезолизумаба к адъювантной химиотерапии при dMMR раке ободочной кишки III стадии улучшает безрецидивную выживаемость. Иммунотерапия входит в адъювантный этап.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uh-djcjbnztsssmagkvw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NICHE-2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Короткая неоадъювантная иммунотерапия при локализованном dMMR раке ободочной кишки даёт крайне высокую частоту глубокого патоморфологического ответа, включая полные ответы у большинства больных. Открывает перспективу органосохранения.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yuszx92p9-8hqzssowjex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Данные по MSI-H при II стадии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При MSI-H и II стадии прогноз благоприятный, а адъювантная терапия фторпиримидином в монорежиме не приносит пользы и может ухудшать исход.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twzpkmgga1vzvhtil0sod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Молекулярная остаточная болезнь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700"/>
        <w:gridCol w:w="2760"/>
      </w:tblGrid>
      <w:tr>
        <w:trPr>
          <w:tblHeader/>
        </w:trPr>
        <w:tc>
          <w:tcPr>
            <w:tcW w:type="dxa" w:w="19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Исследование / работа</w:t>
            </w:r>
          </w:p>
        </w:tc>
        <w:tc>
          <w:tcPr>
            <w:tcW w:type="dxa" w:w="47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Что показало</w:t>
            </w:r>
          </w:p>
        </w:tc>
        <w:tc>
          <w:tcPr>
            <w:tcW w:type="dxa" w:w="27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Ссылка</w:t>
            </w:r>
          </w:p>
        </w:tc>
      </w:tr>
      <w:tr>
        <w:tc>
          <w:tcPr>
            <w:tcW w:type="dxa" w:w="19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DYNAMIC</w:t>
            </w:r>
          </w:p>
        </w:tc>
        <w:tc>
          <w:tcPr>
            <w:tcW w:type="dxa" w:w="47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Тактика, основанная на определении циркулирующей опухолевой ДНК после операции при II стадии, позволила существенно сократить назначение адъювантной химиотерапии без ухудшения выживаемости. Первое рандомизированное подтверждение клинической пользы такого подхода при солидной опухоли.</w:t>
            </w:r>
          </w:p>
        </w:tc>
        <w:tc>
          <w:tcPr>
            <w:tcW w:type="dxa" w:w="27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hyperlink w:history="1" r:id="rIdshit05qiyjmfx4nw9auh0">
              <w:r>
                <w:rPr>
                  <w:rStyle w:val="Hyperlink"/>
                  <w:rFonts w:ascii="Times New Roman" w:cs="Times New Roman" w:eastAsia="Times New Roman" w:hAnsi="Times New Roman"/>
                  <w:sz w:val="19"/>
                  <w:szCs w:val="19"/>
                </w:rPr>
                <w:t xml:space="preserve">PubMed</w:t>
              </w:r>
            </w:hyperlink>
          </w:p>
        </w:tc>
      </w:tr>
    </w:tbl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А4. Лекции и видеоматериалы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_rqw0pp8j_rk2xthomyju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XII Конференция RUSSCO «Опухоли ЖКТ», 19–20.02.2026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ewws6ololhx8iu0zyvw6g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XI Конференция RUSSCO «Опухоли ЖКТ», 30–31.01.2025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видеозаписи всех докладов конференции.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0rkuttqomowixkje-pb3n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ESMO E-Learning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модули с тестами и баллами CME.</w:t>
      </w:r>
    </w:p>
    <w:p>
      <w:pPr>
        <w:pStyle w:val="ListParagraph"/>
        <w:numPr>
          <w:ilvl w:val="0"/>
          <w:numId w:val="1"/>
        </w:numPr>
        <w:spacing w:after="60" w:line="276"/>
      </w:pPr>
      <w:hyperlink w:history="1" r:id="rIdpqty5b0iftz4lfmcaij_d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Полный видеоархив конференций RUSSCO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· </w:t>
      </w:r>
      <w:hyperlink w:history="1" r:id="rIdakj_rxrdjlg2f75imoc32">
        <w:r>
          <w:rPr>
            <w:rStyle w:val="Hyperlink"/>
            <w:rFonts w:ascii="Times New Roman" w:cs="Times New Roman" w:eastAsia="Times New Roman" w:hAnsi="Times New Roman"/>
            <w:sz w:val="22"/>
            <w:szCs w:val="22"/>
          </w:rPr>
          <w:t xml:space="preserve">архив вебинаров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 — если нужной темы нет в списке выше.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Ссылки на лекции сотрудников кафедры по этой теме собираются отдельно — пришлите названия докладов или ссылки на записи, добавлю в модуль.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А5. О переводе англоязычных работ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Полный перевод статей и рекомендаций публиковать нельзя — это нарушение авторских прав издателей. Законное решение: русскоязычная аннотация на 3–5 предложений (дизайн, популяция, конечные точки, результат, что меняет в практике) плюс активная ссылка на оригинал. Именно так оформлены таблицы выше. Для документов с официальным русским переводом приоритет отдаётся рекомендациям RUSSCO и КР Минздрава.</w:t>
      </w:r>
    </w:p>
    <w:p>
      <w:r>
        <w:br w:type="page"/>
      </w:r>
    </w:p>
    <w:p>
      <w:r>
        <w:rPr>
          <w:b/>
          <w:sz w:val="22"/>
        </w:rPr>
        <w:t>А6. Актуализация источников и стандартов — 2026</w:t>
      </w:r>
    </w:p>
    <w:p>
      <w:r>
        <w:rPr>
          <w:b/>
        </w:rPr>
        <w:t xml:space="preserve">ATOMIC phase III, atezolizumab + mFOLFOX6 in stage III dMMR colon cancer (2026). </w:t>
      </w:r>
      <w:r>
        <w:t xml:space="preserve">Текущий вопрос ATOMIC усилить финальной публикацией: 3-летняя DFS 86,3% против 76,2%, HR 0,50; одновременно показать рост токсичности 3–4 степени. </w:t>
      </w:r>
      <w:hyperlink r:id="rId7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DYNAMIC-III ctDNA-guided adjuvant therapy (2025). </w:t>
      </w:r>
      <w:r>
        <w:t xml:space="preserve">После положительного учебного примера DYNAMIC при II стадии обязательно добавить ограничение: в III стадии ctDNA-guided de-escalation в DYNAMIC-III не достигла критерия не меньшей эффективности, а эскалация не улучшила исходы. </w:t>
      </w:r>
      <w:hyperlink r:id="rId8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ESMO Express Update: structured exercise after localised colon cancer (2026). </w:t>
      </w:r>
      <w:r>
        <w:t xml:space="preserve">Добавить новый учебный блок: после резекции III или high-risk II стадии структурированная программа физических упражнений теперь включена ESMO в рекомендации на основании данных CHALLENGE. </w:t>
      </w:r>
      <w:hyperlink r:id="rId9">
        <w:r>
          <w:rPr>
            <w:color w:val="0563C1"/>
            <w:u w:val="single"/>
          </w:rPr>
          <w:t>Открыть источник</w:t>
        </w:r>
      </w:hyperlink>
    </w:p>
    <w:p>
      <w:r>
        <w:rPr>
          <w:b/>
        </w:rPr>
        <w:t xml:space="preserve">ASCO guideline update for stage II colon cancer. </w:t>
      </w:r>
      <w:r>
        <w:t xml:space="preserve">Сохранить для факторов высокого риска II стадии и длительности CAPOX/FOLFOX; отдельно не приравнивать ctDNA к уже валидированному рутинному фактору выбора химиотерапии. </w:t>
      </w:r>
      <w:hyperlink r:id="rId10">
        <w:r>
          <w:rPr>
            <w:color w:val="0563C1"/>
            <w:u w:val="single"/>
          </w:rPr>
          <w:t>Открыть источник</w:t>
        </w:r>
      </w:hyperlink>
    </w:p>
    <w:p/>
    <w:p>
      <w:pPr>
        <w:pStyle w:val="Heading1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Блок Б. Проверочные материалы</w:t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Б1. Тестовые задания (10 вопросов)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Один лучший ответ. Формат приближен к экзаменационному стилю ESMO и RUSSCO. Пояснения предназначены для разбора после теста и для версии с автопроверкой на сайте.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 Стандарт адъювантной терапии при III стадии рака ободочной кишки: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Иринотекан-содержащий режим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Лучевая 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Фторпиримидин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Комбинация фторпиримидина с оксалиплатином; длительность 3 или 6 месяцев в зависимости от риска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MOSAIC установило преимущество добавления оксалиплатина. IDEA уточнило длительность: при T1–3N1 три месяца CAPOX не уступают шести при значительно меньшей нейротоксичности, при T4 или N2 предпочтительны шесть месяцев. Это редкий пример, когда качественный анализ позволил безопасно сократить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uh7hc9dy_8o9ogu3s7mp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MOSAIC · IDEA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2. Больной со II стадией рака ободочной кишки и MSI-H без факторов риска. Тактика: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Иммунотерапия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Наблюдение: прогноз благоприятный, а фторпиримидин в монорежиме пользы не приносит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Фторпиримидин в монорежиме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Адъювантный FOLFOX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MSI-H при II стадии — благоприятный прогностический фактор, и адъювантная монотерапия фторпиримидином в этой подгруппе не только бесполезна, но по ряду данных потенциально вредна. Поэтому определение статуса MMR обязательно при всех случаях колоректального рака, а не только при метастатическом.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7pnboljmwygtmvz_v5fmo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Данные по MSI-H при II стадии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3. Какие факторы высокого риска при II стадии рака ободочной кишки обсуждаются как основание для адъювантной терапии?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Пол больного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уровень РЭА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T4, низкая дифференцировка, лимфоваскулярная и периневральная инвазия, менее 12 исследованных лимфоузлов, перфорация или обструкция в дебюте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Абсолютный выигрыш адъювантной терапии при II стадии невелик, поэтому решение принимается по совокупности факторов риска и с учётом статуса MMR: при MSI-H терапия не показана даже при наличии некоторых из этих признаков. Недостаточное число исследованных лимфоузлов означает возможное занижение стадии.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0lzvzvoxi8rnubxxljyn5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4. Что показало исследование DYNAMIC?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Определение циркулирующей опухолевой ДНК после операции при II стадии позволило вдвое сократить назначение химиотерапии без ухудшения выживаемости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Химиотерапия показана всем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Адъювантная терапия не нужна никому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Циркулирующая ДНК неинформативна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Логика проста: лечить тех, у кого болезнь осталась, и не лечить тех, у кого её нет. Отрицательный результат после операции позволил безопасно отказаться от химиотерапии у значительной доли больных. Метод активно изучается при других стадиях и нозологиях, но пока не стал универсальным стандартом.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beitvyzuh9kpq7xesq-36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DYNAMIC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5. Что изменило исследование ATOMIC при dMMR раке ободочной кишки III стадии?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Показало неэффективность иммунотерапии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Показало улучшение безрецидивной выживаемости при добавлении атезолизумаба к адъювантной химиотерапии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Заменило операцию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Отменило химиотерапию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B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Дефицит системы репарации при локализованном раке ободочной кишки встречается примерно у 15 % больных. ATOMIC перенесло иммунотерапию из метастатической в адъювантную линию, а NICHE-2 показало впечатляющие результаты короткой неоадъювантной иммунотерапии, открывая перспективу органосохранения при этой подгруппе.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x9aietgjs1e2iy_nfm_ih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ATOMIC · NICHE-2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6. Минимальное число лимфоузлов, которое должно быть исследовано в препарате при раке ободочной кишки: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20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регламентировано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6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12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 меньшем числе возможно занижение стадии: часть больных с III стадией будет расценена как II и не получит показанную адъювантную терапию. В такой ситуации недостаточная лимфодиссекция сама расценивается как фактор риска, и решение принимается в пользу лечения.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dzgrs_g5xhknkntjumygs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7. Когда следует начинать адъювантную химиотерапию после радикальной операции?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Как правило, в течение 6–8 недель после операции; более позднее начало снижает эффективность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Через 3 месяца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 течение 2 недель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Сроки не имеют значения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Выигрыш от адъювантной терапии убывает с задержкой её начала. Оптимальный срок — до 6–8 недель; при осложнённом послеоперационном течении начало откладывается, но затягивание сверх 3 месяцев существенно снижает пользу. Это аргумент за то, чтобы направлять больного к химиотерапевту сразу после выписки, а не после планового визита к хирургу.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gyo4s5hq_xdembjbynihx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8. Наблюдение после радикального лечения рака ободочной кишки включает: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Регулярный контроль РЭА, КТ органов грудной клетки и брюшной полости и колоноскопию по графику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Только колоноскопию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Только КТ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Только осмотр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Цель наблюдения — выявление резектабельного рецидива или метастазов, а также метахронных опухолей и полипов. Колоноскопия обязательна: если до операции она не была выполнена полностью из-за обструкции, её проводят в первые месяцы после вмешательства. Интенсивность наблюдения имеет смысл только у больных, которым при выявлении рецидива будет предложено активное лечение.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o8tveyvl20i17vbllxmvp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9. Дефицит системы репарации при колоректальном раке требует дополнительного шага, потому что: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Определяет объём операции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Не требует ничего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Влияет только на прогноз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Может указывать на синдром Линча; при утрате MLH1/PMS2 необходимо исключить соматическую природу, при утрате MSH2/MSH6 — направить на генетическое консультирование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D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Примерно у части больных с dMMR причина герминальная. При утрате MLH1 и PMS2 исследуют метилирование промотора MLH1 и мутацию BRAF V600E: их наличие говорит против синдрома Линча. Утрата MSH2/MSH6 редко бывает соматической, и генетическое консультирование показано сразу. Выявление синдрома меняет наблюдение больного и судьбу его родственников.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i3bfyftkrwym1togtaz7-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10. Основное соображение при выборе длительности адъювантной терапии — 3 или 6 месяцев: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A. Баланс между риском рецидива и кумулятивной нейротоксичностью оксалиплатина, которая может остаться на годы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B. Предпочтения хирурга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C. Возраст</w:t>
      </w:r>
    </w:p>
    <w:p>
      <w:pPr>
        <w:spacing w:after="3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1"/>
          <w:szCs w:val="21"/>
        </w:rPr>
        <w:t xml:space="preserve">D. Стоимость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1"/>
          <w:szCs w:val="21"/>
        </w:rPr>
        <w:t xml:space="preserve">Правильный ответ: A</w:t>
      </w:r>
    </w:p>
    <w:p>
      <w:pPr>
        <w:spacing w:after="4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Пояснение. Нейропатия после шести месяцев оксалиплатина сохраняется у значительной части больных и заметно ухудшает качество жизни. IDEA показало, что при низком риске сокращение до трёх месяцев не ухудшает исход, поэтому решение принимается с явным обсуждением этого баланса с пациентом.</w:t>
      </w:r>
    </w:p>
    <w:p>
      <w:pPr>
        <w:spacing w:after="200" w:line="25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Источник: </w:t>
      </w:r>
      <w:hyperlink w:history="1" r:id="rIdewu6bmub0sryqedirgn3k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IDEA</w:t>
        </w:r>
      </w:hyperlink>
    </w:p>
    <w:p>
      <w:r>
        <w:br w:type="page"/>
      </w:r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Б2. Клинические задачи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1. II стадия: лечить или нет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66 лет, рак сигмовидной кишки pT3N0M0, исследовано 18 лимфоузлов, лимфоваскулярной и периневральной инвазии нет, дифференцировка умеренная. Статус MMR сохранён. Обсуждается адъювантная терапия.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Есть ли показания? 2) Что могло бы помочь решению? 3) Как обсудить с пациенткой?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Явных факторов высокого риска нет: T3, достаточное число исследованных узлов, отсутствие сосудистой и периневральной инвазии. Абсолютный выигрыш адъювантной терапии при такой II стадии составляет несколько процентов, и стандартный подход — наблюдение. Помочь решению могло бы определение циркулирующей опухолевой ДНК после операции: по данным DYNAMIC отрицательный результат позволяет безопасно воздержаться от химиотерапии, положительный — служит веским аргументом за неё. С пациенткой обсуждаются абсолютные цифры выигрыша и риска, выраженные в естественных частотах, и токсичность, прежде всего стойкая нейропатия. Отдельно объясняется, что отказ от химиотерапии здесь — не отказ от лечения, а обоснованное решение.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iunme8un8whmnwshftsq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DYNAMIC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uijmxdcigfbqvqvm3-h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2. III стадия низкого риска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71 года, рак восходящей ободочной кишки pT3N1aM0, исследовано 22 лимфоузла, поражён 1. Сахарный диабет с начальной полинейропатией. MMR сохранён.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Какой режим и длительность? 2) Почему? 3) Что учесть?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Показана адъювантная терапия с оксалиплатином. По данным IDEA при T1–3N1 три месяца режима CAPOX не уступают шести при существенно меньшей нейротоксичности, поэтому предпочтителен именно короткий курс. У пациента с сахарным диабетом и уже имеющейся полинейропатией это особенно важно: оксалиплатин усугубит имеющееся повреждение, и стойкая нейропатия резко ухудшит качество жизни. Учесть следует также функцию почек при выборе капецитабина, необходимость исследования DPYD перед фторпиримидином и активное выявление нейропатии перед каждым циклом с готовностью прекратить оксалиплатин при 2-й степени.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kg5rwnv6vsedyt6yffg5z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IDEA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yww2zipmtnub_oveou7k0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Рекомендации RUSSCO по сопроводительной терапии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3. Дефицит системы репарации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Женщина 47 лет, рак восходящей ободочной кишки pT4aN1bM0. Иммуногистохимия: утрата MLH1 и PMS2. Семейный анамнез не отягощён.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Что сделать до генетического консультирования? 2) Какая адъювантная тактика? 3) Что изменилось за последнее время?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До генетического консультирования необходимо исключить соматическую природу: исследовать метилирование промотора MLH1 и мутацию BRAF V600E. Их наличие говорит против синдрома Линча, отсутствие — показание к тестированию зародышевой линии, тем более что возраст 47 лет настораживает независимо от семейного анамнеза. Адъювантная тактика: при III стадии показана химиотерапия, а по данным ATOMIC добавление атезолизумаба к адъювантной химиотерапии при dMMR улучшает безрецидивную выживаемость. Изменилось принципиальное: иммунотерапия при dMMR колоректальном раке перешла из метастатической линии в адъювантную, а исследование NICHE-2 показало, что короткая неоадъювантная иммунотерапия даёт глубокие патоморфологические ответы, что в перспективе может изменить и объём хирургии.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igf2wowc822nm_jejh3v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ATOMIC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nq2dr5dfrthyab7e1gxlw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NICHE-2</w:t>
        </w:r>
      </w:hyperlink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Задача 4. Задержка начала терапии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Мужчина 63 лет прооперирован по поводу рака ободочной кишки III стадии. Послеоперационный период осложнился нагноением раны, выписан через 5 недель. К химиотерапевту попал через 11 недель после операции.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Вопросы: 1) Есть ли ещё смысл в адъювантной терапии? 2) Что делать? 3) Как избежать в будущем?</w:t>
      </w:r>
    </w:p>
    <w:p>
      <w:pPr>
        <w:spacing w:after="60" w:line="27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1"/>
          <w:szCs w:val="21"/>
        </w:rPr>
        <w:t xml:space="preserve">Эталонный ответ. Смысл есть, но выигрыш меньше: эффективность адъювантной терапии убывает с задержкой начала, оптимальный срок — до 6–8 недель, а после 3 месяцев польза становится сомнительной. При 11 неделях терапию следует начать без дальнейших промедлений, оценив заживление раны и общее состояние. Обсуждение с больным должно быть честным: выигрыш реален, но меньше ожидаемого. Избежать подобного в будущем позволяет организационная мера — направление к химиотерапевту не после планового визита к хирургу через месяц-полтора, а сразу при выписке, с записью на конкретную дату; при осложнённом течении визит используется для оценки и подготовки, чтобы начать лечение немедленно по достижении готовности.</w:t>
      </w:r>
    </w:p>
    <w:p>
      <w:pPr>
        <w:spacing w:after="200" w:line="25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Источники: </w:t>
      </w:r>
      <w:hyperlink w:history="1" r:id="rIdhzhunj-wiruiwavklumsm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ESMO Clinical Practice Guidelines</w:t>
        </w:r>
      </w:hyperlink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 · </w:t>
      </w:r>
      <w:hyperlink w:history="1" r:id="rId204najw-nswlvbe5winwf">
        <w:r>
          <w:rPr>
            <w:rStyle w:val="Hyperlink"/>
            <w:rFonts w:ascii="Times New Roman" w:cs="Times New Roman" w:eastAsia="Times New Roman" w:hAnsi="Times New Roman"/>
            <w:sz w:val="20"/>
            <w:szCs w:val="20"/>
          </w:rPr>
          <w:t xml:space="preserve">MOSAIC</w:t>
        </w:r>
      </w:hyperlink>
    </w:p>
    <w:p>
      <w:pPr>
        <w:pStyle w:val="Heading2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Б3. Дополнительные материалы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Вопросы для устного разбора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при MSI-H и II стадии адъювантная терапия не показана?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Как исследование IDEA изменило практику и что оно говорит о деэскалации вообще?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Что даёт определение циркулирующей опухолевой ДНК после операции?</w:t>
      </w:r>
    </w:p>
    <w:p>
      <w:pPr>
        <w:pStyle w:val="ListParagraph"/>
        <w:numPr>
          <w:ilvl w:val="0"/>
          <w:numId w:val="1"/>
        </w:numPr>
        <w:spacing w:after="6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Почему сроки начала адъювантной терапии — организационная, а не медицинская проблема?</w:t>
      </w:r>
    </w:p>
    <w:p>
      <w:pPr>
        <w:pStyle w:val="Heading3"/>
        <w:spacing w:after="130" w:before="260"/>
      </w:pPr>
      <w:r>
        <w:rPr>
          <w:rFonts w:ascii="Times New Roman" w:cs="Times New Roman" w:eastAsia="Times New Roman" w:hAnsi="Times New Roman"/>
          <w:b/>
          <w:bCs/>
          <w:sz w:val="23"/>
          <w:szCs w:val="23"/>
        </w:rPr>
        <w:t xml:space="preserve">Чек-лист по теме (для дневника ординатора)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Навык</w:t>
            </w:r>
          </w:p>
        </w:tc>
        <w:tc>
          <w:tcPr>
            <w:tcW w:type="dxa" w:w="4160"/>
            <w:shd w:fill="DDE7F0" w:val="clear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19"/>
                <w:szCs w:val="19"/>
              </w:rPr>
              <w:t xml:space="preserve">Отметка</w:t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Определил статус MMR/MSI при каждом случае колоректального рака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Оценил факторы риска при II стадии и обосновал решение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Выбрал длительность адъювантной терапии по критериям IDEA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Организовал своевременное начало адъювантной терапии после операции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>Направил больного с dMMR на генетическое консультирование по алгоритму</w:t>
            </w:r>
          </w:p>
        </w:tc>
        <w:tc>
          <w:tcPr>
            <w:tcW w:type="dxa" w:w="4160"/>
            <w:tcMar>
              <w:top w:type="dxa" w:w="55"/>
              <w:left w:type="dxa" w:w="85"/>
              <w:bottom w:type="dxa" w:w="55"/>
              <w:right w:type="dxa" w:w="85"/>
            </w:tcMar>
          </w:tcPr>
          <w:p>
            <w:pPr>
              <w:spacing w:after="40" w:line="2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19"/>
                <w:szCs w:val="19"/>
              </w:rPr>
              <w:t xml:space="preserve"/>
            </w:r>
          </w:p>
        </w:tc>
      </w:tr>
    </w:tbl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/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Материал подготовлен по состоянию на август 2026 г. Перед началом учебного года проверить актуальность редакций клинических рекомендаций и работоспособность ссылок.</w:t>
      </w:r>
    </w:p>
    <w:sectPr>
      <w:pgSz w:w="11906" w:h="16838" w:orient="portrait"/>
      <w:pgMar w:top="1000" w:right="9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6"/>
      <w:szCs w:val="26"/>
    </w:rPr>
  </w:style>
  <w:style w:type="paragraph" w:styleId="Heading3">
    <w:name w:val="Heading 3"/>
    <w:basedOn w:val="Normal"/>
    <w:next w:val="Normal"/>
    <w:qFormat/>
    <w:rPr>
      <w:rFonts w:ascii="Times New Roman" w:cs="Times New Roman" w:eastAsia="Times New Roman" w:hAnsi="Times New Roman"/>
      <w:b/>
      <w:bCs/>
      <w:color w:val="2E5496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6nsgkvynixbvw92xc7xz" Type="http://schemas.openxmlformats.org/officeDocument/2006/relationships/hyperlink" Target="https://cr.minzdrav.gov.ru/clin_recomend" TargetMode="External"/><Relationship Id="rIditendocqi18xgf6zpden8" Type="http://schemas.openxmlformats.org/officeDocument/2006/relationships/hyperlink" Target="https://www.esmo.org/guidelines" TargetMode="External"/><Relationship Id="rIdjvehhvpq-_tvpq6ux3jly" Type="http://schemas.openxmlformats.org/officeDocument/2006/relationships/hyperlink" Target="https://www.nccn.org/guidelines/category_1" TargetMode="External"/><Relationship Id="rIdrwu3ynhufetwsxty2qu12" Type="http://schemas.openxmlformats.org/officeDocument/2006/relationships/hyperlink" Target="https://www.rosoncoweb.ru/standarts/RUSSCO/" TargetMode="External"/><Relationship Id="rIdzi9u2mlfjezcnt241yjug" Type="http://schemas.openxmlformats.org/officeDocument/2006/relationships/hyperlink" Target="https://www.esmo.org/guidelines" TargetMode="External"/><Relationship Id="rIda64uyaj5q8lc2avj8vlxz" Type="http://schemas.openxmlformats.org/officeDocument/2006/relationships/hyperlink" Target="https://pubmed.ncbi.nlm.nih.gov/?term=microsatellite+instability+stage+II+colon+cancer+fluorouracil+benefit" TargetMode="External"/><Relationship Id="rId176nlav_m0mivc1rc60zp" Type="http://schemas.openxmlformats.org/officeDocument/2006/relationships/hyperlink" Target="https://www.cancer.gov/publications/pdq" TargetMode="External"/><Relationship Id="rIdjbjgemywhi0cyg_rpqvch" Type="http://schemas.openxmlformats.org/officeDocument/2006/relationships/hyperlink" Target="https://clinicaltrials.gov/" TargetMode="External"/><Relationship Id="rIdurorx633tbzabidmlmbql" Type="http://schemas.openxmlformats.org/officeDocument/2006/relationships/hyperlink" Target="https://pubmed.ncbi.nlm.nih.gov/?term=MOSAIC+oxaliplatin+adjuvant+colon+cancer" TargetMode="External"/><Relationship Id="rIdksifc_tdtop9elkxdt5gc" Type="http://schemas.openxmlformats.org/officeDocument/2006/relationships/hyperlink" Target="https://pubmed.ncbi.nlm.nih.gov/?term=IDEA+collaboration+three+versus+six+months+adjuvant+colon" TargetMode="External"/><Relationship Id="rIduh-djcjbnztsssmagkvwd" Type="http://schemas.openxmlformats.org/officeDocument/2006/relationships/hyperlink" Target="https://pubmed.ncbi.nlm.nih.gov/?term=ATOMIC+atezolizumab+adjuvant+dMMR+stage+III+colon" TargetMode="External"/><Relationship Id="rIdyuszx92p9-8hqzssowjex" Type="http://schemas.openxmlformats.org/officeDocument/2006/relationships/hyperlink" Target="https://pubmed.ncbi.nlm.nih.gov/?term=NICHE-2+neoadjuvant+immunotherapy+dMMR+colon" TargetMode="External"/><Relationship Id="rIdtwzpkmgga1vzvhtil0sod" Type="http://schemas.openxmlformats.org/officeDocument/2006/relationships/hyperlink" Target="https://pubmed.ncbi.nlm.nih.gov/?term=microsatellite+instability+stage+II+colon+cancer+fluorouracil+benefit" TargetMode="External"/><Relationship Id="rIdshit05qiyjmfx4nw9auh0" Type="http://schemas.openxmlformats.org/officeDocument/2006/relationships/hyperlink" Target="https://pubmed.ncbi.nlm.nih.gov/?term=DYNAMIC+circulating+tumor+DNA+adjuvant+colon+cancer" TargetMode="External"/><Relationship Id="rId_rqw0pp8j_rk2xthomyju" Type="http://schemas.openxmlformats.org/officeDocument/2006/relationships/hyperlink" Target="https://www.rosoncoweb.ru/events/2026/02/19/video/" TargetMode="External"/><Relationship Id="rIdewws6ololhx8iu0zyvw6g" Type="http://schemas.openxmlformats.org/officeDocument/2006/relationships/hyperlink" Target="https://www.rosoncoweb.ru/events/2025/01/30/video/" TargetMode="External"/><Relationship Id="rId0rkuttqomowixkje-pb3n" Type="http://schemas.openxmlformats.org/officeDocument/2006/relationships/hyperlink" Target="https://oncologypro.esmo.org/esmo-e-learning" TargetMode="External"/><Relationship Id="rIdpqty5b0iftz4lfmcaij_d" Type="http://schemas.openxmlformats.org/officeDocument/2006/relationships/hyperlink" Target="https://www.rosoncoweb.ru/events/archive/" TargetMode="External"/><Relationship Id="rIdakj_rxrdjlg2f75imoc32" Type="http://schemas.openxmlformats.org/officeDocument/2006/relationships/hyperlink" Target="https://www.rosoncoweb.ru/events/webinar/archive/" TargetMode="External"/><Relationship Id="rIduh7hc9dy_8o9ogu3s7mph" Type="http://schemas.openxmlformats.org/officeDocument/2006/relationships/hyperlink" Target="https://pubmed.ncbi.nlm.nih.gov/?term=IDEA+collaboration+three+versus+six+months+adjuvant+colon" TargetMode="External"/><Relationship Id="rId7pnboljmwygtmvz_v5fmo" Type="http://schemas.openxmlformats.org/officeDocument/2006/relationships/hyperlink" Target="https://pubmed.ncbi.nlm.nih.gov/?term=microsatellite+instability+stage+II+colon+cancer+fluorouracil+benefit" TargetMode="External"/><Relationship Id="rId0lzvzvoxi8rnubxxljyn5" Type="http://schemas.openxmlformats.org/officeDocument/2006/relationships/hyperlink" Target="https://www.esmo.org/guidelines" TargetMode="External"/><Relationship Id="rIdbeitvyzuh9kpq7xesq-36" Type="http://schemas.openxmlformats.org/officeDocument/2006/relationships/hyperlink" Target="https://pubmed.ncbi.nlm.nih.gov/?term=DYNAMIC+circulating+tumor+DNA+adjuvant+colon+cancer" TargetMode="External"/><Relationship Id="rIdx9aietgjs1e2iy_nfm_ih" Type="http://schemas.openxmlformats.org/officeDocument/2006/relationships/hyperlink" Target="https://pubmed.ncbi.nlm.nih.gov/?term=ATOMIC+atezolizumab+adjuvant+dMMR+stage+III+colon" TargetMode="External"/><Relationship Id="rIddzgrs_g5xhknkntjumygs" Type="http://schemas.openxmlformats.org/officeDocument/2006/relationships/hyperlink" Target="https://www.esmo.org/guidelines" TargetMode="External"/><Relationship Id="rIdgyo4s5hq_xdembjbynihx" Type="http://schemas.openxmlformats.org/officeDocument/2006/relationships/hyperlink" Target="https://www.esmo.org/guidelines" TargetMode="External"/><Relationship Id="rIdo8tveyvl20i17vbllxmvp" Type="http://schemas.openxmlformats.org/officeDocument/2006/relationships/hyperlink" Target="https://www.esmo.org/guidelines" TargetMode="External"/><Relationship Id="rIdi3bfyftkrwym1togtaz7-" Type="http://schemas.openxmlformats.org/officeDocument/2006/relationships/hyperlink" Target="https://www.esmo.org/guidelines" TargetMode="External"/><Relationship Id="rIdewu6bmub0sryqedirgn3k" Type="http://schemas.openxmlformats.org/officeDocument/2006/relationships/hyperlink" Target="https://pubmed.ncbi.nlm.nih.gov/?term=IDEA+collaboration+three+versus+six+months+adjuvant+colon" TargetMode="External"/><Relationship Id="rIdhiunme8un8whmnwshftsq" Type="http://schemas.openxmlformats.org/officeDocument/2006/relationships/hyperlink" Target="https://pubmed.ncbi.nlm.nih.gov/?term=DYNAMIC+circulating+tumor+DNA+adjuvant+colon+cancer" TargetMode="External"/><Relationship Id="rIdyuijmxdcigfbqvqvm3-hv" Type="http://schemas.openxmlformats.org/officeDocument/2006/relationships/hyperlink" Target="https://www.esmo.org/guidelines" TargetMode="External"/><Relationship Id="rIdkg5rwnv6vsedyt6yffg5z" Type="http://schemas.openxmlformats.org/officeDocument/2006/relationships/hyperlink" Target="https://pubmed.ncbi.nlm.nih.gov/?term=IDEA+collaboration+three+versus+six+months+adjuvant+colon" TargetMode="External"/><Relationship Id="rIdyww2zipmtnub_oveou7k0" Type="http://schemas.openxmlformats.org/officeDocument/2006/relationships/hyperlink" Target="https://www.rosoncoweb.ru/standarts/suptherapy/" TargetMode="External"/><Relationship Id="rIdhigf2wowc822nm_jejh3v" Type="http://schemas.openxmlformats.org/officeDocument/2006/relationships/hyperlink" Target="https://pubmed.ncbi.nlm.nih.gov/?term=ATOMIC+atezolizumab+adjuvant+dMMR+stage+III+colon" TargetMode="External"/><Relationship Id="rIdnq2dr5dfrthyab7e1gxlw" Type="http://schemas.openxmlformats.org/officeDocument/2006/relationships/hyperlink" Target="https://pubmed.ncbi.nlm.nih.gov/?term=NICHE-2+neoadjuvant+immunotherapy+dMMR+colon" TargetMode="External"/><Relationship Id="rIdhzhunj-wiruiwavklumsm" Type="http://schemas.openxmlformats.org/officeDocument/2006/relationships/hyperlink" Target="https://www.esmo.org/guidelines" TargetMode="External"/><Relationship Id="rId204najw-nswlvbe5winwf" Type="http://schemas.openxmlformats.org/officeDocument/2006/relationships/hyperlink" Target="https://pubmed.ncbi.nlm.nih.gov/?term=MOSAIC+oxaliplatin+adjuvant+colon+cancer" TargetMode="External"/><Relationship Id="rId44" Type="http://schemas.openxmlformats.org/officeDocument/2006/relationships/fontTable" Target="fontTable.xml"/><Relationship Id="rId7" Type="http://schemas.openxmlformats.org/officeDocument/2006/relationships/hyperlink" Target="https://pubmed.ncbi.nlm.nih.gov/41880612/" TargetMode="External"/><Relationship Id="rId8" Type="http://schemas.openxmlformats.org/officeDocument/2006/relationships/hyperlink" Target="https://pubmed.ncbi.nlm.nih.gov/41115959/" TargetMode="External"/><Relationship Id="rId9" Type="http://schemas.openxmlformats.org/officeDocument/2006/relationships/hyperlink" Target="https://pubmed.ncbi.nlm.nih.gov/41741110/" TargetMode="External"/><Relationship Id="rId10" Type="http://schemas.openxmlformats.org/officeDocument/2006/relationships/hyperlink" Target="https://ascopubs.org/doi/10.1200/JCO.21.02538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Рак ободочной кишки: ранние стадии и адъювантная терапия</dc:title>
  <dc:creator>Кафедра онкологии ИУВ НМХЦ им. Н.И. Пирогова</dc:creator>
  <cp:lastModifiedBy>Un-named</cp:lastModifiedBy>
  <cp:revision>1</cp:revision>
  <dcterms:created xsi:type="dcterms:W3CDTF">2026-08-27T09:34:19.851Z</dcterms:created>
  <dcterms:modified xsi:type="dcterms:W3CDTF">2026-08-27T09:34:19.851Z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