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val="false"/>
          <w:bCs w:val="false"/>
          <w:i w:val="false"/>
          <w:iCs w:val="false"/>
          <w:sz w:val="20"/>
          <w:szCs w:val="20"/>
        </w:rPr>
        <w:t xml:space="preserve">Кафедра онкологии ИУВ ФГБУ «НМХЦ им. Н.И. Пирогова» Минздрава России</w:t>
      </w:r>
    </w:p>
    <w:p>
      <w:pPr>
        <w:spacing w:after="120"/>
        <w:jc w:val="center"/>
      </w:pPr>
      <w:r>
        <w:rPr>
          <w:rFonts w:ascii="Times New Roman" w:cs="Times New Roman" w:eastAsia="Times New Roman" w:hAnsi="Times New Roman"/>
          <w:b/>
          <w:bCs/>
          <w:i w:val="false"/>
          <w:iCs w:val="false"/>
          <w:sz w:val="28"/>
          <w:szCs w:val="28"/>
        </w:rPr>
        <w:t xml:space="preserve">УЧЕБНЫЙ МОДУЛЬ М-40</w:t>
      </w:r>
    </w:p>
    <w:p>
      <w:pPr>
        <w:spacing w:after="80"/>
        <w:jc w:val="center"/>
      </w:pPr>
      <w:r>
        <w:rPr>
          <w:rFonts w:ascii="Times New Roman" w:cs="Times New Roman" w:eastAsia="Times New Roman" w:hAnsi="Times New Roman"/>
          <w:b/>
          <w:bCs/>
          <w:i w:val="false"/>
          <w:iCs w:val="false"/>
          <w:sz w:val="26"/>
          <w:szCs w:val="26"/>
        </w:rPr>
        <w:t xml:space="preserve">Рак поджелудочной железы; рак тонкой кишки и ампулярные раки</w:t>
      </w:r>
    </w:p>
    <w:p>
      <w:pPr>
        <w:spacing w:after="300"/>
        <w:jc w:val="center"/>
      </w:pPr>
      <w:r>
        <w:rPr>
          <w:rFonts w:ascii="Times New Roman" w:cs="Times New Roman" w:eastAsia="Times New Roman" w:hAnsi="Times New Roman"/>
          <w:b w:val="false"/>
          <w:bCs w:val="false"/>
          <w:i/>
          <w:iCs/>
          <w:sz w:val="22"/>
          <w:szCs w:val="22"/>
        </w:rPr>
        <w:t xml:space="preserve">Лекции 10.02.2027 (Евдокимов В.И.) и 31.03.2027 (Поляков А.Н.) · раздел «Частная онкология, ч. 1»</w:t>
      </w:r>
    </w:p>
    <w:p>
      <w:pPr>
        <w:spacing w:after="120" w:line="276"/>
      </w:pPr>
      <w:r>
        <w:rPr>
          <w:rFonts w:ascii="Times New Roman" w:cs="Times New Roman" w:eastAsia="Times New Roman" w:hAnsi="Times New Roman"/>
          <w:b w:val="false"/>
          <w:bCs w:val="false"/>
          <w:i/>
          <w:iCs/>
          <w:sz w:val="22"/>
          <w:szCs w:val="22"/>
        </w:rPr>
        <w:t xml:space="preserve">Все ссылки активны. Рак поджелудочной железы остаётся нозологией с наихудшим прогнозом среди распространённых опухолей, и именно поэтому здесь особенно важны организационные вещи: скорость маршрутизации, нутритивная поддержка, обезболивание и честный разговор.</w:t>
      </w:r>
    </w:p>
    <w:p>
      <w:pPr>
        <w:pStyle w:val="Heading1"/>
        <w:spacing w:after="130" w:before="260"/>
      </w:pPr>
      <w:r>
        <w:rPr>
          <w:rFonts w:ascii="Times New Roman" w:cs="Times New Roman" w:eastAsia="Times New Roman" w:hAnsi="Times New Roman"/>
          <w:b/>
          <w:bCs/>
          <w:sz w:val="30"/>
          <w:szCs w:val="30"/>
        </w:rPr>
        <w:t xml:space="preserve">Блок А. Библиотека материалов</w:t>
      </w:r>
    </w:p>
    <w:p>
      <w:pPr>
        <w:pStyle w:val="Heading2"/>
        <w:spacing w:after="130" w:before="260"/>
      </w:pPr>
      <w:r>
        <w:rPr>
          <w:rFonts w:ascii="Times New Roman" w:cs="Times New Roman" w:eastAsia="Times New Roman" w:hAnsi="Times New Roman"/>
          <w:b/>
          <w:bCs/>
          <w:sz w:val="26"/>
          <w:szCs w:val="26"/>
        </w:rPr>
        <w:t xml:space="preserve">А1. Рекомендации и нормативные документы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Источник</w:t>
            </w:r>
          </w:p>
        </w:tc>
        <w:tc>
          <w:tcPr>
            <w:tcW w:type="dxa" w:w="45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даёт</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Клинические рекомендации Минздрава России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Юридическое основание диагностики и лечения рака поджелудочной железы.</w:t>
            </w:r>
          </w:p>
        </w:tc>
        <w:tc>
          <w:tcPr>
            <w:tcW w:type="dxa" w:w="2760"/>
            <w:tcMar>
              <w:top w:type="dxa" w:w="55"/>
              <w:left w:type="dxa" w:w="85"/>
              <w:bottom w:type="dxa" w:w="55"/>
              <w:right w:type="dxa" w:w="85"/>
            </w:tcMar>
          </w:tcPr>
          <w:p>
            <w:pPr>
              <w:spacing w:after="40" w:line="240"/>
            </w:pPr>
            <w:hyperlink w:history="1" r:id="rIdmznekuuwefoai6fmxqyvo">
              <w:r>
                <w:rPr>
                  <w:rStyle w:val="Hyperlink"/>
                  <w:rFonts w:ascii="Times New Roman" w:cs="Times New Roman" w:eastAsia="Times New Roman" w:hAnsi="Times New Roman"/>
                  <w:sz w:val="19"/>
                  <w:szCs w:val="19"/>
                </w:rPr>
                <w:t xml:space="preserve">cr.minzdrav.gov.ru</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ESMO Clinical Practice Guidelines: рак поджелудочной железы</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Алгоритмы по резектабельности и линиям терапии.</w:t>
            </w:r>
          </w:p>
        </w:tc>
        <w:tc>
          <w:tcPr>
            <w:tcW w:type="dxa" w:w="2760"/>
            <w:tcMar>
              <w:top w:type="dxa" w:w="55"/>
              <w:left w:type="dxa" w:w="85"/>
              <w:bottom w:type="dxa" w:w="55"/>
              <w:right w:type="dxa" w:w="85"/>
            </w:tcMar>
          </w:tcPr>
          <w:p>
            <w:pPr>
              <w:spacing w:after="40" w:line="240"/>
            </w:pPr>
            <w:hyperlink w:history="1" r:id="rIdost9kweug7pjfn2txxnlz">
              <w:r>
                <w:rPr>
                  <w:rStyle w:val="Hyperlink"/>
                  <w:rFonts w:ascii="Times New Roman" w:cs="Times New Roman" w:eastAsia="Times New Roman" w:hAnsi="Times New Roman"/>
                  <w:sz w:val="19"/>
                  <w:szCs w:val="19"/>
                </w:rPr>
                <w:t xml:space="preserve">esmo.org/guidelines</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NCCN Guidelines: Pancreatic Adenocarcinoma</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Критерии резектабельности, пограничной резектабельности и местнораспространённого процесса.</w:t>
            </w:r>
          </w:p>
        </w:tc>
        <w:tc>
          <w:tcPr>
            <w:tcW w:type="dxa" w:w="2760"/>
            <w:tcMar>
              <w:top w:type="dxa" w:w="55"/>
              <w:left w:type="dxa" w:w="85"/>
              <w:bottom w:type="dxa" w:w="55"/>
              <w:right w:type="dxa" w:w="85"/>
            </w:tcMar>
          </w:tcPr>
          <w:p>
            <w:pPr>
              <w:spacing w:after="40" w:line="240"/>
            </w:pPr>
            <w:hyperlink w:history="1" r:id="rIdzsbuzmdum5xrvo0hmx8-p">
              <w:r>
                <w:rPr>
                  <w:rStyle w:val="Hyperlink"/>
                  <w:rFonts w:ascii="Times New Roman" w:cs="Times New Roman" w:eastAsia="Times New Roman" w:hAnsi="Times New Roman"/>
                  <w:sz w:val="19"/>
                  <w:szCs w:val="19"/>
                </w:rPr>
                <w:t xml:space="preserve">nccn.org/guidelines</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Практические рекомендации RUSSCO</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Лекарственное лечение рака поджелудочной железы.</w:t>
            </w:r>
          </w:p>
        </w:tc>
        <w:tc>
          <w:tcPr>
            <w:tcW w:type="dxa" w:w="2760"/>
            <w:tcMar>
              <w:top w:type="dxa" w:w="55"/>
              <w:left w:type="dxa" w:w="85"/>
              <w:bottom w:type="dxa" w:w="55"/>
              <w:right w:type="dxa" w:w="85"/>
            </w:tcMar>
          </w:tcPr>
          <w:p>
            <w:pPr>
              <w:spacing w:after="40" w:line="240"/>
            </w:pPr>
            <w:hyperlink w:history="1" r:id="rIdjqdc8noxolejgwfahii5v">
              <w:r>
                <w:rPr>
                  <w:rStyle w:val="Hyperlink"/>
                  <w:rFonts w:ascii="Times New Roman" w:cs="Times New Roman" w:eastAsia="Times New Roman" w:hAnsi="Times New Roman"/>
                  <w:sz w:val="19"/>
                  <w:szCs w:val="19"/>
                </w:rPr>
                <w:t xml:space="preserve">rosoncoweb.ru/standarts/RUSSCO</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Рекомендации по сопроводительной терапии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Нутритивная поддержка, заместительная ферментная терапия, обезболивание.</w:t>
            </w:r>
          </w:p>
        </w:tc>
        <w:tc>
          <w:tcPr>
            <w:tcW w:type="dxa" w:w="2760"/>
            <w:tcMar>
              <w:top w:type="dxa" w:w="55"/>
              <w:left w:type="dxa" w:w="85"/>
              <w:bottom w:type="dxa" w:w="55"/>
              <w:right w:type="dxa" w:w="85"/>
            </w:tcMar>
          </w:tcPr>
          <w:p>
            <w:pPr>
              <w:spacing w:after="40" w:line="240"/>
            </w:pPr>
            <w:hyperlink w:history="1" r:id="rIdix4zfcx-o2qdwqxgmx88b">
              <w:r>
                <w:rPr>
                  <w:rStyle w:val="Hyperlink"/>
                  <w:rFonts w:ascii="Times New Roman" w:cs="Times New Roman" w:eastAsia="Times New Roman" w:hAnsi="Times New Roman"/>
                  <w:sz w:val="19"/>
                  <w:szCs w:val="19"/>
                </w:rPr>
                <w:t xml:space="preserve">rosoncoweb.ru/standarts/suptherapy</w:t>
              </w:r>
            </w:hyperlink>
          </w:p>
        </w:tc>
      </w:tr>
    </w:tbl>
    <w:p>
      <w:pPr>
        <w:pStyle w:val="Heading2"/>
        <w:spacing w:after="130" w:before="260"/>
      </w:pPr>
      <w:r>
        <w:rPr>
          <w:rFonts w:ascii="Times New Roman" w:cs="Times New Roman" w:eastAsia="Times New Roman" w:hAnsi="Times New Roman"/>
          <w:b/>
          <w:bCs/>
          <w:sz w:val="26"/>
          <w:szCs w:val="26"/>
        </w:rPr>
        <w:t xml:space="preserve">А2. Обзоры и справочные ресурсы</w:t>
      </w:r>
    </w:p>
    <w:p>
      <w:pPr>
        <w:pStyle w:val="ListParagraph"/>
        <w:numPr>
          <w:ilvl w:val="0"/>
          <w:numId w:val="1"/>
        </w:numPr>
        <w:spacing w:after="60" w:line="276"/>
      </w:pPr>
      <w:hyperlink w:history="1" r:id="rIdow5etvv_z7ne50xb4tdfs">
        <w:r>
          <w:rPr>
            <w:rStyle w:val="Hyperlink"/>
            <w:rFonts w:ascii="Times New Roman" w:cs="Times New Roman" w:eastAsia="Times New Roman" w:hAnsi="Times New Roman"/>
            <w:sz w:val="22"/>
            <w:szCs w:val="22"/>
          </w:rPr>
          <w:t xml:space="preserve">Экзокринная недостаточность и заместительная ферментная терапия</w:t>
        </w:r>
      </w:hyperlink>
      <w:r>
        <w:rPr>
          <w:rFonts w:ascii="Times New Roman" w:cs="Times New Roman" w:eastAsia="Times New Roman" w:hAnsi="Times New Roman"/>
          <w:b w:val="false"/>
          <w:bCs w:val="false"/>
          <w:i w:val="false"/>
          <w:iCs w:val="false"/>
          <w:sz w:val="22"/>
          <w:szCs w:val="22"/>
        </w:rPr>
        <w:t xml:space="preserve"> — частая и систематически упускаемая проблема, напрямую влияющая на массу тела и переносимость лечения.</w:t>
      </w:r>
    </w:p>
    <w:p>
      <w:pPr>
        <w:pStyle w:val="ListParagraph"/>
        <w:numPr>
          <w:ilvl w:val="0"/>
          <w:numId w:val="1"/>
        </w:numPr>
        <w:spacing w:after="60" w:line="276"/>
      </w:pPr>
      <w:hyperlink w:history="1" r:id="rIdtfxuiktzunhqutwgxr-eq">
        <w:r>
          <w:rPr>
            <w:rStyle w:val="Hyperlink"/>
            <w:rFonts w:ascii="Times New Roman" w:cs="Times New Roman" w:eastAsia="Times New Roman" w:hAnsi="Times New Roman"/>
            <w:sz w:val="22"/>
            <w:szCs w:val="22"/>
          </w:rPr>
          <w:t xml:space="preserve">Рак тонкой кишки и ампулярные раки</w:t>
        </w:r>
      </w:hyperlink>
      <w:r>
        <w:rPr>
          <w:rFonts w:ascii="Times New Roman" w:cs="Times New Roman" w:eastAsia="Times New Roman" w:hAnsi="Times New Roman"/>
          <w:b w:val="false"/>
          <w:bCs w:val="false"/>
          <w:i w:val="false"/>
          <w:iCs w:val="false"/>
          <w:sz w:val="22"/>
          <w:szCs w:val="22"/>
        </w:rPr>
        <w:t xml:space="preserve"> — редкие опухоли, тактика при которых экстраполируется с учётом гистологического подтипа.</w:t>
      </w:r>
    </w:p>
    <w:p>
      <w:pPr>
        <w:pStyle w:val="ListParagraph"/>
        <w:numPr>
          <w:ilvl w:val="0"/>
          <w:numId w:val="1"/>
        </w:numPr>
        <w:spacing w:after="60" w:line="276"/>
      </w:pPr>
      <w:hyperlink w:history="1" r:id="rIdhc84bwkrhkid4s5coeytv">
        <w:r>
          <w:rPr>
            <w:rStyle w:val="Hyperlink"/>
            <w:rFonts w:ascii="Times New Roman" w:cs="Times New Roman" w:eastAsia="Times New Roman" w:hAnsi="Times New Roman"/>
            <w:sz w:val="22"/>
            <w:szCs w:val="22"/>
          </w:rPr>
          <w:t xml:space="preserve">PDQ® — рак поджелудочной железы</w:t>
        </w:r>
      </w:hyperlink>
      <w:r>
        <w:rPr>
          <w:rFonts w:ascii="Times New Roman" w:cs="Times New Roman" w:eastAsia="Times New Roman" w:hAnsi="Times New Roman"/>
          <w:b w:val="false"/>
          <w:bCs w:val="false"/>
          <w:i w:val="false"/>
          <w:iCs w:val="false"/>
          <w:sz w:val="22"/>
          <w:szCs w:val="22"/>
        </w:rPr>
        <w:t xml:space="preserve"> — свободный доступ.</w:t>
      </w:r>
    </w:p>
    <w:p>
      <w:pPr>
        <w:pStyle w:val="Heading2"/>
        <w:spacing w:after="130" w:before="260"/>
      </w:pPr>
      <w:r>
        <w:rPr>
          <w:rFonts w:ascii="Times New Roman" w:cs="Times New Roman" w:eastAsia="Times New Roman" w:hAnsi="Times New Roman"/>
          <w:b/>
          <w:bCs/>
          <w:sz w:val="26"/>
          <w:szCs w:val="26"/>
        </w:rPr>
        <w:t xml:space="preserve">А3. Ключевые исследования и работы</w:t>
      </w:r>
    </w:p>
    <w:p>
      <w:pPr>
        <w:pStyle w:val="Heading3"/>
        <w:spacing w:after="130" w:before="260"/>
      </w:pPr>
      <w:r>
        <w:rPr>
          <w:rFonts w:ascii="Times New Roman" w:cs="Times New Roman" w:eastAsia="Times New Roman" w:hAnsi="Times New Roman"/>
          <w:b/>
          <w:bCs/>
          <w:sz w:val="23"/>
          <w:szCs w:val="23"/>
        </w:rPr>
        <w:t xml:space="preserve">Резектабельный и пограничный процесс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PRODIGE 24</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Адъювантный модифицированный FOLFIRINOX после радикальной операции существенно превосходит гемцитабин по безрецидивной и общей выживаемости. Стандарт для соматически сохранных больных.</w:t>
            </w:r>
          </w:p>
        </w:tc>
        <w:tc>
          <w:tcPr>
            <w:tcW w:type="dxa" w:w="2760"/>
            <w:tcMar>
              <w:top w:type="dxa" w:w="55"/>
              <w:left w:type="dxa" w:w="85"/>
              <w:bottom w:type="dxa" w:w="55"/>
              <w:right w:type="dxa" w:w="85"/>
            </w:tcMar>
          </w:tcPr>
          <w:p>
            <w:pPr>
              <w:spacing w:after="40" w:line="240"/>
            </w:pPr>
            <w:hyperlink w:history="1" r:id="rIdz4krlrgkamobptcb2aevw">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PREOPANC</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Неоадъювантная химиолучевая терапия при резектабельном и пограничнорезектабельном раке улучшила общую выживаемость при длительном наблюдении и повысила частоту R0-резекций.</w:t>
            </w:r>
          </w:p>
        </w:tc>
        <w:tc>
          <w:tcPr>
            <w:tcW w:type="dxa" w:w="2760"/>
            <w:tcMar>
              <w:top w:type="dxa" w:w="55"/>
              <w:left w:type="dxa" w:w="85"/>
              <w:bottom w:type="dxa" w:w="55"/>
              <w:right w:type="dxa" w:w="85"/>
            </w:tcMar>
          </w:tcPr>
          <w:p>
            <w:pPr>
              <w:spacing w:after="40" w:line="240"/>
            </w:pPr>
            <w:hyperlink w:history="1" r:id="rIdyyqlyby9osdjrrasrsxvl">
              <w:r>
                <w:rPr>
                  <w:rStyle w:val="Hyperlink"/>
                  <w:rFonts w:ascii="Times New Roman" w:cs="Times New Roman" w:eastAsia="Times New Roman" w:hAnsi="Times New Roman"/>
                  <w:sz w:val="19"/>
                  <w:szCs w:val="19"/>
                </w:rPr>
                <w:t xml:space="preserve">PubMed</w:t>
              </w:r>
            </w:hyperlink>
          </w:p>
        </w:tc>
      </w:tr>
    </w:tbl>
    <w:p>
      <w:pPr>
        <w:pStyle w:val="Heading3"/>
        <w:spacing w:after="130" w:before="260"/>
      </w:pPr>
      <w:r>
        <w:rPr>
          <w:rFonts w:ascii="Times New Roman" w:cs="Times New Roman" w:eastAsia="Times New Roman" w:hAnsi="Times New Roman"/>
          <w:b/>
          <w:bCs/>
          <w:sz w:val="23"/>
          <w:szCs w:val="23"/>
        </w:rPr>
        <w:t xml:space="preserve">Метастатический процесс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PRODIGE 4</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FOLFIRINOX превосходит гемцитабин у больных с хорошим функциональным статусом; медиана общей выживаемости впервые превысила 11 мес.</w:t>
            </w:r>
          </w:p>
        </w:tc>
        <w:tc>
          <w:tcPr>
            <w:tcW w:type="dxa" w:w="2760"/>
            <w:tcMar>
              <w:top w:type="dxa" w:w="55"/>
              <w:left w:type="dxa" w:w="85"/>
              <w:bottom w:type="dxa" w:w="55"/>
              <w:right w:type="dxa" w:w="85"/>
            </w:tcMar>
          </w:tcPr>
          <w:p>
            <w:pPr>
              <w:spacing w:after="40" w:line="240"/>
            </w:pPr>
            <w:hyperlink w:history="1" r:id="rIdtsd9hrswih988gkxx4po3">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NAPOLI 3</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Режим NALIRIFOX с липосомальным иринотеканом превосходит гемцитабин с наб-паклитакселом в первой линии — ещё одна опция для сохранных больных.</w:t>
            </w:r>
          </w:p>
        </w:tc>
        <w:tc>
          <w:tcPr>
            <w:tcW w:type="dxa" w:w="2760"/>
            <w:tcMar>
              <w:top w:type="dxa" w:w="55"/>
              <w:left w:type="dxa" w:w="85"/>
              <w:bottom w:type="dxa" w:w="55"/>
              <w:right w:type="dxa" w:w="85"/>
            </w:tcMar>
          </w:tcPr>
          <w:p>
            <w:pPr>
              <w:spacing w:after="40" w:line="240"/>
            </w:pPr>
            <w:hyperlink w:history="1" r:id="rIdliyohrt6vhjuyd9xsigha">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POLO</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Поддерживающий олапариб при герминальных мутациях BRCA1/2 после платиносодержащей терапии улучшает беспрогрессивную выживаемость. Обоснование обязательного тестирования зародышевой линии у всех больных раком поджелудочной железы.</w:t>
            </w:r>
          </w:p>
        </w:tc>
        <w:tc>
          <w:tcPr>
            <w:tcW w:type="dxa" w:w="2760"/>
            <w:tcMar>
              <w:top w:type="dxa" w:w="55"/>
              <w:left w:type="dxa" w:w="85"/>
              <w:bottom w:type="dxa" w:w="55"/>
              <w:right w:type="dxa" w:w="85"/>
            </w:tcMar>
          </w:tcPr>
          <w:p>
            <w:pPr>
              <w:spacing w:after="40" w:line="240"/>
            </w:pPr>
            <w:hyperlink w:history="1" r:id="rIdlpiyxneomk_ya9hukejdt">
              <w:r>
                <w:rPr>
                  <w:rStyle w:val="Hyperlink"/>
                  <w:rFonts w:ascii="Times New Roman" w:cs="Times New Roman" w:eastAsia="Times New Roman" w:hAnsi="Times New Roman"/>
                  <w:sz w:val="19"/>
                  <w:szCs w:val="19"/>
                </w:rPr>
                <w:t xml:space="preserve">PubMed</w:t>
              </w:r>
            </w:hyperlink>
          </w:p>
        </w:tc>
      </w:tr>
    </w:tbl>
    <w:p>
      <w:pPr>
        <w:pStyle w:val="Heading3"/>
        <w:spacing w:after="130" w:before="260"/>
      </w:pPr>
      <w:r>
        <w:rPr>
          <w:rFonts w:ascii="Times New Roman" w:cs="Times New Roman" w:eastAsia="Times New Roman" w:hAnsi="Times New Roman"/>
          <w:b/>
          <w:bCs/>
          <w:sz w:val="23"/>
          <w:szCs w:val="23"/>
        </w:rPr>
        <w:t xml:space="preserve">Редкие опухоли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Рак тонкой кишки и ампулярные раки</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Ампулярные раки делятся на кишечный и панкреатобилиарный подтипы, что определяет выбор схемы: при кишечном подтипе применяются режимы, характерные для колоректального рака, при панкреатобилиарном — для рака поджелудочной железы. Обязательно определение статуса MMR: при раке тонкой кишки dMMR встречается нередко.</w:t>
            </w:r>
          </w:p>
        </w:tc>
        <w:tc>
          <w:tcPr>
            <w:tcW w:type="dxa" w:w="2760"/>
            <w:tcMar>
              <w:top w:type="dxa" w:w="55"/>
              <w:left w:type="dxa" w:w="85"/>
              <w:bottom w:type="dxa" w:w="55"/>
              <w:right w:type="dxa" w:w="85"/>
            </w:tcMar>
          </w:tcPr>
          <w:p>
            <w:pPr>
              <w:spacing w:after="40" w:line="240"/>
            </w:pPr>
            <w:hyperlink w:history="1" r:id="rIdtkw-ouox5clbyav2bgy4u">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А4. Лекции и видеоматериалы</w:t>
      </w:r>
    </w:p>
    <w:p>
      <w:pPr>
        <w:pStyle w:val="ListParagraph"/>
        <w:numPr>
          <w:ilvl w:val="0"/>
          <w:numId w:val="1"/>
        </w:numPr>
        <w:spacing w:after="60" w:line="276"/>
      </w:pPr>
      <w:hyperlink w:history="1" r:id="rIdl1_azavidmvqrxaayadvq">
        <w:r>
          <w:rPr>
            <w:rStyle w:val="Hyperlink"/>
            <w:rFonts w:ascii="Times New Roman" w:cs="Times New Roman" w:eastAsia="Times New Roman" w:hAnsi="Times New Roman"/>
            <w:sz w:val="22"/>
            <w:szCs w:val="22"/>
          </w:rPr>
          <w:t xml:space="preserve">XII Конференция RUSSCO «Опухоли ЖКТ», 19–20.02.2026</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jxkzebdvdbdbidvsxszgi">
        <w:r>
          <w:rPr>
            <w:rStyle w:val="Hyperlink"/>
            <w:rFonts w:ascii="Times New Roman" w:cs="Times New Roman" w:eastAsia="Times New Roman" w:hAnsi="Times New Roman"/>
            <w:sz w:val="22"/>
            <w:szCs w:val="22"/>
          </w:rPr>
          <w:t xml:space="preserve">XI Конференция RUSSCO «Опухоли ЖКТ», 30–31.01.2025</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jydac48s_afhygeiqbi_w">
        <w:r>
          <w:rPr>
            <w:rStyle w:val="Hyperlink"/>
            <w:rFonts w:ascii="Times New Roman" w:cs="Times New Roman" w:eastAsia="Times New Roman" w:hAnsi="Times New Roman"/>
            <w:sz w:val="22"/>
            <w:szCs w:val="22"/>
          </w:rPr>
          <w:t xml:space="preserve">ESMO E-Learning</w:t>
        </w:r>
      </w:hyperlink>
      <w:r>
        <w:rPr>
          <w:rFonts w:ascii="Times New Roman" w:cs="Times New Roman" w:eastAsia="Times New Roman" w:hAnsi="Times New Roman"/>
          <w:b w:val="false"/>
          <w:bCs w:val="false"/>
          <w:i w:val="false"/>
          <w:iCs w:val="false"/>
          <w:sz w:val="22"/>
          <w:szCs w:val="22"/>
        </w:rPr>
        <w:t xml:space="preserve"> — модули с тестами и баллами CME.</w:t>
      </w:r>
    </w:p>
    <w:p>
      <w:pPr>
        <w:pStyle w:val="ListParagraph"/>
        <w:numPr>
          <w:ilvl w:val="0"/>
          <w:numId w:val="1"/>
        </w:numPr>
        <w:spacing w:after="60" w:line="276"/>
      </w:pPr>
      <w:hyperlink w:history="1" r:id="rIdadp8gyyt8wgscsmtwnbfq">
        <w:r>
          <w:rPr>
            <w:rStyle w:val="Hyperlink"/>
            <w:rFonts w:ascii="Times New Roman" w:cs="Times New Roman" w:eastAsia="Times New Roman" w:hAnsi="Times New Roman"/>
            <w:sz w:val="22"/>
            <w:szCs w:val="22"/>
          </w:rPr>
          <w:t xml:space="preserve">Полный видеоархив конференций RUSSCO</w:t>
        </w:r>
      </w:hyperlink>
      <w:r>
        <w:rPr>
          <w:rFonts w:ascii="Times New Roman" w:cs="Times New Roman" w:eastAsia="Times New Roman" w:hAnsi="Times New Roman"/>
          <w:b w:val="false"/>
          <w:bCs w:val="false"/>
          <w:i w:val="false"/>
          <w:iCs w:val="false"/>
          <w:sz w:val="22"/>
          <w:szCs w:val="22"/>
        </w:rPr>
        <w:t xml:space="preserve"> · </w:t>
      </w:r>
      <w:hyperlink w:history="1" r:id="rIdlk6t14d1sfo8rrqknenau">
        <w:r>
          <w:rPr>
            <w:rStyle w:val="Hyperlink"/>
            <w:rFonts w:ascii="Times New Roman" w:cs="Times New Roman" w:eastAsia="Times New Roman" w:hAnsi="Times New Roman"/>
            <w:sz w:val="22"/>
            <w:szCs w:val="22"/>
          </w:rPr>
          <w:t xml:space="preserve">архив вебинаров</w:t>
        </w:r>
      </w:hyperlink>
      <w:r>
        <w:rPr>
          <w:rFonts w:ascii="Times New Roman" w:cs="Times New Roman" w:eastAsia="Times New Roman" w:hAnsi="Times New Roman"/>
          <w:b w:val="false"/>
          <w:bCs w:val="false"/>
          <w:i w:val="false"/>
          <w:iCs w:val="false"/>
          <w:sz w:val="22"/>
          <w:szCs w:val="22"/>
        </w:rPr>
        <w:t xml:space="preserve"> — если нужной темы нет в списке выше.</w:t>
      </w:r>
    </w:p>
    <w:p>
      <w:pPr>
        <w:spacing w:after="120" w:line="276"/>
      </w:pPr>
      <w:r>
        <w:rPr>
          <w:rFonts w:ascii="Times New Roman" w:cs="Times New Roman" w:eastAsia="Times New Roman" w:hAnsi="Times New Roman"/>
          <w:b w:val="false"/>
          <w:bCs w:val="false"/>
          <w:i/>
          <w:iCs/>
          <w:sz w:val="22"/>
          <w:szCs w:val="22"/>
        </w:rPr>
        <w:t xml:space="preserve">Ссылки на лекции сотрудников кафедры по этой теме собираются отдельно — пришлите названия докладов или ссылки на записи, добавлю в модуль.</w:t>
      </w:r>
    </w:p>
    <w:p>
      <w:pPr>
        <w:pStyle w:val="Heading2"/>
        <w:spacing w:after="130" w:before="260"/>
      </w:pPr>
      <w:r>
        <w:rPr>
          <w:rFonts w:ascii="Times New Roman" w:cs="Times New Roman" w:eastAsia="Times New Roman" w:hAnsi="Times New Roman"/>
          <w:b/>
          <w:bCs/>
          <w:sz w:val="26"/>
          <w:szCs w:val="26"/>
        </w:rPr>
        <w:t xml:space="preserve">А5. О переводе англоязычных работ</w:t>
      </w:r>
    </w:p>
    <w:p>
      <w:pPr>
        <w:spacing w:after="120" w:line="276"/>
      </w:pPr>
      <w:r>
        <w:rPr>
          <w:rFonts w:ascii="Times New Roman" w:cs="Times New Roman" w:eastAsia="Times New Roman" w:hAnsi="Times New Roman"/>
          <w:b w:val="false"/>
          <w:bCs w:val="false"/>
          <w:i w:val="false"/>
          <w:iCs w:val="false"/>
          <w:sz w:val="22"/>
          <w:szCs w:val="22"/>
        </w:rPr>
        <w:t xml:space="preserve">Полный перевод статей и рекомендаций публиковать нельзя — это нарушение авторских прав издателей. Законное решение: русскоязычная аннотация на 3–5 предложений (дизайн, популяция, конечные точки, результат, что меняет в практике) плюс активная ссылка на оригинал. Именно так оформлены таблицы выше. Для документов с официальным русским переводом приоритет отдаётся рекомендациям RUSSCO и КР Минздрава.</w:t>
      </w:r>
    </w:p>
    <w:p>
      <w:r>
        <w:br w:type="page"/>
      </w:r>
    </w:p>
    <w:p>
      <w:r>
        <w:rPr>
          <w:b/>
          <w:sz w:val="22"/>
        </w:rPr>
        <w:t>А6. Актуализация источников и стандартов — 2026</w:t>
      </w:r>
    </w:p>
    <w:p>
      <w:r>
        <w:rPr>
          <w:b/>
        </w:rPr>
        <w:t xml:space="preserve">ESMO Clinical Practice Guideline Express Update: metastatic pancreatic cancer (2025). </w:t>
      </w:r>
      <w:r>
        <w:t xml:space="preserve">Сделать обязательным обновлением к CPG 2023: NALIRIFOX включён в первую линию, обновлены алгоритмы первой и второй линий. </w:t>
      </w:r>
      <w:hyperlink r:id="rId7">
        <w:r>
          <w:rPr>
            <w:color w:val="0563C1"/>
            <w:u w:val="single"/>
          </w:rPr>
          <w:t>Открыть источник</w:t>
        </w:r>
      </w:hyperlink>
    </w:p>
    <w:p>
      <w:r>
        <w:rPr>
          <w:b/>
        </w:rPr>
        <w:t xml:space="preserve">Pan-Asian adapted ESMO CPG: pancreatic cancer (2025). </w:t>
      </w:r>
      <w:r>
        <w:t xml:space="preserve">Добавить как современный открытый полный ресурс, охватывающий диагностику, резектабельность, локализованную и метастатическую болезнь. </w:t>
      </w:r>
      <w:hyperlink r:id="rId8">
        <w:r>
          <w:rPr>
            <w:color w:val="0563C1"/>
            <w:u w:val="single"/>
          </w:rPr>
          <w:t>Открыть источник</w:t>
        </w:r>
      </w:hyperlink>
    </w:p>
    <w:p>
      <w:r>
        <w:rPr>
          <w:b/>
        </w:rPr>
        <w:t xml:space="preserve">ESMO pancreatic cancer CPG (2023). </w:t>
      </w:r>
      <w:r>
        <w:t xml:space="preserve">Сохранить как базовую CPG для хирургии, периоперационного ведения, молекулярного тестирования и наблюдения, но системные линии читать вместе с Express Update 2025. </w:t>
      </w:r>
      <w:hyperlink r:id="rId9">
        <w:r>
          <w:rPr>
            <w:color w:val="0563C1"/>
            <w:u w:val="single"/>
          </w:rPr>
          <w:t>Открыть источник</w:t>
        </w:r>
      </w:hyperlink>
    </w:p>
    <w:p>
      <w:r>
        <w:rPr>
          <w:b/>
        </w:rPr>
        <w:t xml:space="preserve">Small bowel / ampullary adenocarcinoma evidence layer. </w:t>
      </w:r>
      <w:r>
        <w:t xml:space="preserve">Не оставлять одну поисковую ссылку как источник для двух разных редких нозологий. При финальной редакции разнести тонкую кишку и ампулярный рак на отдельные рекомендации/обзоры, сохранив обязательные MMR/MSI и морфологический подтип ампулярной опухоли. </w:t>
      </w:r>
      <w:hyperlink r:id="rIdtfxuiktzunhqutwgxr-eq">
        <w:r>
          <w:rPr>
            <w:color w:val="0563C1"/>
            <w:u w:val="single"/>
          </w:rPr>
          <w:t>Открыть источник</w:t>
        </w:r>
      </w:hyperlink>
    </w:p>
    <w:p/>
    <w:p>
      <w:pPr>
        <w:pStyle w:val="Heading1"/>
        <w:spacing w:after="130" w:before="260"/>
      </w:pPr>
      <w:r>
        <w:rPr>
          <w:rFonts w:ascii="Times New Roman" w:cs="Times New Roman" w:eastAsia="Times New Roman" w:hAnsi="Times New Roman"/>
          <w:b/>
          <w:bCs/>
          <w:sz w:val="30"/>
          <w:szCs w:val="30"/>
        </w:rPr>
        <w:t xml:space="preserve">Блок Б. Проверочные материалы</w:t>
      </w:r>
    </w:p>
    <w:p>
      <w:pPr>
        <w:pStyle w:val="Heading2"/>
        <w:spacing w:after="130" w:before="260"/>
      </w:pPr>
      <w:r>
        <w:rPr>
          <w:rFonts w:ascii="Times New Roman" w:cs="Times New Roman" w:eastAsia="Times New Roman" w:hAnsi="Times New Roman"/>
          <w:b/>
          <w:bCs/>
          <w:sz w:val="26"/>
          <w:szCs w:val="26"/>
        </w:rPr>
        <w:t xml:space="preserve">Б1. Тестовые задания (10 вопросов)</w:t>
      </w:r>
    </w:p>
    <w:p>
      <w:pPr>
        <w:spacing w:after="120" w:line="276"/>
      </w:pPr>
      <w:r>
        <w:rPr>
          <w:rFonts w:ascii="Times New Roman" w:cs="Times New Roman" w:eastAsia="Times New Roman" w:hAnsi="Times New Roman"/>
          <w:b w:val="false"/>
          <w:bCs w:val="false"/>
          <w:i/>
          <w:iCs/>
          <w:sz w:val="22"/>
          <w:szCs w:val="22"/>
        </w:rPr>
        <w:t xml:space="preserve">Один лучший ответ. Формат приближен к экзаменационному стилю ESMO и RUSSCO. Пояснения предназначены для разбора после теста и для версии с автопроверкой на сайте.</w:t>
      </w:r>
    </w:p>
    <w:p>
      <w:pPr>
        <w:spacing w:after="60" w:line="276"/>
      </w:pPr>
      <w:r>
        <w:rPr>
          <w:rFonts w:ascii="Times New Roman" w:cs="Times New Roman" w:eastAsia="Times New Roman" w:hAnsi="Times New Roman"/>
          <w:b/>
          <w:bCs/>
          <w:i w:val="false"/>
          <w:iCs w:val="false"/>
          <w:sz w:val="22"/>
          <w:szCs w:val="22"/>
        </w:rPr>
        <w:t xml:space="preserve">1. Резектабельность при раке поджелудочной железы определяется прежде всего:</w:t>
      </w:r>
    </w:p>
    <w:p>
      <w:pPr>
        <w:spacing w:after="30" w:line="250"/>
        <w:ind w:left="340"/>
      </w:pPr>
      <w:r>
        <w:rPr>
          <w:rFonts w:ascii="Times New Roman" w:cs="Times New Roman" w:eastAsia="Times New Roman" w:hAnsi="Times New Roman"/>
          <w:b w:val="false"/>
          <w:bCs w:val="false"/>
          <w:i w:val="false"/>
          <w:iCs w:val="false"/>
          <w:sz w:val="21"/>
          <w:szCs w:val="21"/>
        </w:rPr>
        <w:t xml:space="preserve">A. Локализацией в головке или теле</w:t>
      </w:r>
    </w:p>
    <w:p>
      <w:pPr>
        <w:spacing w:after="30" w:line="250"/>
        <w:ind w:left="340"/>
      </w:pPr>
      <w:r>
        <w:rPr>
          <w:rFonts w:ascii="Times New Roman" w:cs="Times New Roman" w:eastAsia="Times New Roman" w:hAnsi="Times New Roman"/>
          <w:b w:val="false"/>
          <w:bCs w:val="false"/>
          <w:i w:val="false"/>
          <w:iCs w:val="false"/>
          <w:sz w:val="21"/>
          <w:szCs w:val="21"/>
        </w:rPr>
        <w:t xml:space="preserve">B. Размером опухоли</w:t>
      </w:r>
    </w:p>
    <w:p>
      <w:pPr>
        <w:spacing w:after="30" w:line="250"/>
        <w:ind w:left="340"/>
      </w:pPr>
      <w:r>
        <w:rPr>
          <w:rFonts w:ascii="Times New Roman" w:cs="Times New Roman" w:eastAsia="Times New Roman" w:hAnsi="Times New Roman"/>
          <w:b w:val="false"/>
          <w:bCs w:val="false"/>
          <w:i w:val="false"/>
          <w:iCs w:val="false"/>
          <w:sz w:val="21"/>
          <w:szCs w:val="21"/>
        </w:rPr>
        <w:t xml:space="preserve">C. Уровнем CA 19-9</w:t>
      </w:r>
    </w:p>
    <w:p>
      <w:pPr>
        <w:spacing w:after="30" w:line="250"/>
        <w:ind w:left="340"/>
      </w:pPr>
      <w:r>
        <w:rPr>
          <w:rFonts w:ascii="Times New Roman" w:cs="Times New Roman" w:eastAsia="Times New Roman" w:hAnsi="Times New Roman"/>
          <w:b w:val="false"/>
          <w:bCs w:val="false"/>
          <w:i w:val="false"/>
          <w:iCs w:val="false"/>
          <w:sz w:val="21"/>
          <w:szCs w:val="21"/>
        </w:rPr>
        <w:t xml:space="preserve">D. Взаимоотношением опухоли с магистральными сосудами — верхней брыжеечной артерией, чревным стволом, воротной и верхней брыжеечной венами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Категории резектабельного, пограничнорезектабельного и местнораспространённого процесса определяются степенью контакта опухоли с сосудами по данным качественной КТ с контрастированием по панкреатическому протоколу. Артериальное вовлечение критичнее венозного, поскольку венозная резекция с реконструкцией технически выполнима.</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ltnoz47c3qs45vf0o365w">
        <w:r>
          <w:rPr>
            <w:rStyle w:val="Hyperlink"/>
            <w:rFonts w:ascii="Times New Roman" w:cs="Times New Roman" w:eastAsia="Times New Roman" w:hAnsi="Times New Roman"/>
            <w:sz w:val="20"/>
            <w:szCs w:val="20"/>
          </w:rPr>
          <w:t xml:space="preserve">NCCN Guidelines</w:t>
        </w:r>
      </w:hyperlink>
    </w:p>
    <w:p>
      <w:pPr>
        <w:spacing w:after="60" w:line="276"/>
      </w:pPr>
      <w:r>
        <w:rPr>
          <w:rFonts w:ascii="Times New Roman" w:cs="Times New Roman" w:eastAsia="Times New Roman" w:hAnsi="Times New Roman"/>
          <w:b/>
          <w:bCs/>
          <w:i w:val="false"/>
          <w:iCs w:val="false"/>
          <w:sz w:val="22"/>
          <w:szCs w:val="22"/>
        </w:rPr>
        <w:t xml:space="preserve">2. Адъювантная терапия после радикальной операции по поводу рака поджелудочной железы у соматически сохранного больного:</w:t>
      </w:r>
    </w:p>
    <w:p>
      <w:pPr>
        <w:spacing w:after="30" w:line="250"/>
        <w:ind w:left="340"/>
      </w:pPr>
      <w:r>
        <w:rPr>
          <w:rFonts w:ascii="Times New Roman" w:cs="Times New Roman" w:eastAsia="Times New Roman" w:hAnsi="Times New Roman"/>
          <w:b w:val="false"/>
          <w:bCs w:val="false"/>
          <w:i w:val="false"/>
          <w:iCs w:val="false"/>
          <w:sz w:val="21"/>
          <w:szCs w:val="21"/>
        </w:rPr>
        <w:t xml:space="preserve">A. Лучевая 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B. Наблюдение</w:t>
      </w:r>
    </w:p>
    <w:p>
      <w:pPr>
        <w:spacing w:after="30" w:line="250"/>
        <w:ind w:left="340"/>
      </w:pPr>
      <w:r>
        <w:rPr>
          <w:rFonts w:ascii="Times New Roman" w:cs="Times New Roman" w:eastAsia="Times New Roman" w:hAnsi="Times New Roman"/>
          <w:b w:val="false"/>
          <w:bCs w:val="false"/>
          <w:i w:val="false"/>
          <w:iCs w:val="false"/>
          <w:sz w:val="21"/>
          <w:szCs w:val="21"/>
        </w:rPr>
        <w:t xml:space="preserve">C. Гемцитабин в монорежиме</w:t>
      </w:r>
    </w:p>
    <w:p>
      <w:pPr>
        <w:spacing w:after="30" w:line="250"/>
        <w:ind w:left="340"/>
      </w:pPr>
      <w:r>
        <w:rPr>
          <w:rFonts w:ascii="Times New Roman" w:cs="Times New Roman" w:eastAsia="Times New Roman" w:hAnsi="Times New Roman"/>
          <w:b w:val="false"/>
          <w:bCs w:val="false"/>
          <w:i w:val="false"/>
          <w:iCs w:val="false"/>
          <w:sz w:val="21"/>
          <w:szCs w:val="21"/>
        </w:rPr>
        <w:t xml:space="preserve">D. Модифицированный FOLFIRINOX по данным PRODIGE 24</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PRODIGE 24 показал существенное превосходство модифицированного FOLFIRINOX над гемцитабином: медиана общей выживаемости выросла заметно. Режим требует хорошего функционального статуса и восстановления после операции; при непереносимости применяются гемцитабин с капецитабином или гемцитабин в монорежиме.</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dtexntck3xsrwneyvv33-">
        <w:r>
          <w:rPr>
            <w:rStyle w:val="Hyperlink"/>
            <w:rFonts w:ascii="Times New Roman" w:cs="Times New Roman" w:eastAsia="Times New Roman" w:hAnsi="Times New Roman"/>
            <w:sz w:val="20"/>
            <w:szCs w:val="20"/>
          </w:rPr>
          <w:t xml:space="preserve">PRODIGE 24</w:t>
        </w:r>
      </w:hyperlink>
    </w:p>
    <w:p>
      <w:pPr>
        <w:spacing w:after="60" w:line="276"/>
      </w:pPr>
      <w:r>
        <w:rPr>
          <w:rFonts w:ascii="Times New Roman" w:cs="Times New Roman" w:eastAsia="Times New Roman" w:hAnsi="Times New Roman"/>
          <w:b/>
          <w:bCs/>
          <w:i w:val="false"/>
          <w:iCs w:val="false"/>
          <w:sz w:val="22"/>
          <w:szCs w:val="22"/>
        </w:rPr>
        <w:t xml:space="preserve">3. Всем больным раком поджелудочной железы показано тестирование зародышевой линии, потому что:</w:t>
      </w:r>
    </w:p>
    <w:p>
      <w:pPr>
        <w:spacing w:after="30" w:line="250"/>
        <w:ind w:left="340"/>
      </w:pPr>
      <w:r>
        <w:rPr>
          <w:rFonts w:ascii="Times New Roman" w:cs="Times New Roman" w:eastAsia="Times New Roman" w:hAnsi="Times New Roman"/>
          <w:b w:val="false"/>
          <w:bCs w:val="false"/>
          <w:i w:val="false"/>
          <w:iCs w:val="false"/>
          <w:sz w:val="21"/>
          <w:szCs w:val="21"/>
        </w:rPr>
        <w:t xml:space="preserve">A. Не показано</w:t>
      </w:r>
    </w:p>
    <w:p>
      <w:pPr>
        <w:spacing w:after="30" w:line="250"/>
        <w:ind w:left="340"/>
      </w:pPr>
      <w:r>
        <w:rPr>
          <w:rFonts w:ascii="Times New Roman" w:cs="Times New Roman" w:eastAsia="Times New Roman" w:hAnsi="Times New Roman"/>
          <w:b w:val="false"/>
          <w:bCs w:val="false"/>
          <w:i w:val="false"/>
          <w:iCs w:val="false"/>
          <w:sz w:val="21"/>
          <w:szCs w:val="21"/>
        </w:rPr>
        <w:t xml:space="preserve">B. Это влияет на объём операции</w:t>
      </w:r>
    </w:p>
    <w:p>
      <w:pPr>
        <w:spacing w:after="30" w:line="250"/>
        <w:ind w:left="340"/>
      </w:pPr>
      <w:r>
        <w:rPr>
          <w:rFonts w:ascii="Times New Roman" w:cs="Times New Roman" w:eastAsia="Times New Roman" w:hAnsi="Times New Roman"/>
          <w:b w:val="false"/>
          <w:bCs w:val="false"/>
          <w:i w:val="false"/>
          <w:iCs w:val="false"/>
          <w:sz w:val="21"/>
          <w:szCs w:val="21"/>
        </w:rPr>
        <w:t xml:space="preserve">C. Герминальные мутации BRCA1/2 и других генов встречаются чаще, чем принято думать, и открывают возможность поддерживающей терапии олапарибом и выбора платиносодержащих режимов</w:t>
      </w:r>
    </w:p>
    <w:p>
      <w:pPr>
        <w:spacing w:after="30" w:line="250"/>
        <w:ind w:left="340"/>
      </w:pPr>
      <w:r>
        <w:rPr>
          <w:rFonts w:ascii="Times New Roman" w:cs="Times New Roman" w:eastAsia="Times New Roman" w:hAnsi="Times New Roman"/>
          <w:b w:val="false"/>
          <w:bCs w:val="false"/>
          <w:i w:val="false"/>
          <w:iCs w:val="false"/>
          <w:sz w:val="21"/>
          <w:szCs w:val="21"/>
        </w:rPr>
        <w:t xml:space="preserve">D. Это требование статистики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POLO показал выигрыш поддерживающего олапариба при герминальных мутациях BRCA после платиносодержащей терапии. Кроме того, такие опухоли чувствительнее к платине. Отягощённый семейный анамнез не требуется: тестирование показано независимо от него, а его результат меняет и лечение больного, и судьбу родственников.</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na8qqj9z8xwg9hjmpwjh4">
        <w:r>
          <w:rPr>
            <w:rStyle w:val="Hyperlink"/>
            <w:rFonts w:ascii="Times New Roman" w:cs="Times New Roman" w:eastAsia="Times New Roman" w:hAnsi="Times New Roman"/>
            <w:sz w:val="20"/>
            <w:szCs w:val="20"/>
          </w:rPr>
          <w:t xml:space="preserve">POLO</w:t>
        </w:r>
      </w:hyperlink>
    </w:p>
    <w:p>
      <w:pPr>
        <w:spacing w:after="60" w:line="276"/>
      </w:pPr>
      <w:r>
        <w:rPr>
          <w:rFonts w:ascii="Times New Roman" w:cs="Times New Roman" w:eastAsia="Times New Roman" w:hAnsi="Times New Roman"/>
          <w:b/>
          <w:bCs/>
          <w:i w:val="false"/>
          <w:iCs w:val="false"/>
          <w:sz w:val="22"/>
          <w:szCs w:val="22"/>
        </w:rPr>
        <w:t xml:space="preserve">4. Первая линия при метастатическом раке поджелудочной железы у больного с ECOG 0–1 и сохранной функцией печени:</w:t>
      </w:r>
    </w:p>
    <w:p>
      <w:pPr>
        <w:spacing w:after="30" w:line="250"/>
        <w:ind w:left="340"/>
      </w:pPr>
      <w:r>
        <w:rPr>
          <w:rFonts w:ascii="Times New Roman" w:cs="Times New Roman" w:eastAsia="Times New Roman" w:hAnsi="Times New Roman"/>
          <w:b w:val="false"/>
          <w:bCs w:val="false"/>
          <w:i w:val="false"/>
          <w:iCs w:val="false"/>
          <w:sz w:val="21"/>
          <w:szCs w:val="21"/>
        </w:rPr>
        <w:t xml:space="preserve">A. FOLFIRINOX либо NALIRIFOX; альтернатива — гемцитабин с наб-паклитакселом</w:t>
      </w:r>
    </w:p>
    <w:p>
      <w:pPr>
        <w:spacing w:after="30" w:line="250"/>
        <w:ind w:left="340"/>
      </w:pPr>
      <w:r>
        <w:rPr>
          <w:rFonts w:ascii="Times New Roman" w:cs="Times New Roman" w:eastAsia="Times New Roman" w:hAnsi="Times New Roman"/>
          <w:b w:val="false"/>
          <w:bCs w:val="false"/>
          <w:i w:val="false"/>
          <w:iCs w:val="false"/>
          <w:sz w:val="21"/>
          <w:szCs w:val="21"/>
        </w:rPr>
        <w:t xml:space="preserve">B. Только симптоматическая 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C. Иммунотерапия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D. Гемцитабин в монорежиме</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PRODIGE 4 установил превосходство FOLFIRINOX у сохранных больных, NAPOLI 3 показал преимущество NALIRIFOX над гемцитабином с наб-паклитакселом. Гемцитабин в монорежиме остаётся опцией при ECOG 2 и выраженной коморбидности. Ключевой фактор выбора — функциональный статус, который при этой нозологии ухудшается быстро.</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7o5gte0v4fujkongcj5cu">
        <w:r>
          <w:rPr>
            <w:rStyle w:val="Hyperlink"/>
            <w:rFonts w:ascii="Times New Roman" w:cs="Times New Roman" w:eastAsia="Times New Roman" w:hAnsi="Times New Roman"/>
            <w:sz w:val="20"/>
            <w:szCs w:val="20"/>
          </w:rPr>
          <w:t xml:space="preserve">PRODIGE 4 · NAPOLI 3</w:t>
        </w:r>
      </w:hyperlink>
    </w:p>
    <w:p>
      <w:pPr>
        <w:spacing w:after="60" w:line="276"/>
      </w:pPr>
      <w:r>
        <w:rPr>
          <w:rFonts w:ascii="Times New Roman" w:cs="Times New Roman" w:eastAsia="Times New Roman" w:hAnsi="Times New Roman"/>
          <w:b/>
          <w:bCs/>
          <w:i w:val="false"/>
          <w:iCs w:val="false"/>
          <w:sz w:val="22"/>
          <w:szCs w:val="22"/>
        </w:rPr>
        <w:t xml:space="preserve">5. Экзокринная недостаточность поджелудочной железы у онкологического больного:</w:t>
      </w:r>
    </w:p>
    <w:p>
      <w:pPr>
        <w:spacing w:after="30" w:line="250"/>
        <w:ind w:left="340"/>
      </w:pPr>
      <w:r>
        <w:rPr>
          <w:rFonts w:ascii="Times New Roman" w:cs="Times New Roman" w:eastAsia="Times New Roman" w:hAnsi="Times New Roman"/>
          <w:b w:val="false"/>
          <w:bCs w:val="false"/>
          <w:i w:val="false"/>
          <w:iCs w:val="false"/>
          <w:sz w:val="21"/>
          <w:szCs w:val="21"/>
        </w:rPr>
        <w:t xml:space="preserve">A. Развивается у большинства больных с опухолью головки железы и после панкреатодуоденальной резекции; требует заместительной ферментной терапии в адекватной дозе</w:t>
      </w:r>
    </w:p>
    <w:p>
      <w:pPr>
        <w:spacing w:after="30" w:line="250"/>
        <w:ind w:left="340"/>
      </w:pPr>
      <w:r>
        <w:rPr>
          <w:rFonts w:ascii="Times New Roman" w:cs="Times New Roman" w:eastAsia="Times New Roman" w:hAnsi="Times New Roman"/>
          <w:b w:val="false"/>
          <w:bCs w:val="false"/>
          <w:i w:val="false"/>
          <w:iCs w:val="false"/>
          <w:sz w:val="21"/>
          <w:szCs w:val="21"/>
        </w:rPr>
        <w:t xml:space="preserve">B. Не влияет на состояние</w:t>
      </w:r>
    </w:p>
    <w:p>
      <w:pPr>
        <w:spacing w:after="30" w:line="250"/>
        <w:ind w:left="340"/>
      </w:pPr>
      <w:r>
        <w:rPr>
          <w:rFonts w:ascii="Times New Roman" w:cs="Times New Roman" w:eastAsia="Times New Roman" w:hAnsi="Times New Roman"/>
          <w:b w:val="false"/>
          <w:bCs w:val="false"/>
          <w:i w:val="false"/>
          <w:iCs w:val="false"/>
          <w:sz w:val="21"/>
          <w:szCs w:val="21"/>
        </w:rPr>
        <w:t xml:space="preserve">C. Лечится диетой без препаратов</w:t>
      </w:r>
    </w:p>
    <w:p>
      <w:pPr>
        <w:spacing w:after="30" w:line="250"/>
        <w:ind w:left="340"/>
      </w:pPr>
      <w:r>
        <w:rPr>
          <w:rFonts w:ascii="Times New Roman" w:cs="Times New Roman" w:eastAsia="Times New Roman" w:hAnsi="Times New Roman"/>
          <w:b w:val="false"/>
          <w:bCs w:val="false"/>
          <w:i w:val="false"/>
          <w:iCs w:val="false"/>
          <w:sz w:val="21"/>
          <w:szCs w:val="21"/>
        </w:rPr>
        <w:t xml:space="preserve">D. Встречается редко</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Проявляется стеатореей, вздутием и прогрессирующей потерей массы тела, но нередко расценивается как «естественное следствие болезни» и не лечится. Заместительная ферментная терапия назначается в достаточной дозе с каждым приёмом пищи; недостаточная доза — самая частая причина мнимой неэффективности. Коррекция напрямую влияет на массу тела и переносимость химиотерапии.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rf4cth4xe_uysibbb4lan">
        <w:r>
          <w:rPr>
            <w:rStyle w:val="Hyperlink"/>
            <w:rFonts w:ascii="Times New Roman" w:cs="Times New Roman" w:eastAsia="Times New Roman" w:hAnsi="Times New Roman"/>
            <w:sz w:val="20"/>
            <w:szCs w:val="20"/>
          </w:rPr>
          <w:t xml:space="preserve">Экзокринная недостаточность</w:t>
        </w:r>
      </w:hyperlink>
    </w:p>
    <w:p>
      <w:pPr>
        <w:spacing w:after="60" w:line="276"/>
      </w:pPr>
      <w:r>
        <w:rPr>
          <w:rFonts w:ascii="Times New Roman" w:cs="Times New Roman" w:eastAsia="Times New Roman" w:hAnsi="Times New Roman"/>
          <w:b/>
          <w:bCs/>
          <w:i w:val="false"/>
          <w:iCs w:val="false"/>
          <w:sz w:val="22"/>
          <w:szCs w:val="22"/>
        </w:rPr>
        <w:t xml:space="preserve">6. CA 19-9 при раке поджелудочной железы:</w:t>
      </w:r>
    </w:p>
    <w:p>
      <w:pPr>
        <w:spacing w:after="30" w:line="250"/>
        <w:ind w:left="340"/>
      </w:pPr>
      <w:r>
        <w:rPr>
          <w:rFonts w:ascii="Times New Roman" w:cs="Times New Roman" w:eastAsia="Times New Roman" w:hAnsi="Times New Roman"/>
          <w:b w:val="false"/>
          <w:bCs w:val="false"/>
          <w:i w:val="false"/>
          <w:iCs w:val="false"/>
          <w:sz w:val="21"/>
          <w:szCs w:val="21"/>
        </w:rPr>
        <w:t xml:space="preserve">A. Заменяет визуализацию</w:t>
      </w:r>
    </w:p>
    <w:p>
      <w:pPr>
        <w:spacing w:after="30" w:line="250"/>
        <w:ind w:left="340"/>
      </w:pPr>
      <w:r>
        <w:rPr>
          <w:rFonts w:ascii="Times New Roman" w:cs="Times New Roman" w:eastAsia="Times New Roman" w:hAnsi="Times New Roman"/>
          <w:b w:val="false"/>
          <w:bCs w:val="false"/>
          <w:i w:val="false"/>
          <w:iCs w:val="false"/>
          <w:sz w:val="21"/>
          <w:szCs w:val="21"/>
        </w:rPr>
        <w:t xml:space="preserve">B. Определяет резектабельность</w:t>
      </w:r>
    </w:p>
    <w:p>
      <w:pPr>
        <w:spacing w:after="30" w:line="250"/>
        <w:ind w:left="340"/>
      </w:pPr>
      <w:r>
        <w:rPr>
          <w:rFonts w:ascii="Times New Roman" w:cs="Times New Roman" w:eastAsia="Times New Roman" w:hAnsi="Times New Roman"/>
          <w:b w:val="false"/>
          <w:bCs w:val="false"/>
          <w:i w:val="false"/>
          <w:iCs w:val="false"/>
          <w:sz w:val="21"/>
          <w:szCs w:val="21"/>
        </w:rPr>
        <w:t xml:space="preserve">C. Используется для оценки ответа и наблюдения; при холестазе ложно повышается, а у части людей не вырабатывается вовсе</w:t>
      </w:r>
    </w:p>
    <w:p>
      <w:pPr>
        <w:spacing w:after="30" w:line="250"/>
        <w:ind w:left="340"/>
      </w:pPr>
      <w:r>
        <w:rPr>
          <w:rFonts w:ascii="Times New Roman" w:cs="Times New Roman" w:eastAsia="Times New Roman" w:hAnsi="Times New Roman"/>
          <w:b w:val="false"/>
          <w:bCs w:val="false"/>
          <w:i w:val="false"/>
          <w:iCs w:val="false"/>
          <w:sz w:val="21"/>
          <w:szCs w:val="21"/>
        </w:rPr>
        <w:t xml:space="preserve">D. Применяется для скрининга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Оценка маркёра при желтухе лишена смысла: холестаз любой природы резко его повышает. Примерно у 5–10 % людей с фенотипом Льюис-отрицательным он не синтезируется, и в этом случае непригоден для наблюдения. Динамика после начала терапии обладает прогностическим значением.</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kuie4jfz8enldkfkyluy8">
        <w:r>
          <w:rPr>
            <w:rStyle w:val="Hyperlink"/>
            <w:rFonts w:ascii="Times New Roman" w:cs="Times New Roman" w:eastAsia="Times New Roman" w:hAnsi="Times New Roman"/>
            <w:sz w:val="20"/>
            <w:szCs w:val="20"/>
          </w:rPr>
          <w:t xml:space="preserve">ESMO Clinical Practice Guidelines</w:t>
        </w:r>
      </w:hyperlink>
    </w:p>
    <w:p>
      <w:pPr>
        <w:spacing w:after="60" w:line="276"/>
      </w:pPr>
      <w:r>
        <w:rPr>
          <w:rFonts w:ascii="Times New Roman" w:cs="Times New Roman" w:eastAsia="Times New Roman" w:hAnsi="Times New Roman"/>
          <w:b/>
          <w:bCs/>
          <w:i w:val="false"/>
          <w:iCs w:val="false"/>
          <w:sz w:val="22"/>
          <w:szCs w:val="22"/>
        </w:rPr>
        <w:t xml:space="preserve">7. При механической желтухе у больного с опухолью головки поджелудочной железы, которому планируется неоадъювантная 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A. Дренирование не требуется</w:t>
      </w:r>
    </w:p>
    <w:p>
      <w:pPr>
        <w:spacing w:after="30" w:line="250"/>
        <w:ind w:left="340"/>
      </w:pPr>
      <w:r>
        <w:rPr>
          <w:rFonts w:ascii="Times New Roman" w:cs="Times New Roman" w:eastAsia="Times New Roman" w:hAnsi="Times New Roman"/>
          <w:b w:val="false"/>
          <w:bCs w:val="false"/>
          <w:i w:val="false"/>
          <w:iCs w:val="false"/>
          <w:sz w:val="21"/>
          <w:szCs w:val="21"/>
        </w:rPr>
        <w:t xml:space="preserve">B. Показана только операция</w:t>
      </w:r>
    </w:p>
    <w:p>
      <w:pPr>
        <w:spacing w:after="30" w:line="250"/>
        <w:ind w:left="340"/>
      </w:pPr>
      <w:r>
        <w:rPr>
          <w:rFonts w:ascii="Times New Roman" w:cs="Times New Roman" w:eastAsia="Times New Roman" w:hAnsi="Times New Roman"/>
          <w:b w:val="false"/>
          <w:bCs w:val="false"/>
          <w:i w:val="false"/>
          <w:iCs w:val="false"/>
          <w:sz w:val="21"/>
          <w:szCs w:val="21"/>
        </w:rPr>
        <w:t xml:space="preserve">C. Показана лучевая 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D. Показано билиарное дренирование или стентирование до начала лечения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Гипербилирубинемия делает невозможным назначение большинства химиопрепаратов и повышает риск холангита. Эндоскопическое стентирование восстанавливает отток; при планируемой неоадъювантной терапии предпочтителен металлический стент, обеспечивающий более длительную проходимость. После разрешения желтухи повторно оценивается CA 19-9.</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0_zevjg_xa1kpudymvybh">
        <w:r>
          <w:rPr>
            <w:rStyle w:val="Hyperlink"/>
            <w:rFonts w:ascii="Times New Roman" w:cs="Times New Roman" w:eastAsia="Times New Roman" w:hAnsi="Times New Roman"/>
            <w:sz w:val="20"/>
            <w:szCs w:val="20"/>
          </w:rPr>
          <w:t xml:space="preserve">ESMO Clinical Practice Guidelines</w:t>
        </w:r>
      </w:hyperlink>
    </w:p>
    <w:p>
      <w:pPr>
        <w:spacing w:after="60" w:line="276"/>
      </w:pPr>
      <w:r>
        <w:rPr>
          <w:rFonts w:ascii="Times New Roman" w:cs="Times New Roman" w:eastAsia="Times New Roman" w:hAnsi="Times New Roman"/>
          <w:b/>
          <w:bCs/>
          <w:i w:val="false"/>
          <w:iCs w:val="false"/>
          <w:sz w:val="22"/>
          <w:szCs w:val="22"/>
        </w:rPr>
        <w:t xml:space="preserve">8. Наиболее значимая проблема качества жизни при раке поджелудочной железы, требующая активного вмешательства:</w:t>
      </w:r>
    </w:p>
    <w:p>
      <w:pPr>
        <w:spacing w:after="30" w:line="250"/>
        <w:ind w:left="340"/>
      </w:pPr>
      <w:r>
        <w:rPr>
          <w:rFonts w:ascii="Times New Roman" w:cs="Times New Roman" w:eastAsia="Times New Roman" w:hAnsi="Times New Roman"/>
          <w:b w:val="false"/>
          <w:bCs w:val="false"/>
          <w:i w:val="false"/>
          <w:iCs w:val="false"/>
          <w:sz w:val="21"/>
          <w:szCs w:val="21"/>
        </w:rPr>
        <w:t xml:space="preserve">A. Алопеция</w:t>
      </w:r>
    </w:p>
    <w:p>
      <w:pPr>
        <w:spacing w:after="30" w:line="250"/>
        <w:ind w:left="340"/>
      </w:pPr>
      <w:r>
        <w:rPr>
          <w:rFonts w:ascii="Times New Roman" w:cs="Times New Roman" w:eastAsia="Times New Roman" w:hAnsi="Times New Roman"/>
          <w:b w:val="false"/>
          <w:bCs w:val="false"/>
          <w:i w:val="false"/>
          <w:iCs w:val="false"/>
          <w:sz w:val="21"/>
          <w:szCs w:val="21"/>
        </w:rPr>
        <w:t xml:space="preserve">B. Кардиотоксичность</w:t>
      </w:r>
    </w:p>
    <w:p>
      <w:pPr>
        <w:spacing w:after="30" w:line="250"/>
        <w:ind w:left="340"/>
      </w:pPr>
      <w:r>
        <w:rPr>
          <w:rFonts w:ascii="Times New Roman" w:cs="Times New Roman" w:eastAsia="Times New Roman" w:hAnsi="Times New Roman"/>
          <w:b w:val="false"/>
          <w:bCs w:val="false"/>
          <w:i w:val="false"/>
          <w:iCs w:val="false"/>
          <w:sz w:val="21"/>
          <w:szCs w:val="21"/>
        </w:rPr>
        <w:t xml:space="preserve">C. Тошнота</w:t>
      </w:r>
    </w:p>
    <w:p>
      <w:pPr>
        <w:spacing w:after="30" w:line="250"/>
        <w:ind w:left="340"/>
      </w:pPr>
      <w:r>
        <w:rPr>
          <w:rFonts w:ascii="Times New Roman" w:cs="Times New Roman" w:eastAsia="Times New Roman" w:hAnsi="Times New Roman"/>
          <w:b w:val="false"/>
          <w:bCs w:val="false"/>
          <w:i w:val="false"/>
          <w:iCs w:val="false"/>
          <w:sz w:val="21"/>
          <w:szCs w:val="21"/>
        </w:rPr>
        <w:t xml:space="preserve">D. Болевой синдром, часто нейропатического характера вследствие вовлечения чревного сплетения, и кахексия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Боль при опухоли тела и хвоста нередко плохо контролируется опиоидами и требует адъювантных препаратов, а при рефрактерности — нейролизиса чревного сплетения, дающего выраженный и длительный эффект. Кахексия требует нутритивного вмешательства и ферментной терапии. Раннее подключение паллиативной службы при этой нозологии особенно оправдано.</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_8-5ubbpdvpf0ovtijrgs">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spacing w:after="60" w:line="276"/>
      </w:pPr>
      <w:r>
        <w:rPr>
          <w:rFonts w:ascii="Times New Roman" w:cs="Times New Roman" w:eastAsia="Times New Roman" w:hAnsi="Times New Roman"/>
          <w:b/>
          <w:bCs/>
          <w:i w:val="false"/>
          <w:iCs w:val="false"/>
          <w:sz w:val="22"/>
          <w:szCs w:val="22"/>
        </w:rPr>
        <w:t xml:space="preserve">9. Ампулярные раки требуют определения гистологического подтипа, потому что:</w:t>
      </w:r>
    </w:p>
    <w:p>
      <w:pPr>
        <w:spacing w:after="30" w:line="250"/>
        <w:ind w:left="340"/>
      </w:pPr>
      <w:r>
        <w:rPr>
          <w:rFonts w:ascii="Times New Roman" w:cs="Times New Roman" w:eastAsia="Times New Roman" w:hAnsi="Times New Roman"/>
          <w:b w:val="false"/>
          <w:bCs w:val="false"/>
          <w:i w:val="false"/>
          <w:iCs w:val="false"/>
          <w:sz w:val="21"/>
          <w:szCs w:val="21"/>
        </w:rPr>
        <w:t xml:space="preserve">A. Кишечный подтип лечится по алгоритмам колоректального рака, панкреатобилиарный — по алгоритмам рака поджелудочной железы</w:t>
      </w:r>
    </w:p>
    <w:p>
      <w:pPr>
        <w:spacing w:after="30" w:line="250"/>
        <w:ind w:left="340"/>
      </w:pPr>
      <w:r>
        <w:rPr>
          <w:rFonts w:ascii="Times New Roman" w:cs="Times New Roman" w:eastAsia="Times New Roman" w:hAnsi="Times New Roman"/>
          <w:b w:val="false"/>
          <w:bCs w:val="false"/>
          <w:i w:val="false"/>
          <w:iCs w:val="false"/>
          <w:sz w:val="21"/>
          <w:szCs w:val="21"/>
        </w:rPr>
        <w:t xml:space="preserve">B. Это влияет только на прогноз</w:t>
      </w:r>
    </w:p>
    <w:p>
      <w:pPr>
        <w:spacing w:after="30" w:line="250"/>
        <w:ind w:left="340"/>
      </w:pPr>
      <w:r>
        <w:rPr>
          <w:rFonts w:ascii="Times New Roman" w:cs="Times New Roman" w:eastAsia="Times New Roman" w:hAnsi="Times New Roman"/>
          <w:b w:val="false"/>
          <w:bCs w:val="false"/>
          <w:i w:val="false"/>
          <w:iCs w:val="false"/>
          <w:sz w:val="21"/>
          <w:szCs w:val="21"/>
        </w:rPr>
        <w:t xml:space="preserve">C. Определяет объём операции</w:t>
      </w:r>
    </w:p>
    <w:p>
      <w:pPr>
        <w:spacing w:after="30" w:line="250"/>
        <w:ind w:left="340"/>
      </w:pPr>
      <w:r>
        <w:rPr>
          <w:rFonts w:ascii="Times New Roman" w:cs="Times New Roman" w:eastAsia="Times New Roman" w:hAnsi="Times New Roman"/>
          <w:b w:val="false"/>
          <w:bCs w:val="false"/>
          <w:i w:val="false"/>
          <w:iCs w:val="false"/>
          <w:sz w:val="21"/>
          <w:szCs w:val="21"/>
        </w:rPr>
        <w:t xml:space="preserve">D. Подтип не имеет значения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Ампулярная зона — место стыка трёх эпителиев, и опухоли отсюда биологически разнородны. Кишечный подтип имеет лучший прогноз и отвечает на фторпиримидин-содержащие режимы с оксалиплатином, панкреатобилиарный ведёт себя агрессивнее. Разграничение проводится морфологически и иммуногистохимически.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mt9vij-a6nyox1c4lyzu0">
        <w:r>
          <w:rPr>
            <w:rStyle w:val="Hyperlink"/>
            <w:rFonts w:ascii="Times New Roman" w:cs="Times New Roman" w:eastAsia="Times New Roman" w:hAnsi="Times New Roman"/>
            <w:sz w:val="20"/>
            <w:szCs w:val="20"/>
          </w:rPr>
          <w:t xml:space="preserve">Рак тонкой кишки и ампулярные раки</w:t>
        </w:r>
      </w:hyperlink>
    </w:p>
    <w:p>
      <w:pPr>
        <w:spacing w:after="60" w:line="276"/>
      </w:pPr>
      <w:r>
        <w:rPr>
          <w:rFonts w:ascii="Times New Roman" w:cs="Times New Roman" w:eastAsia="Times New Roman" w:hAnsi="Times New Roman"/>
          <w:b/>
          <w:bCs/>
          <w:i w:val="false"/>
          <w:iCs w:val="false"/>
          <w:sz w:val="22"/>
          <w:szCs w:val="22"/>
        </w:rPr>
        <w:t xml:space="preserve">10. При аденокарциноме тонкой кишки обязательно определение:</w:t>
      </w:r>
    </w:p>
    <w:p>
      <w:pPr>
        <w:spacing w:after="30" w:line="250"/>
        <w:ind w:left="340"/>
      </w:pPr>
      <w:r>
        <w:rPr>
          <w:rFonts w:ascii="Times New Roman" w:cs="Times New Roman" w:eastAsia="Times New Roman" w:hAnsi="Times New Roman"/>
          <w:b w:val="false"/>
          <w:bCs w:val="false"/>
          <w:i w:val="false"/>
          <w:iCs w:val="false"/>
          <w:sz w:val="21"/>
          <w:szCs w:val="21"/>
        </w:rPr>
        <w:t xml:space="preserve">A. HER2</w:t>
      </w:r>
    </w:p>
    <w:p>
      <w:pPr>
        <w:spacing w:after="30" w:line="250"/>
        <w:ind w:left="340"/>
      </w:pPr>
      <w:r>
        <w:rPr>
          <w:rFonts w:ascii="Times New Roman" w:cs="Times New Roman" w:eastAsia="Times New Roman" w:hAnsi="Times New Roman"/>
          <w:b w:val="false"/>
          <w:bCs w:val="false"/>
          <w:i w:val="false"/>
          <w:iCs w:val="false"/>
          <w:sz w:val="21"/>
          <w:szCs w:val="21"/>
        </w:rPr>
        <w:t xml:space="preserve">B. Статуса MMR/MSI, поскольку дефицит системы репарации встречается нередко и открывает возможность иммунотерапии; также следует помнить о связи с синдромом Линча и целиакией</w:t>
      </w:r>
    </w:p>
    <w:p>
      <w:pPr>
        <w:spacing w:after="30" w:line="250"/>
        <w:ind w:left="340"/>
      </w:pPr>
      <w:r>
        <w:rPr>
          <w:rFonts w:ascii="Times New Roman" w:cs="Times New Roman" w:eastAsia="Times New Roman" w:hAnsi="Times New Roman"/>
          <w:b w:val="false"/>
          <w:bCs w:val="false"/>
          <w:i w:val="false"/>
          <w:iCs w:val="false"/>
          <w:sz w:val="21"/>
          <w:szCs w:val="21"/>
        </w:rPr>
        <w:t xml:space="preserve">C. PD-L1</w:t>
      </w:r>
    </w:p>
    <w:p>
      <w:pPr>
        <w:spacing w:after="30" w:line="250"/>
        <w:ind w:left="340"/>
      </w:pPr>
      <w:r>
        <w:rPr>
          <w:rFonts w:ascii="Times New Roman" w:cs="Times New Roman" w:eastAsia="Times New Roman" w:hAnsi="Times New Roman"/>
          <w:b w:val="false"/>
          <w:bCs w:val="false"/>
          <w:i w:val="false"/>
          <w:iCs w:val="false"/>
          <w:sz w:val="21"/>
          <w:szCs w:val="21"/>
        </w:rPr>
        <w:t xml:space="preserve">D. Только РЭА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Аденокарцинома тонкой кишки — редкая опухоль, тактика при которой во многом экстраполируется с колоректального рака. Дефицит системы репарации встречается заметно чаще, чем при раке толстой кишки, что делает тестирование обязательным. Отдельно учитываются предрасполагающие состояния: синдром Линча, семейный аденоматозный полипоз, болезнь Крона, целиакия.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e8tzdugkjksfyuc_2dmpv">
        <w:r>
          <w:rPr>
            <w:rStyle w:val="Hyperlink"/>
            <w:rFonts w:ascii="Times New Roman" w:cs="Times New Roman" w:eastAsia="Times New Roman" w:hAnsi="Times New Roman"/>
            <w:sz w:val="20"/>
            <w:szCs w:val="20"/>
          </w:rPr>
          <w:t xml:space="preserve">Рак тонкой кишки и ампулярные раки</w:t>
        </w:r>
      </w:hyperlink>
    </w:p>
    <w:p>
      <w:r>
        <w:br w:type="page"/>
      </w:r>
    </w:p>
    <w:p>
      <w:pPr>
        <w:pStyle w:val="Heading2"/>
        <w:spacing w:after="130" w:before="260"/>
      </w:pPr>
      <w:r>
        <w:rPr>
          <w:rFonts w:ascii="Times New Roman" w:cs="Times New Roman" w:eastAsia="Times New Roman" w:hAnsi="Times New Roman"/>
          <w:b/>
          <w:bCs/>
          <w:sz w:val="26"/>
          <w:szCs w:val="26"/>
        </w:rPr>
        <w:t xml:space="preserve">Б2. Клинические задачи</w:t>
      </w:r>
    </w:p>
    <w:p>
      <w:pPr>
        <w:pStyle w:val="Heading3"/>
        <w:spacing w:after="130" w:before="260"/>
      </w:pPr>
      <w:r>
        <w:rPr>
          <w:rFonts w:ascii="Times New Roman" w:cs="Times New Roman" w:eastAsia="Times New Roman" w:hAnsi="Times New Roman"/>
          <w:b/>
          <w:bCs/>
          <w:sz w:val="23"/>
          <w:szCs w:val="23"/>
        </w:rPr>
        <w:t xml:space="preserve">Задача 1. Пограничнорезектабельный процесс</w:t>
      </w:r>
    </w:p>
    <w:p>
      <w:pPr>
        <w:spacing w:after="120" w:line="276"/>
      </w:pPr>
      <w:r>
        <w:rPr>
          <w:rFonts w:ascii="Times New Roman" w:cs="Times New Roman" w:eastAsia="Times New Roman" w:hAnsi="Times New Roman"/>
          <w:b w:val="false"/>
          <w:bCs w:val="false"/>
          <w:i w:val="false"/>
          <w:iCs w:val="false"/>
          <w:sz w:val="22"/>
          <w:szCs w:val="22"/>
        </w:rPr>
        <w:t xml:space="preserve">Мужчина 64 лет, аденокарцинома головки поджелудочной железы с контактом опухоли с верхней брыжеечной веной на протяжении менее половины окружности. Механическая желтуха, билирубин 210 мкмоль/л, CA 19-9 1800 Ед/мл, ECOG 1.</w:t>
      </w:r>
    </w:p>
    <w:p>
      <w:pPr>
        <w:spacing w:after="120" w:line="276"/>
      </w:pPr>
      <w:r>
        <w:rPr>
          <w:rFonts w:ascii="Times New Roman" w:cs="Times New Roman" w:eastAsia="Times New Roman" w:hAnsi="Times New Roman"/>
          <w:b/>
          <w:bCs/>
          <w:i w:val="false"/>
          <w:iCs w:val="false"/>
          <w:sz w:val="22"/>
          <w:szCs w:val="22"/>
        </w:rPr>
        <w:t xml:space="preserve">Вопросы: 1) Порядок действий? 2) Какая стратегия? 3) Что оценивать в динамике?</w:t>
      </w:r>
    </w:p>
    <w:p>
      <w:pPr>
        <w:spacing w:after="60" w:line="270"/>
      </w:pPr>
      <w:r>
        <w:rPr>
          <w:rFonts w:ascii="Times New Roman" w:cs="Times New Roman" w:eastAsia="Times New Roman" w:hAnsi="Times New Roman"/>
          <w:b w:val="false"/>
          <w:bCs w:val="false"/>
          <w:i/>
          <w:iCs/>
          <w:sz w:val="21"/>
          <w:szCs w:val="21"/>
        </w:rPr>
        <w:t xml:space="preserve">Эталонный ответ. Первый шаг — билиарное дренирование со стентированием: при билирубине 210 мкмоль/л ни химиотерапия, ни операция невозможны. При планируемой неоадъювантной терапии предпочтителен металлический стент. Оценивать CA 19-9 до разрешения желтухи бессмысленно — холестаз резко его повышает; исходный уровень определяется повторно после нормализации билирубина. Стратегия при пограничной резектабельности — неоадъювантная химиотерапия, при сохранном статусе FOLFIRINOX, с последующей переоценкой резектабельности по КТ через 2–3 месяца; обсуждается добавление химиолучевой терапии по модели PREOPANC. Параллельно назначаются заместительная ферментная терапия и нутритивная поддержка, выполняется тестирование зародышевой линии. В динамике оцениваются КТ, CA 19-9 и функциональный статус: его ухудшение — важнейший сигнал.</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xmyrllayflrp9fgxyvd6s">
        <w:r>
          <w:rPr>
            <w:rStyle w:val="Hyperlink"/>
            <w:rFonts w:ascii="Times New Roman" w:cs="Times New Roman" w:eastAsia="Times New Roman" w:hAnsi="Times New Roman"/>
            <w:sz w:val="20"/>
            <w:szCs w:val="20"/>
          </w:rPr>
          <w:t xml:space="preserve">PREOPANC</w:t>
        </w:r>
      </w:hyperlink>
      <w:r>
        <w:rPr>
          <w:rFonts w:ascii="Times New Roman" w:cs="Times New Roman" w:eastAsia="Times New Roman" w:hAnsi="Times New Roman"/>
          <w:b w:val="false"/>
          <w:bCs w:val="false"/>
          <w:i w:val="false"/>
          <w:iCs w:val="false"/>
          <w:sz w:val="20"/>
          <w:szCs w:val="20"/>
        </w:rPr>
        <w:t xml:space="preserve"> · </w:t>
      </w:r>
      <w:hyperlink w:history="1" r:id="rIdxxupwjbjtelmswsfpyvt4">
        <w:r>
          <w:rPr>
            <w:rStyle w:val="Hyperlink"/>
            <w:rFonts w:ascii="Times New Roman" w:cs="Times New Roman" w:eastAsia="Times New Roman" w:hAnsi="Times New Roman"/>
            <w:sz w:val="20"/>
            <w:szCs w:val="20"/>
          </w:rPr>
          <w:t xml:space="preserve">PRODIGE 4</w:t>
        </w:r>
      </w:hyperlink>
    </w:p>
    <w:p>
      <w:pPr>
        <w:pStyle w:val="Heading3"/>
        <w:spacing w:after="130" w:before="260"/>
      </w:pPr>
      <w:r>
        <w:rPr>
          <w:rFonts w:ascii="Times New Roman" w:cs="Times New Roman" w:eastAsia="Times New Roman" w:hAnsi="Times New Roman"/>
          <w:b/>
          <w:bCs/>
          <w:sz w:val="23"/>
          <w:szCs w:val="23"/>
        </w:rPr>
        <w:t xml:space="preserve">Задача 2. Наследственная предрасположенность</w:t>
      </w:r>
    </w:p>
    <w:p>
      <w:pPr>
        <w:spacing w:after="120" w:line="276"/>
      </w:pPr>
      <w:r>
        <w:rPr>
          <w:rFonts w:ascii="Times New Roman" w:cs="Times New Roman" w:eastAsia="Times New Roman" w:hAnsi="Times New Roman"/>
          <w:b w:val="false"/>
          <w:bCs w:val="false"/>
          <w:i w:val="false"/>
          <w:iCs w:val="false"/>
          <w:sz w:val="22"/>
          <w:szCs w:val="22"/>
        </w:rPr>
        <w:t xml:space="preserve">Женщина 51 года, метастатический рак поджелудочной железы, метастазы в печени. Получает FOLFIRINOX, через 4 месяца — стабилизация и частичный ответ, переносимость удовлетворительная, но нарастает нейропатия.</w:t>
      </w:r>
    </w:p>
    <w:p>
      <w:pPr>
        <w:spacing w:after="120" w:line="276"/>
      </w:pPr>
      <w:r>
        <w:rPr>
          <w:rFonts w:ascii="Times New Roman" w:cs="Times New Roman" w:eastAsia="Times New Roman" w:hAnsi="Times New Roman"/>
          <w:b/>
          <w:bCs/>
          <w:i w:val="false"/>
          <w:iCs w:val="false"/>
          <w:sz w:val="22"/>
          <w:szCs w:val="22"/>
        </w:rPr>
        <w:t xml:space="preserve">Вопросы: 1) Что необходимо было выполнить в начале? 2) Что это меняет сейчас? 3) Как поступить с нейропатией?</w:t>
      </w:r>
    </w:p>
    <w:p>
      <w:pPr>
        <w:spacing w:after="60" w:line="270"/>
      </w:pPr>
      <w:r>
        <w:rPr>
          <w:rFonts w:ascii="Times New Roman" w:cs="Times New Roman" w:eastAsia="Times New Roman" w:hAnsi="Times New Roman"/>
          <w:b w:val="false"/>
          <w:bCs w:val="false"/>
          <w:i/>
          <w:iCs/>
          <w:sz w:val="21"/>
          <w:szCs w:val="21"/>
        </w:rPr>
        <w:t xml:space="preserve">Эталонный ответ. В начале необходимо было выполнить тестирование зародышевой линии — оно показано всем больным раком поджелудочной железы независимо от семейного анамнеза; если оно не сделано, назначить сейчас. При выявлении герминальной мутации BRCA1/2 после платиносодержащей терапии по данным POLO обосновано поддерживающее лечение олапарибом: оно улучшает беспрогрессивную выживаемость и позволяет прервать токсичную химиотерапию. Это и решает вопрос с нейропатией: вместо продолжения FOLFIRINOX до нарастания повреждения возможен переход на поддерживающую терапию. При отсутствии мутации разумной альтернативой служит переход на поддерживающий режим без оксалиплатина, что снижает нейротоксичность при сохранении контроля. Обязательно направление на генетическое консультирование для каскадного тестирования родственников.</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g6tmglwbpr1210nfl4tw1">
        <w:r>
          <w:rPr>
            <w:rStyle w:val="Hyperlink"/>
            <w:rFonts w:ascii="Times New Roman" w:cs="Times New Roman" w:eastAsia="Times New Roman" w:hAnsi="Times New Roman"/>
            <w:sz w:val="20"/>
            <w:szCs w:val="20"/>
          </w:rPr>
          <w:t xml:space="preserve">POLO</w:t>
        </w:r>
      </w:hyperlink>
      <w:r>
        <w:rPr>
          <w:rFonts w:ascii="Times New Roman" w:cs="Times New Roman" w:eastAsia="Times New Roman" w:hAnsi="Times New Roman"/>
          <w:b w:val="false"/>
          <w:bCs w:val="false"/>
          <w:i w:val="false"/>
          <w:iCs w:val="false"/>
          <w:sz w:val="20"/>
          <w:szCs w:val="20"/>
        </w:rPr>
        <w:t xml:space="preserve"> · </w:t>
      </w:r>
      <w:hyperlink w:history="1" r:id="rId8vktzvcl_wvl9ieri13bd">
        <w:r>
          <w:rPr>
            <w:rStyle w:val="Hyperlink"/>
            <w:rFonts w:ascii="Times New Roman" w:cs="Times New Roman" w:eastAsia="Times New Roman" w:hAnsi="Times New Roman"/>
            <w:sz w:val="20"/>
            <w:szCs w:val="20"/>
          </w:rPr>
          <w:t xml:space="preserve">Рекомендации ASCO по нейропатии</w:t>
        </w:r>
      </w:hyperlink>
    </w:p>
    <w:p>
      <w:pPr>
        <w:pStyle w:val="Heading3"/>
        <w:spacing w:after="130" w:before="260"/>
      </w:pPr>
      <w:r>
        <w:rPr>
          <w:rFonts w:ascii="Times New Roman" w:cs="Times New Roman" w:eastAsia="Times New Roman" w:hAnsi="Times New Roman"/>
          <w:b/>
          <w:bCs/>
          <w:sz w:val="23"/>
          <w:szCs w:val="23"/>
        </w:rPr>
        <w:t xml:space="preserve">Задача 3. Кахексия и боль</w:t>
      </w:r>
    </w:p>
    <w:p>
      <w:pPr>
        <w:spacing w:after="120" w:line="276"/>
      </w:pPr>
      <w:r>
        <w:rPr>
          <w:rFonts w:ascii="Times New Roman" w:cs="Times New Roman" w:eastAsia="Times New Roman" w:hAnsi="Times New Roman"/>
          <w:b w:val="false"/>
          <w:bCs w:val="false"/>
          <w:i w:val="false"/>
          <w:iCs w:val="false"/>
          <w:sz w:val="22"/>
          <w:szCs w:val="22"/>
        </w:rPr>
        <w:t xml:space="preserve">Мужчина 68 лет, местнораспространённый рак тела поджелудочной железы. Потерял 16 кг за 4 месяца, стеаторея, боль в спине опоясывающего характера, плохо купируемая трамадолом. ECOG 2.</w:t>
      </w:r>
    </w:p>
    <w:p>
      <w:pPr>
        <w:spacing w:after="120" w:line="276"/>
      </w:pPr>
      <w:r>
        <w:rPr>
          <w:rFonts w:ascii="Times New Roman" w:cs="Times New Roman" w:eastAsia="Times New Roman" w:hAnsi="Times New Roman"/>
          <w:b/>
          <w:bCs/>
          <w:i w:val="false"/>
          <w:iCs w:val="false"/>
          <w:sz w:val="22"/>
          <w:szCs w:val="22"/>
        </w:rPr>
        <w:t xml:space="preserve">Вопросы: 1) Что упущено? 2) Что назначить? 3) Что рассмотреть при рефрактерной боли?</w:t>
      </w:r>
    </w:p>
    <w:p>
      <w:pPr>
        <w:spacing w:after="60" w:line="270"/>
      </w:pPr>
      <w:r>
        <w:rPr>
          <w:rFonts w:ascii="Times New Roman" w:cs="Times New Roman" w:eastAsia="Times New Roman" w:hAnsi="Times New Roman"/>
          <w:b w:val="false"/>
          <w:bCs w:val="false"/>
          <w:i/>
          <w:iCs/>
          <w:sz w:val="21"/>
          <w:szCs w:val="21"/>
        </w:rPr>
        <w:t xml:space="preserve">Эталонный ответ. Упущены две вещи, которые при этой нозологии определяют качество жизни сильнее противоопухолевой терапии. Первая — экзокринная недостаточность: стеаторея и стремительная потеря массы тела требуют заместительной ферментной терапии в адекватной дозе с каждым приёмом пищи; недостаточная доза — самая частая причина мнимой неэффективности. Вторая — неадекватное обезболивание: трамадол при такой боли недостаточен, необходим переход на сильные опиоиды с титрованием, добавление адъювантных препаратов при нейропатическом компоненте и обязательная профилактика запоров. При рефрактерной боли, характерной для опухолей тела с вовлечением чревного сплетения, рассматривается нейролизис чревного сплетения — он даёт выраженный и длительный эффект и позволяет снизить дозу опиоидов. Параллельно подключается паллиативная служба и оценивается нутритивный статус диетологом.</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8-9hwvr-kyeqttjujqo4r">
        <w:r>
          <w:rPr>
            <w:rStyle w:val="Hyperlink"/>
            <w:rFonts w:ascii="Times New Roman" w:cs="Times New Roman" w:eastAsia="Times New Roman" w:hAnsi="Times New Roman"/>
            <w:sz w:val="20"/>
            <w:szCs w:val="20"/>
          </w:rPr>
          <w:t xml:space="preserve">Экзокринная недостаточность</w:t>
        </w:r>
      </w:hyperlink>
      <w:r>
        <w:rPr>
          <w:rFonts w:ascii="Times New Roman" w:cs="Times New Roman" w:eastAsia="Times New Roman" w:hAnsi="Times New Roman"/>
          <w:b w:val="false"/>
          <w:bCs w:val="false"/>
          <w:i w:val="false"/>
          <w:iCs w:val="false"/>
          <w:sz w:val="20"/>
          <w:szCs w:val="20"/>
        </w:rPr>
        <w:t xml:space="preserve"> · </w:t>
      </w:r>
      <w:hyperlink w:history="1" r:id="rIdvovjctv7pjybmzrmcyyq9">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pStyle w:val="Heading3"/>
        <w:spacing w:after="130" w:before="260"/>
      </w:pPr>
      <w:r>
        <w:rPr>
          <w:rFonts w:ascii="Times New Roman" w:cs="Times New Roman" w:eastAsia="Times New Roman" w:hAnsi="Times New Roman"/>
          <w:b/>
          <w:bCs/>
          <w:sz w:val="23"/>
          <w:szCs w:val="23"/>
        </w:rPr>
        <w:t xml:space="preserve">Задача 4. Ампулярный рак</w:t>
      </w:r>
    </w:p>
    <w:p>
      <w:pPr>
        <w:spacing w:after="120" w:line="276"/>
      </w:pPr>
      <w:r>
        <w:rPr>
          <w:rFonts w:ascii="Times New Roman" w:cs="Times New Roman" w:eastAsia="Times New Roman" w:hAnsi="Times New Roman"/>
          <w:b w:val="false"/>
          <w:bCs w:val="false"/>
          <w:i w:val="false"/>
          <w:iCs w:val="false"/>
          <w:sz w:val="22"/>
          <w:szCs w:val="22"/>
        </w:rPr>
        <w:t xml:space="preserve">Женщина 59 лет перенесла панкреатодуоденальную резекцию по поводу опухоли большого дуоденального сосочка. Заключение: аденокарцинома, pT3N1. Подтип не указан.</w:t>
      </w:r>
    </w:p>
    <w:p>
      <w:pPr>
        <w:spacing w:after="120" w:line="276"/>
      </w:pPr>
      <w:r>
        <w:rPr>
          <w:rFonts w:ascii="Times New Roman" w:cs="Times New Roman" w:eastAsia="Times New Roman" w:hAnsi="Times New Roman"/>
          <w:b/>
          <w:bCs/>
          <w:i w:val="false"/>
          <w:iCs w:val="false"/>
          <w:sz w:val="22"/>
          <w:szCs w:val="22"/>
        </w:rPr>
        <w:t xml:space="preserve">Вопросы: 1) Чего не хватает? 2) Почему это важно? 3) Что ещё определить?</w:t>
      </w:r>
    </w:p>
    <w:p>
      <w:pPr>
        <w:spacing w:after="60" w:line="270"/>
      </w:pPr>
      <w:r>
        <w:rPr>
          <w:rFonts w:ascii="Times New Roman" w:cs="Times New Roman" w:eastAsia="Times New Roman" w:hAnsi="Times New Roman"/>
          <w:b w:val="false"/>
          <w:bCs w:val="false"/>
          <w:i/>
          <w:iCs/>
          <w:sz w:val="21"/>
          <w:szCs w:val="21"/>
        </w:rPr>
        <w:t xml:space="preserve">Эталонный ответ. Не указан гистологический подтип — кишечный или панкреатобилиарный. Это принципиально, поскольку определяет выбор адъювантной схемы: при кишечном подтипе применяются режимы, характерные для колоректального рака — фторпиримидин с оксалиплатином, при панкреатобилиарном — режимы, характерные для рака поджелудочной железы, с существенно иным прогнозом. Следует запросить у патолога уточнение с иммуногистохимическим исследованием. Дополнительно определяется статус MMR/MSI: при опухолях этой зоны и тонкой кишки дефицит системы репарации встречается нередко и открывает возможность иммунотерапии при прогрессировании, а также может указывать на синдром Линча, требуя генетического консультирования.</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72mfga3nulgwufceqon2k">
        <w:r>
          <w:rPr>
            <w:rStyle w:val="Hyperlink"/>
            <w:rFonts w:ascii="Times New Roman" w:cs="Times New Roman" w:eastAsia="Times New Roman" w:hAnsi="Times New Roman"/>
            <w:sz w:val="20"/>
            <w:szCs w:val="20"/>
          </w:rPr>
          <w:t xml:space="preserve">Рак тонкой кишки и ампулярные раки</w:t>
        </w:r>
      </w:hyperlink>
      <w:r>
        <w:rPr>
          <w:rFonts w:ascii="Times New Roman" w:cs="Times New Roman" w:eastAsia="Times New Roman" w:hAnsi="Times New Roman"/>
          <w:b w:val="false"/>
          <w:bCs w:val="false"/>
          <w:i w:val="false"/>
          <w:iCs w:val="false"/>
          <w:sz w:val="20"/>
          <w:szCs w:val="20"/>
        </w:rPr>
        <w:t xml:space="preserve"> · </w:t>
      </w:r>
      <w:hyperlink w:history="1" r:id="rIdils8ff5lriylbmqjrmttm">
        <w:r>
          <w:rPr>
            <w:rStyle w:val="Hyperlink"/>
            <w:rFonts w:ascii="Times New Roman" w:cs="Times New Roman" w:eastAsia="Times New Roman" w:hAnsi="Times New Roman"/>
            <w:sz w:val="20"/>
            <w:szCs w:val="20"/>
          </w:rPr>
          <w:t xml:space="preserve">ESMO Clinical Practice Guidelines</w:t>
        </w:r>
      </w:hyperlink>
    </w:p>
    <w:p>
      <w:pPr>
        <w:pStyle w:val="Heading2"/>
        <w:spacing w:after="130" w:before="260"/>
      </w:pPr>
      <w:r>
        <w:rPr>
          <w:rFonts w:ascii="Times New Roman" w:cs="Times New Roman" w:eastAsia="Times New Roman" w:hAnsi="Times New Roman"/>
          <w:b/>
          <w:bCs/>
          <w:sz w:val="26"/>
          <w:szCs w:val="26"/>
        </w:rPr>
        <w:t xml:space="preserve">Б3. Дополнительные материалы</w:t>
      </w:r>
    </w:p>
    <w:p>
      <w:pPr>
        <w:pStyle w:val="Heading3"/>
        <w:spacing w:after="130" w:before="260"/>
      </w:pPr>
      <w:r>
        <w:rPr>
          <w:rFonts w:ascii="Times New Roman" w:cs="Times New Roman" w:eastAsia="Times New Roman" w:hAnsi="Times New Roman"/>
          <w:b/>
          <w:bCs/>
          <w:sz w:val="23"/>
          <w:szCs w:val="23"/>
        </w:rPr>
        <w:t xml:space="preserve">Вопросы для устного разбора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резектабельность определяется сосудами, а не размером опухоли?</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тестирование зародышевой линии показано всем больным раком поджелудочной железы?</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заместительная ферментная терапия влияет на онкологический результат?</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Что делать, когда опиоиды не справляются с болью при опухоли тела железы?</w:t>
      </w:r>
    </w:p>
    <w:p>
      <w:pPr>
        <w:pStyle w:val="Heading3"/>
        <w:spacing w:after="130" w:before="260"/>
      </w:pPr>
      <w:r>
        <w:rPr>
          <w:rFonts w:ascii="Times New Roman" w:cs="Times New Roman" w:eastAsia="Times New Roman" w:hAnsi="Times New Roman"/>
          <w:b/>
          <w:bCs/>
          <w:sz w:val="23"/>
          <w:szCs w:val="23"/>
        </w:rPr>
        <w:t xml:space="preserve">Чек-лист по теме (для дневника ординатора)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Навык</w:t>
            </w:r>
          </w:p>
        </w:tc>
        <w:tc>
          <w:tcPr>
            <w:tcW w:type="dxa" w:w="41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Отметка</w:t>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Оценил резектабельность по критериям сосудистого вовлечения на консилиуме</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Организовал билиарное дренирование до начала лечения при желтухе</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Назначил заместительную ферментную терапию в адекватной дозе</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Инициировал тестирование зародышевой линии</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Обеспечил адекватное обезболивание с рассмотрением интервенционных методов</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bl>
    <w:p>
      <w:pPr>
        <w:spacing w:after="120" w:line="276"/>
      </w:pPr>
      <w:r>
        <w:rPr>
          <w:rFonts w:ascii="Times New Roman" w:cs="Times New Roman" w:eastAsia="Times New Roman" w:hAnsi="Times New Roman"/>
          <w:b w:val="false"/>
          <w:bCs w:val="false"/>
          <w:i w:val="false"/>
          <w:iCs w:val="false"/>
          <w:sz w:val="22"/>
          <w:szCs w:val="22"/>
        </w:rPr>
        <w:t xml:space="preserve"/>
      </w:r>
    </w:p>
    <w:p>
      <w:pPr>
        <w:spacing w:after="120" w:line="276"/>
      </w:pPr>
      <w:r>
        <w:rPr>
          <w:rFonts w:ascii="Times New Roman" w:cs="Times New Roman" w:eastAsia="Times New Roman" w:hAnsi="Times New Roman"/>
          <w:b w:val="false"/>
          <w:bCs w:val="false"/>
          <w:i/>
          <w:iCs/>
          <w:sz w:val="22"/>
          <w:szCs w:val="22"/>
        </w:rPr>
        <w:t xml:space="preserve">Материал подготовлен по состоянию на август 2026 г. Перед началом учебного года проверить актуальность редакций клинических рекомендаций и работоспособность ссылок.</w:t>
      </w:r>
    </w:p>
    <w:sectPr>
      <w:pgSz w:w="11906" w:h="16838" w:orient="portrait"/>
      <w:pgMar w:top="1000" w:right="9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nekuuwefoai6fmxqyvo" Type="http://schemas.openxmlformats.org/officeDocument/2006/relationships/hyperlink" Target="https://cr.minzdrav.gov.ru/clin_recomend" TargetMode="External"/><Relationship Id="rIdost9kweug7pjfn2txxnlz" Type="http://schemas.openxmlformats.org/officeDocument/2006/relationships/hyperlink" Target="https://www.esmo.org/guidelines" TargetMode="External"/><Relationship Id="rIdzsbuzmdum5xrvo0hmx8-p" Type="http://schemas.openxmlformats.org/officeDocument/2006/relationships/hyperlink" Target="https://www.nccn.org/guidelines/category_1" TargetMode="External"/><Relationship Id="rIdjqdc8noxolejgwfahii5v" Type="http://schemas.openxmlformats.org/officeDocument/2006/relationships/hyperlink" Target="https://www.rosoncoweb.ru/standarts/RUSSCO/" TargetMode="External"/><Relationship Id="rIdix4zfcx-o2qdwqxgmx88b" Type="http://schemas.openxmlformats.org/officeDocument/2006/relationships/hyperlink" Target="https://www.rosoncoweb.ru/standarts/suptherapy/" TargetMode="External"/><Relationship Id="rIdow5etvv_z7ne50xb4tdfs" Type="http://schemas.openxmlformats.org/officeDocument/2006/relationships/hyperlink" Target="https://pubmed.ncbi.nlm.nih.gov/?term=pancreatic+exocrine+insufficiency+enzyme+replacement+cancer" TargetMode="External"/><Relationship Id="rIdtfxuiktzunhqutwgxr-eq" Type="http://schemas.openxmlformats.org/officeDocument/2006/relationships/hyperlink" Target="https://pubmed.ncbi.nlm.nih.gov/?term=ampullary+carcinoma+small+bowel+adenocarcinoma+treatment" TargetMode="External"/><Relationship Id="rIdhc84bwkrhkid4s5coeytv" Type="http://schemas.openxmlformats.org/officeDocument/2006/relationships/hyperlink" Target="https://www.cancer.gov/publications/pdq" TargetMode="External"/><Relationship Id="rIdz4krlrgkamobptcb2aevw" Type="http://schemas.openxmlformats.org/officeDocument/2006/relationships/hyperlink" Target="https://pubmed.ncbi.nlm.nih.gov/?term=PRODIGE+24+adjuvant+mFOLFIRINOX+pancreatic" TargetMode="External"/><Relationship Id="rIdyyqlyby9osdjrrasrsxvl" Type="http://schemas.openxmlformats.org/officeDocument/2006/relationships/hyperlink" Target="https://pubmed.ncbi.nlm.nih.gov/?term=PREOPANC+neoadjuvant+chemoradiotherapy+pancreatic" TargetMode="External"/><Relationship Id="rIdtsd9hrswih988gkxx4po3" Type="http://schemas.openxmlformats.org/officeDocument/2006/relationships/hyperlink" Target="https://pubmed.ncbi.nlm.nih.gov/?term=PRODIGE+4+FOLFIRINOX+metastatic+pancreatic" TargetMode="External"/><Relationship Id="rIdliyohrt6vhjuyd9xsigha" Type="http://schemas.openxmlformats.org/officeDocument/2006/relationships/hyperlink" Target="https://pubmed.ncbi.nlm.nih.gov/?term=NAPOLI+3+NALIRIFOX+metastatic+pancreatic" TargetMode="External"/><Relationship Id="rIdlpiyxneomk_ya9hukejdt" Type="http://schemas.openxmlformats.org/officeDocument/2006/relationships/hyperlink" Target="https://pubmed.ncbi.nlm.nih.gov/?term=POLO+olaparib+germline+BRCA+pancreatic" TargetMode="External"/><Relationship Id="rIdtkw-ouox5clbyav2bgy4u" Type="http://schemas.openxmlformats.org/officeDocument/2006/relationships/hyperlink" Target="https://pubmed.ncbi.nlm.nih.gov/?term=ampullary+carcinoma+small+bowel+adenocarcinoma+treatment" TargetMode="External"/><Relationship Id="rIdl1_azavidmvqrxaayadvq" Type="http://schemas.openxmlformats.org/officeDocument/2006/relationships/hyperlink" Target="https://www.rosoncoweb.ru/events/2026/02/19/video/" TargetMode="External"/><Relationship Id="rIdjxkzebdvdbdbidvsxszgi" Type="http://schemas.openxmlformats.org/officeDocument/2006/relationships/hyperlink" Target="https://www.rosoncoweb.ru/events/2025/01/30/video/" TargetMode="External"/><Relationship Id="rIdjydac48s_afhygeiqbi_w" Type="http://schemas.openxmlformats.org/officeDocument/2006/relationships/hyperlink" Target="https://oncologypro.esmo.org/esmo-e-learning" TargetMode="External"/><Relationship Id="rIdadp8gyyt8wgscsmtwnbfq" Type="http://schemas.openxmlformats.org/officeDocument/2006/relationships/hyperlink" Target="https://www.rosoncoweb.ru/events/archive/" TargetMode="External"/><Relationship Id="rIdlk6t14d1sfo8rrqknenau" Type="http://schemas.openxmlformats.org/officeDocument/2006/relationships/hyperlink" Target="https://www.rosoncoweb.ru/events/webinar/archive/" TargetMode="External"/><Relationship Id="rIdltnoz47c3qs45vf0o365w" Type="http://schemas.openxmlformats.org/officeDocument/2006/relationships/hyperlink" Target="https://www.nccn.org/guidelines/category_1" TargetMode="External"/><Relationship Id="rIddtexntck3xsrwneyvv33-" Type="http://schemas.openxmlformats.org/officeDocument/2006/relationships/hyperlink" Target="https://pubmed.ncbi.nlm.nih.gov/?term=PRODIGE+24+adjuvant+mFOLFIRINOX+pancreatic" TargetMode="External"/><Relationship Id="rIdna8qqj9z8xwg9hjmpwjh4" Type="http://schemas.openxmlformats.org/officeDocument/2006/relationships/hyperlink" Target="https://pubmed.ncbi.nlm.nih.gov/?term=POLO+olaparib+germline+BRCA+pancreatic" TargetMode="External"/><Relationship Id="rId7o5gte0v4fujkongcj5cu" Type="http://schemas.openxmlformats.org/officeDocument/2006/relationships/hyperlink" Target="https://pubmed.ncbi.nlm.nih.gov/?term=NAPOLI+3+NALIRIFOX+metastatic+pancreatic" TargetMode="External"/><Relationship Id="rIdrf4cth4xe_uysibbb4lan" Type="http://schemas.openxmlformats.org/officeDocument/2006/relationships/hyperlink" Target="https://pubmed.ncbi.nlm.nih.gov/?term=pancreatic+exocrine+insufficiency+enzyme+replacement+cancer" TargetMode="External"/><Relationship Id="rIdkuie4jfz8enldkfkyluy8" Type="http://schemas.openxmlformats.org/officeDocument/2006/relationships/hyperlink" Target="https://www.esmo.org/guidelines" TargetMode="External"/><Relationship Id="rId0_zevjg_xa1kpudymvybh" Type="http://schemas.openxmlformats.org/officeDocument/2006/relationships/hyperlink" Target="https://www.esmo.org/guidelines" TargetMode="External"/><Relationship Id="rId_8-5ubbpdvpf0ovtijrgs" Type="http://schemas.openxmlformats.org/officeDocument/2006/relationships/hyperlink" Target="https://www.rosoncoweb.ru/standarts/suptherapy/" TargetMode="External"/><Relationship Id="rIdmt9vij-a6nyox1c4lyzu0" Type="http://schemas.openxmlformats.org/officeDocument/2006/relationships/hyperlink" Target="https://pubmed.ncbi.nlm.nih.gov/?term=ampullary+carcinoma+small+bowel+adenocarcinoma+treatment" TargetMode="External"/><Relationship Id="rIde8tzdugkjksfyuc_2dmpv" Type="http://schemas.openxmlformats.org/officeDocument/2006/relationships/hyperlink" Target="https://pubmed.ncbi.nlm.nih.gov/?term=ampullary+carcinoma+small+bowel+adenocarcinoma+treatment" TargetMode="External"/><Relationship Id="rIdxmyrllayflrp9fgxyvd6s" Type="http://schemas.openxmlformats.org/officeDocument/2006/relationships/hyperlink" Target="https://pubmed.ncbi.nlm.nih.gov/?term=PREOPANC+neoadjuvant+chemoradiotherapy+pancreatic" TargetMode="External"/><Relationship Id="rIdxxupwjbjtelmswsfpyvt4" Type="http://schemas.openxmlformats.org/officeDocument/2006/relationships/hyperlink" Target="https://pubmed.ncbi.nlm.nih.gov/?term=PRODIGE+4+FOLFIRINOX+metastatic+pancreatic" TargetMode="External"/><Relationship Id="rIdg6tmglwbpr1210nfl4tw1" Type="http://schemas.openxmlformats.org/officeDocument/2006/relationships/hyperlink" Target="https://pubmed.ncbi.nlm.nih.gov/?term=POLO+olaparib+germline+BRCA+pancreatic" TargetMode="External"/><Relationship Id="rId8vktzvcl_wvl9ieri13bd" Type="http://schemas.openxmlformats.org/officeDocument/2006/relationships/hyperlink" Target="https://www.rosoncoweb.ru/standarts/suptherapy/" TargetMode="External"/><Relationship Id="rId8-9hwvr-kyeqttjujqo4r" Type="http://schemas.openxmlformats.org/officeDocument/2006/relationships/hyperlink" Target="https://pubmed.ncbi.nlm.nih.gov/?term=pancreatic+exocrine+insufficiency+enzyme+replacement+cancer" TargetMode="External"/><Relationship Id="rIdvovjctv7pjybmzrmcyyq9" Type="http://schemas.openxmlformats.org/officeDocument/2006/relationships/hyperlink" Target="https://www.rosoncoweb.ru/standarts/suptherapy/" TargetMode="External"/><Relationship Id="rId72mfga3nulgwufceqon2k" Type="http://schemas.openxmlformats.org/officeDocument/2006/relationships/hyperlink" Target="https://pubmed.ncbi.nlm.nih.gov/?term=ampullary+carcinoma+small+bowel+adenocarcinoma+treatment" TargetMode="External"/><Relationship Id="rIdils8ff5lriylbmqjrmttm" Type="http://schemas.openxmlformats.org/officeDocument/2006/relationships/hyperlink" Target="https://www.esmo.org/guidelines" TargetMode="External"/><Relationship Id="rId44" Type="http://schemas.openxmlformats.org/officeDocument/2006/relationships/fontTable" Target="fontTable.xml"/><Relationship Id="rId7" Type="http://schemas.openxmlformats.org/officeDocument/2006/relationships/hyperlink" Target="https://pubmed.ncbi.nlm.nih.gov/40287191/" TargetMode="External"/><Relationship Id="rId8" Type="http://schemas.openxmlformats.org/officeDocument/2006/relationships/hyperlink" Target="https://pubmed.ncbi.nlm.nih.gov/41067164/" TargetMode="External"/><Relationship Id="rId9" Type="http://schemas.openxmlformats.org/officeDocument/2006/relationships/hyperlink" Target="https://pubmed.ncbi.nlm.nih.gov/3767867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Рак поджелудочной железы; рак тонкой кишки и ампулярные раки</dc:title>
  <dc:creator>Кафедра онкологии ИУВ НМХЦ им. Н.И. Пирогова</dc:creator>
  <cp:lastModifiedBy>Un-named</cp:lastModifiedBy>
  <cp:revision>1</cp:revision>
  <dcterms:created xsi:type="dcterms:W3CDTF">2026-08-27T09:34:19.966Z</dcterms:created>
  <dcterms:modified xsi:type="dcterms:W3CDTF">2026-08-27T09:34:19.966Z</dcterms:modified>
</cp:coreProperties>
</file>

<file path=docProps/custom.xml><?xml version="1.0" encoding="utf-8"?>
<Properties xmlns="http://schemas.openxmlformats.org/officeDocument/2006/custom-properties" xmlns:vt="http://schemas.openxmlformats.org/officeDocument/2006/docPropsVTypes"/>
</file>