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Кафедра онкологии ИУВ ФГБУ «НМХЦ им. Н.И. Пирогова» Минздрава России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УЧЕБНЫЙ МОДУЛЬ М-56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Опухоли из невыявленного первичного очага</w:t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Лекция 16.04.2027 · Кравчук Д.В. · раздел «Частная онкология, ч. 3»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Все ссылки активны. Диагноз «опухоль из невыявленного первичного очага» ставится не тогда, когда очаг не нашли, а тогда, когда его искали по правильному алгоритму и не нашли. Главная задача модуля — научить отличать эту ситуацию от недообследованности и не пропустить излечимые варианты.</w:t>
      </w:r>
    </w:p>
    <w:p>
      <w:pPr>
        <w:pStyle w:val="Heading1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Блок А. Библиотека материалов</w:t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А1. Рекомендации и нормативные документы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500"/>
        <w:gridCol w:w="2760"/>
      </w:tblGrid>
      <w:tr>
        <w:trPr>
          <w:tblHeader/>
        </w:trPr>
        <w:tc>
          <w:tcPr>
            <w:tcW w:type="dxa" w:w="21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Источник</w:t>
            </w:r>
          </w:p>
        </w:tc>
        <w:tc>
          <w:tcPr>
            <w:tcW w:type="dxa" w:w="45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Что даёт</w:t>
            </w:r>
          </w:p>
        </w:tc>
        <w:tc>
          <w:tcPr>
            <w:tcW w:type="dxa" w:w="276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Ссылка</w:t>
            </w:r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Клинические рекомендации Минздрава России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Юридическое основание диагностики и лечения.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t8qaakl7hc3epvcyhflu0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cr.minzdrav.gov.ru</w:t>
              </w:r>
            </w:hyperlink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ESMO Clinical Practice Guidelines: опухоли из невыявленного первичного очага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Диагностический алгоритм, выделение благоприятных подгрупп, тактика.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w4c8baui5f8naqil2ln-c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  <w:p>
            <w:pPr>
              <w:spacing w:after="40" w:line="240"/>
            </w:pPr>
            <w:hyperlink w:history="1" r:id="rId6qmmp_rjrnwhdrokszzos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esmo.org/guidelines</w:t>
              </w:r>
            </w:hyperlink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NCCN Guidelines: Occult Primary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Блок-схемы по гистологическим вариантам и локализациям.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poxg5w_zlgxu52luufrx_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nccn.org/guidelines</w:t>
              </w:r>
            </w:hyperlink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Классификация опухолей ВОЗ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Иммуногистохимические панели для установления гистогенеза.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csc77wf-lj5zzsilobvkr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whobluebooks.iarc.fr</w:t>
              </w:r>
            </w:hyperlink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OncoKB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Интерпретация молекулярных находок при отсутствии установленной нозологии.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vjiqzainsw5jmc_hd1zxl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oncokb.org</w:t>
              </w:r>
            </w:hyperlink>
          </w:p>
        </w:tc>
      </w:tr>
    </w:tbl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А2. Обзоры и справочные ресурсы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je2lkv1uh1ozihwrhkals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Благоприятные подгруппы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ситуации, при которых лечение проводится как при известной нозологии и результаты существенно лучше.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idolcwi8-gmngona8v2am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Молекулярное определение вероятной локализации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что показали исследования терапии, подобранной по молекулярному профилю.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nv2pz5wjuqgl2tcdb1ien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PDQ® — опухоли из невыявленного первичного очага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свободный доступ.</w:t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А3. Ключевые исследования и работы</w:t>
      </w:r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Ключевые концепции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700"/>
        <w:gridCol w:w="2760"/>
      </w:tblGrid>
      <w:tr>
        <w:trPr>
          <w:tblHeader/>
        </w:trPr>
        <w:tc>
          <w:tcPr>
            <w:tcW w:type="dxa" w:w="19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Исследование / работа</w:t>
            </w:r>
          </w:p>
        </w:tc>
        <w:tc>
          <w:tcPr>
            <w:tcW w:type="dxa" w:w="47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Что показало</w:t>
            </w:r>
          </w:p>
        </w:tc>
        <w:tc>
          <w:tcPr>
            <w:tcW w:type="dxa" w:w="276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Ссылка</w:t>
            </w:r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Диагностический алгоритм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Обязательны: качественная морфология с адекватной иммуногистохимической панелью, КТ органов грудной клетки, брюшной полости и таза, у женщин — маммография и обследование малого таза, у мужчин — определение ПСА, при отдельных картинах — эндоскопия. ПЭТ-КТ особенно полезна при поражении шейных лимфоузлов. Диагноз ставится только после выполнения алгоритма.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yncblam2kirjh6qwnw8my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Благоприятные подгруппы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Изолированное поражение подмышечных лимфоузлов у женщины ведётся как рак молочной железы; серозный канцероматоз брюшины у женщины — как рак яичников; плоскоклеточный рак шейных лимфоузлов — как опухоль головы и шеи; единичный метастаз — как олигометастатическая болезнь; низкодифференцированная опухоль по средней линии у молодого мужчины — как герминогенная. Результаты в этих подгруппах существенно лучше средних.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qziphtfqhmx-kfxpmzzvb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Иммуногистохимия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Панель определяет линию дифференцировки: цитокератины 7 и 20, TTF-1, CDX2, GATA3, PAX8, p40 и другие маркёры позволяют предположить вероятную локализацию. Обязательно определение статуса MMR и PD-L1, а также рецепторов при подозрении на рак молочной железы.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m1xnhgrbwn8uz6d1cyltf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Классификация ВОЗ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Молекулярное профилирование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Исследования терапии, подобранной по молекулярно предсказанной локализации, дали неоднозначные результаты. Более значима другая роль профилирования — поиск действенных мишеней независимо от локализации: слияний NTRK, MSI-H, высокой мутационной нагрузки, HER2, BRAF V600E.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ig89j1imdqebohl_f03qv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Эмпирическая терапия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При неблагоприятных подгруппах применяются платиносодержащие комбинации; результаты скромные, и участие в клиническом исследовании нередко предпочтительнее.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ksmdrwtde-lcbwfuiwsn6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ESMO Clinical Practice Guidelines</w:t>
              </w:r>
            </w:hyperlink>
          </w:p>
        </w:tc>
      </w:tr>
    </w:tbl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А4. Лекции и видеоматериалы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l8puq9xb56ednqhi_ur9g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XXIX Российский онкологический конгресс, 11–13.12.2025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видеозаписи всех докладов конференции.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pxi-qkj04m5bontuxa8vh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Конференции «Иммуноонкология» и «Агностические маркеры в онкологии», 23–24.05.2025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видеозаписи всех докладов конференции.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j99sqtxfnlu_nlxsu6fah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ESMO E-Learning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модули с тестами и баллами CME.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do8zijpmhzd8lq5gearkq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Полный видеоархив конференций RUSSCO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· </w:t>
      </w:r>
      <w:hyperlink w:history="1" r:id="rIdtqnd6xip_xvsw4rcemrgq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архив вебинаров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если нужной темы нет в списке выше.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Ссылки на лекции сотрудников кафедры по этой теме собираются отдельно — пришлите названия докладов или ссылки на записи, добавлю в модуль.</w:t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А5. О переводе англоязычных работ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Полный перевод статей и рекомендаций публиковать нельзя — это нарушение авторских прав издателей. Законное решение: русскоязычная аннотация на 3–5 предложений (дизайн, популяция, конечные точки, результат, что меняет в практике) плюс активная ссылка на оригинал. Именно так оформлены таблицы выше. Для документов с официальным русским переводом приоритет отдаётся рекомендациям RUSSCO и КР Минздрава.</w:t>
      </w:r>
    </w:p>
    <w:p>
      <w:r>
        <w:br w:type="page"/>
      </w:r>
    </w:p>
    <w:p>
      <w:r>
        <w:rPr>
          <w:b/>
          <w:sz w:val="22"/>
        </w:rPr>
        <w:t>А6. Актуализация источников и стандартов — 2026</w:t>
      </w:r>
    </w:p>
    <w:p>
      <w:r>
        <w:rPr>
          <w:b/>
        </w:rPr>
        <w:t xml:space="preserve">ESMO Clinical Practice Guideline for CUP (2023). </w:t>
      </w:r>
      <w:r>
        <w:t xml:space="preserve">Заменить старые/общие источники конкретной ESMO CPG 2023: стандартизированный диагностический алгоритм, favourable subsets, олигометастатическая CUP и роль молекулярной диагностики. </w:t>
      </w:r>
      <w:hyperlink r:id="rId7">
        <w:r>
          <w:rPr>
            <w:color w:val="0563C1"/>
            <w:u w:val="single"/>
          </w:rPr>
          <w:t>Открыть источник</w:t>
        </w:r>
      </w:hyperlink>
    </w:p>
    <w:p>
      <w:r>
        <w:rPr>
          <w:b/>
        </w:rPr>
        <w:t xml:space="preserve">CUP favourable subsets and molecular profiling. </w:t>
      </w:r>
      <w:r>
        <w:t xml:space="preserve">Добавить renal-like CUP и потенциально радикально лечимую олигометастатическую CUP; не представлять NGS как универсальную замену клинико-морфологическому поиску первичного очага. </w:t>
      </w:r>
      <w:hyperlink r:id="rId7">
        <w:r>
          <w:rPr>
            <w:color w:val="0563C1"/>
            <w:u w:val="single"/>
          </w:rPr>
          <w:t>Открыть источник</w:t>
        </w:r>
      </w:hyperlink>
    </w:p>
    <w:p/>
    <w:p>
      <w:pPr>
        <w:pStyle w:val="Heading1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Блок Б. Проверочные материалы</w:t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Б1. Тестовые задания (10 вопросов)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Один лучший ответ. Формат приближен к экзаменационному стилю ESMO и RUSSCO. Пояснения предназначены для разбора после теста и для версии с автопроверкой на сайте.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1. Когда правомерен диагноз «опухоль из невыявленного первичного очага»?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Когда очаг не найден при КТ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Когда больной отказался от обследования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Когда выполнен полный диагностический алгоритм, включая адекватную иммуногистохимию, и первичная опухоль не выявлена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При любом метастазе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C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Это диагноз исключения, а не отказ от поиска. Чаще всего его ставят преждевременно, при неполном обследовании или, что особенно часто, при недостаточной иммуногистохимической панели. Правильный диагноз меняет лечение принципиально, поэтому усилия на его установление оправданы.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_z7qsc-ugvgdyf-utnoxw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Диагностический алгоритм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2. Женщина с изолированным метастатическим поражением подмышечных лимфоузлов при нормальной маммографии: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Ведётся как рак молочной железы; показана МРТ молочных желёз, а лечение проводится по соответствующим алгоритмам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Расценивается как опухоль из невыявленного очага и лечится эмпирически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Требует только наблюдения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Не требует лечения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A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Это классическая благоприятная подгруппа. МРТ молочных желёз выявляет первичную опухоль у значительной части таких больных; даже при её невыявлении лечение по алгоритму рака молочной железы даёт хорошие результаты. Обязательно определение рецепторов гормонов и HER2 в материале лимфоузла.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tkk77vwpdwnkbozg5-d5i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Благоприятные подгруппы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3. Серозный канцероматоз брюшины у женщины с повышенным CA 125 без выявленной первичной опухоли: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Не подлежит лечению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Лечится эмпирически платиной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Ведётся как первичный рак брюшины или рак яичников: циторедукция и платиносодержащая терапия, с тестированием BRCA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Требует только наблюдения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C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Первичный рак брюшины и рак фаллопиевых труб нередко протекают без определяемого очага в яичниках. Ведение по алгоритму рака яичников даёт результаты, сопоставимые с таковыми при известной локализации. Тестирование BRCA и статуса гомологичной рекомбинации обязательно — оно определяет поддерживающую терапию.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iepeiewk4-4m7s-nvsazr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Благоприятные подгруппы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4. Плоскоклеточный рак в шейных лимфоузлах без выявленного первичного очага: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Ведётся как местнораспространённая опухоль головы и шеи с радикальной целью; необходимы ПЭТ-КТ, эндоскопия с биопсией типичных зон и определение p16 и вируса Эпштейна — Барр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Расценивается как метастатическая болезнь с паллиативным лечением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Не требует лечения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Лечится только хирургически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A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Первичный очаг чаще всего скрывается в нёбных или язычной миндалине и носоглотке. ПЭТ-КТ и панэндоскопия с биопсией, включая тонзиллэктомию, выявляют его у существенной части больных. Определение p16 указывает на ротоглоточное происхождение, а вируса Эпштейна — Барр — на носоглоточное. При радикальном подходе результаты хорошие.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ljlmk8jjetnzsvaxp4ktl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Благоприятные подгруппы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5. Молодой мужчина с низкодифференцированной опухолью по средней линии тела — забрюшинно и в средостении: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Лечится эмпирически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Должен быть обследован как больной с внегонадной герминогенной опухолью: определение АФП, ХГЧ, ЛДГ, поскольку это потенциально излечимое заболевание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Не подлежит лечению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Требует только биопсии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B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Пропустить внегонадную герминогенную опухоль особенно обидно: при правильном лечении излечение достижимо у значительной части больных даже при распространённом процессе. Определение маркёров у молодого мужчины с метастазами неясного происхождения обязательно, как и исследование изохромосомы 12p при возможности.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s_i-sdpchfg2f1pxyvhma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Благоприятные подгруппы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6. Какая иммуногистохимическая комбинация указывает на вероятное лёгочное происхождение аденокарциномы?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CK7-положительная, CK20-отрицательная, TTF-1-положительная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GATA3-положительная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CK7-отрицательная, CK20-положительная, CDX2-положительная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PAX8-положительная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A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Сочетание CK7-положительного и CK20-отрицательного профиля с экспрессией TTF-1 характерно для лёгочной аденокарциномы, а также рака щитовидной железы. Профиль CK7-отрицательный, CK20-положительный с CDX2 указывает на колоректальное происхождение, GATA3 — на молочную железу и уротелий, PAX8 — на почку, щитовидную железу и женские половые органы.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-xp0rxdhemmztow5xjnlx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Классификация ВОЗ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7. Молекулярное профилирование при опухоли из невыявленного очага наиболее полезно тем, что: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Выявляет действенные мишени независимо от локализации: слияния NTRK, MSI-H, высокую мутационную нагрузку, HER2, BRAF V600E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Точно определяет локализацию во всех случаях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Не имеет значения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Заменяет иммуногистохимию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A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Исследования терапии, подобранной по молекулярно предсказанной локализации, дали неоднозначные результаты. Более практична другая логика: искать тканенезависимые мишени, поскольку именно они дают эффективные опции при отсутствии установленной нозологии. Эта нозология входит в число тех, где широкое секвенирование оправдано рутинно.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tt-pvbxjlbjmmgxiwtvv5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Молекулярное определение локализации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8. Определение статуса MMR и PD-L1 при опухоли из невыявленного очага: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Не требуется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Обязательно: MSI-H является тканенезависимым показанием к иммунотерапии, а данные по ингибиторам контрольных точек при этой нозологии накапливаются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Требуется только у молодых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Требуется только при аденокарциноме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B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При отсутствии установленной нозологии тканенезависимые показания приобретают особую ценность. MSI-H даёт возможность эффективной иммунотерапии независимо от происхождения опухоли. Определение выполняется наряду с базовой иммуногистохимической панелью.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gncj9t6xbggtcvbmuwn6l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ESMO Clinical Practice Guidelines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9. Наиболее частая ошибка при ведении больных с метастазами неясного происхождения: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Слишком долгий поиск очага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Избыточное обследование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Направление к патологу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Преждевременная постановка диагноза при неполной иммуногистохимической панели и недовыполненном алгоритме, что лишает больного шанса на лечение по правильной нозологии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D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Разница в исходах между правильно распознанной благоприятной подгруппой и эмпирическим лечением огромна. При этом бесконечный поиск очага у больного с быстро ухудшающимся состоянием тоже вреден: алгоритм имеет разумные границы, за которыми начинается лечение. Баланс определяется темпом болезни.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c50jzxeqwomlkrbe1uqes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Диагностический алгоритм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10. При неблагоприятной подгруппе опухоли из невыявленного очага прогноз и тактика: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Показана только лучевая терапия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Прогноз хороший, стандартная терапия эффективна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Лечение не проводится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Прогноз неблагоприятный; применяются платиносодержащие комбинации со скромными результатами, поэтому участие в клиническом исследовании нередко предпочтительнее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D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Медиана выживаемости в неблагоприятных подгруппах невелика, и эмпирическая химиотерапия даёт умеренный эффект. Отсюда особая значимость поиска действенных мишеней и клинических исследований, а также раннего подключения паллиативной помощи и честного разговора о целях лечения.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y5qykoaochfuhu02je1za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Эмпирическая терапия</w:t>
        </w:r>
      </w:hyperlink>
    </w:p>
    <w:p>
      <w:r>
        <w:br w:type="page"/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Б2. Клинические задачи</w:t>
      </w:r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Задача 1. Преждевременный диагноз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Женщина 54 лет направлена с диагнозом «метастазы аденокарциномы из невыявленного первичного очага» в подмышечные лимфоузлы. Выполнены КТ и биопсия с заключением «аденокарцинома». Иммуногистохимия не проводилась, маммография в норме.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Вопросы: 1) Правомерен ли диагноз? 2) Что сделать? 3) Что изменится?</w:t>
      </w:r>
    </w:p>
    <w:p>
      <w:pPr>
        <w:spacing w:after="60" w:line="27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Эталонный ответ. Диагноз преждевременен: не выполнена иммуногистохимия, а изолированное поражение подмышечных лимфоузлов у женщины — классическая благоприятная подгруппа, ведущаяся как рак молочной железы. Сделать нужно: иммуногистохимическое исследование с определением GATA3, рецепторов эстрогенов и прогестерона, HER2, а также МРТ молочных желёз, выявляющую первичную опухоль у существенной части таких больных при нормальной маммографии. Изменится принципиально всё: вместо эмпирической платиносодержащей химиотерапии со скромными результатами больная получит лечение по алгоритмам рака молочной железы — с операцией, лучевой терапией, эндокринотерапией или анти-HER2-терапией в зависимости от подтипа, — и прогноз будет несопоставимо лучше.</w:t>
      </w:r>
    </w:p>
    <w:p>
      <w:pPr>
        <w:spacing w:after="200" w:line="2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Источники: </w:t>
      </w:r>
      <w:hyperlink w:history="1" r:id="rIdhbgf0kzlx-xt8d6vzqn1i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Благоприятные подгруппы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· </w:t>
      </w:r>
      <w:hyperlink w:history="1" r:id="rIdls70kwirtqmzspys_fqgu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Диагностический алгоритм</w:t>
        </w:r>
      </w:hyperlink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Задача 2. Молодой мужчина с образованием средостения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Мужчина 27 лет: образование средостения и забрюшинные массы, биопсия — низкодифференцированная карцинома. Планируется эмпирическая химиотерапия платиной с этопозидом.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Вопросы: 1) Что необходимо определить? 2) Почему это критично? 3) Что если подтвердится?</w:t>
      </w:r>
    </w:p>
    <w:p>
      <w:pPr>
        <w:spacing w:after="60" w:line="27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Эталонный ответ. Необходимо определить АФП, ХГЧ и ЛДГ, а также выполнить иммуногистохимию с маркёрами герминогенных опухолей и, при возможности, исследование изохромосомы 12p. Критичность в том, что низкодифференцированная опухоль по средней линии тела у молодого мужчины — типичная картина внегонадной герминогенной опухоли, потенциально излечимого заболевания даже при распространённом процессе. Ошибка означала бы утрату шанса на излечение. При подтверждении лечение проводится по протоколам герминогенных опухолей с расчётом по классификации IGCCCG, с соблюдением интенсивности дозы и без задержек курсов, а также с криоконсервацией спермы до начала терапии. Следует также осмотреть яички и выполнить УЗИ мошонки: часть «внегонадных» опухолей оказывается метастазами из невыявленного очага в яичке.</w:t>
      </w:r>
    </w:p>
    <w:p>
      <w:pPr>
        <w:spacing w:after="200" w:line="2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Источники: </w:t>
      </w:r>
      <w:hyperlink w:history="1" r:id="rIdz1blcnh3z1e_-sg8dix0w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Благоприятные подгруппы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· </w:t>
      </w:r>
      <w:hyperlink w:history="1" r:id="rId1ucx0m7vhgsffqpeh8kpm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ESMO Clinical Practice Guidelines</w:t>
        </w:r>
      </w:hyperlink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Задача 3. Шейные лимфоузлы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Мужчина 61 года, курильщик: увеличенный лимфоузел шеи, биопсия — плоскоклеточный рак. При КТ шеи и грудной клетки первичный очаг не выявлен.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Вопросы: 1) Как расценивать ситуацию? 2) Что выполнить? 3) Какая цель лечения?</w:t>
      </w:r>
    </w:p>
    <w:p>
      <w:pPr>
        <w:spacing w:after="60" w:line="27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Эталонный ответ. Это благоприятная подгруппа, которую следует вести как местнораспространённую опухоль головы и шеи, а не как метастатическую болезнь неясного происхождения. Выполнить нужно: ПЭТ-КТ, панэндоскопию под наркозом с прицельной биопсией типичных зон — нёбных миндалин, корня языка, носоглотки, грушевидных синусов, — нередко с тонзиллэктомией, которая выявляет скрытый очаг у части больных. Обязательно определение p16 в материале лимфоузла: положительный результат указывает на ротоглоточное происхождение и благоприятный прогноз; исследование вируса Эпштейна — Барр указывает на носоглоточное. Цель лечения радикальная: применяются химиолучевая терапия на зоны вероятного первичного очага и регионарные зоны либо хирургическое лечение с последующим облучением; результаты сопоставимы с таковыми при известной локализации.</w:t>
      </w:r>
    </w:p>
    <w:p>
      <w:pPr>
        <w:spacing w:after="200" w:line="2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Источники: </w:t>
      </w:r>
      <w:hyperlink w:history="1" r:id="rId4rw2vsthqvrsbbomlfud5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Благоприятные подгруппы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· </w:t>
      </w:r>
      <w:hyperlink w:history="1" r:id="rIdlxqybslbpjxwya-aoi8yi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Диагностический алгоритм</w:t>
        </w:r>
      </w:hyperlink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Задача 4. Неблагоприятная подгруппа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Мужчина 68 лет: множественные метастазы в печени, костях и лимфоузлах, аденокарцинома, иммуногистохимия неспецифична, алгоритм обследования выполнен полностью, первичный очаг не выявлен. ECOG 2.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Вопросы: 1) Что предпринять? 2) Какие опции? 3) Как обсуждать?</w:t>
      </w:r>
    </w:p>
    <w:p>
      <w:pPr>
        <w:spacing w:after="60" w:line="27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Эталонный ответ. Алгоритм выполнен, благоприятных признаков нет — это неблагоприятная подгруппа с ограниченным прогнозом. Предпринять следует широкое молекулярное профилирование с определением статуса MMR, мутационной нагрузки, слияний NTRK, HER2, BRAF V600E: при отсутствии установленной нозологии тканенезависимые мишени приобретают особую ценность и способны дать эффективную опцию. Опции: платиносодержащая комбинация с умеренным ожидаемым эффектом, таргетная терапия при выявлении мишени, участие в клиническом исследовании, которое здесь нередко предпочтительнее эмпирической химиотерапии. Обсуждение строится честно: у больного с ECOG 2 и распространённой болезнью неясного происхождения цель лечения — контроль симптомов и продление жизни, а не излечение; паллиативная помощь подключается параллельно с самого начала, а не после исчерпания опций.</w:t>
      </w:r>
    </w:p>
    <w:p>
      <w:pPr>
        <w:spacing w:after="200" w:line="2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Источники: </w:t>
      </w:r>
      <w:hyperlink w:history="1" r:id="rIdyv6rq-xux55d8c0a2ioet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Молекулярное определение локализации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· </w:t>
      </w:r>
      <w:hyperlink w:history="1" r:id="rIdubdvjntbgjqvh3pkqmw5d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Эмпирическая терапия</w:t>
        </w:r>
      </w:hyperlink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Б3. Дополнительные материалы</w:t>
      </w:r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Вопросы для устного разбора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Когда диагноз «опухоль из невыявленного очага» правомерен, а когда является следствием недообследованности?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Какие благоприятные подгруппы нужно помнить наизусть и почему?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Почему при этой нозологии особенно ценны тканенезависимые мишени?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Где проходит граница между поиском первичного очага и промедлением с лечением?</w:t>
      </w:r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Чек-лист по теме (для дневника ординатора)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rPr>
          <w:tblHeader/>
        </w:trPr>
        <w:tc>
          <w:tcPr>
            <w:tcW w:type="dxa" w:w="52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Навык</w:t>
            </w:r>
          </w:p>
        </w:tc>
        <w:tc>
          <w:tcPr>
            <w:tcW w:type="dxa" w:w="416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Отметка</w:t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Проверил полноту диагностического алгоритма перед постановкой диагноза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Запросил адекватную иммуногистохимическую панель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Распознал благоприятную подгруппу и изменил тактику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Назначил широкое молекулярное профилирование с поиском тканенезависимых мишеней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Материал подготовлен по состоянию на август 2026 г. Перед началом учебного года проверить актуальность редакций клинических рекомендаций и работоспособность ссылок.</w:t>
      </w:r>
    </w:p>
    <w:sectPr>
      <w:pgSz w:w="11906" w:h="16838" w:orient="portrait"/>
      <w:pgMar w:top="1000" w:right="9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Times New Roman" w:cs="Times New Roman" w:eastAsia="Times New Roman" w:hAnsi="Times New Roman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Times New Roman" w:cs="Times New Roman" w:eastAsia="Times New Roman" w:hAnsi="Times New Roman"/>
      <w:b/>
      <w:bCs/>
      <w:color w:val="2E5496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Times New Roman" w:cs="Times New Roman" w:eastAsia="Times New Roman" w:hAnsi="Times New Roman"/>
      <w:b/>
      <w:bCs/>
      <w:color w:val="2E5496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t8qaakl7hc3epvcyhflu0" Type="http://schemas.openxmlformats.org/officeDocument/2006/relationships/hyperlink" Target="https://cr.minzdrav.gov.ru/clin_recomend" TargetMode="External"/><Relationship Id="rIdw4c8baui5f8naqil2ln-c" Type="http://schemas.openxmlformats.org/officeDocument/2006/relationships/hyperlink" Target="https://pubmed.ncbi.nlm.nih.gov/?term=cancer+of+unknown+primary+ESMO+guideline" TargetMode="External"/><Relationship Id="rId6qmmp_rjrnwhdrokszzos" Type="http://schemas.openxmlformats.org/officeDocument/2006/relationships/hyperlink" Target="https://www.esmo.org/guidelines" TargetMode="External"/><Relationship Id="rIdpoxg5w_zlgxu52luufrx_" Type="http://schemas.openxmlformats.org/officeDocument/2006/relationships/hyperlink" Target="https://www.nccn.org/guidelines/category_1" TargetMode="External"/><Relationship Id="rIdcsc77wf-lj5zzsilobvkr" Type="http://schemas.openxmlformats.org/officeDocument/2006/relationships/hyperlink" Target="https://whobluebooks.iarc.fr/" TargetMode="External"/><Relationship Id="rIdvjiqzainsw5jmc_hd1zxl" Type="http://schemas.openxmlformats.org/officeDocument/2006/relationships/hyperlink" Target="https://www.oncokb.org/" TargetMode="External"/><Relationship Id="rIdje2lkv1uh1ozihwrhkals" Type="http://schemas.openxmlformats.org/officeDocument/2006/relationships/hyperlink" Target="https://pubmed.ncbi.nlm.nih.gov/?term=favourable+subsets+cancer+unknown+primary+management" TargetMode="External"/><Relationship Id="rIdidolcwi8-gmngona8v2am" Type="http://schemas.openxmlformats.org/officeDocument/2006/relationships/hyperlink" Target="https://pubmed.ncbi.nlm.nih.gov/?term=molecular+profiling+site+of+origin+cancer+unknown+primary+randomized" TargetMode="External"/><Relationship Id="rIdnv2pz5wjuqgl2tcdb1ien" Type="http://schemas.openxmlformats.org/officeDocument/2006/relationships/hyperlink" Target="https://www.cancer.gov/publications/pdq" TargetMode="External"/><Relationship Id="rIdyncblam2kirjh6qwnw8my" Type="http://schemas.openxmlformats.org/officeDocument/2006/relationships/hyperlink" Target="https://pubmed.ncbi.nlm.nih.gov/?term=cancer+of+unknown+primary+ESMO+guideline" TargetMode="External"/><Relationship Id="rIdqziphtfqhmx-kfxpmzzvb" Type="http://schemas.openxmlformats.org/officeDocument/2006/relationships/hyperlink" Target="https://pubmed.ncbi.nlm.nih.gov/?term=favourable+subsets+cancer+unknown+primary+management" TargetMode="External"/><Relationship Id="rIdm1xnhgrbwn8uz6d1cyltf" Type="http://schemas.openxmlformats.org/officeDocument/2006/relationships/hyperlink" Target="https://whobluebooks.iarc.fr/" TargetMode="External"/><Relationship Id="rIdig89j1imdqebohl_f03qv" Type="http://schemas.openxmlformats.org/officeDocument/2006/relationships/hyperlink" Target="https://pubmed.ncbi.nlm.nih.gov/?term=molecular+profiling+site+of+origin+cancer+unknown+primary+randomized" TargetMode="External"/><Relationship Id="rIdksmdrwtde-lcbwfuiwsn6" Type="http://schemas.openxmlformats.org/officeDocument/2006/relationships/hyperlink" Target="https://pubmed.ncbi.nlm.nih.gov/?term=cancer+of+unknown+primary+ESMO+guideline" TargetMode="External"/><Relationship Id="rIdl8puq9xb56ednqhi_ur9g" Type="http://schemas.openxmlformats.org/officeDocument/2006/relationships/hyperlink" Target="https://www.rosoncoweb.ru/events/2025/12/11/video/" TargetMode="External"/><Relationship Id="rIdpxi-qkj04m5bontuxa8vh" Type="http://schemas.openxmlformats.org/officeDocument/2006/relationships/hyperlink" Target="https://www.rosoncoweb.ru/events/2025/05/23/" TargetMode="External"/><Relationship Id="rIdj99sqtxfnlu_nlxsu6fah" Type="http://schemas.openxmlformats.org/officeDocument/2006/relationships/hyperlink" Target="https://oncologypro.esmo.org/esmo-e-learning" TargetMode="External"/><Relationship Id="rIddo8zijpmhzd8lq5gearkq" Type="http://schemas.openxmlformats.org/officeDocument/2006/relationships/hyperlink" Target="https://www.rosoncoweb.ru/events/archive/" TargetMode="External"/><Relationship Id="rIdtqnd6xip_xvsw4rcemrgq" Type="http://schemas.openxmlformats.org/officeDocument/2006/relationships/hyperlink" Target="https://www.rosoncoweb.ru/events/webinar/archive/" TargetMode="External"/><Relationship Id="rId_z7qsc-ugvgdyf-utnoxw" Type="http://schemas.openxmlformats.org/officeDocument/2006/relationships/hyperlink" Target="https://pubmed.ncbi.nlm.nih.gov/?term=cancer+of+unknown+primary+ESMO+guideline" TargetMode="External"/><Relationship Id="rIdtkk77vwpdwnkbozg5-d5i" Type="http://schemas.openxmlformats.org/officeDocument/2006/relationships/hyperlink" Target="https://pubmed.ncbi.nlm.nih.gov/?term=favourable+subsets+cancer+unknown+primary+management" TargetMode="External"/><Relationship Id="rIdiepeiewk4-4m7s-nvsazr" Type="http://schemas.openxmlformats.org/officeDocument/2006/relationships/hyperlink" Target="https://pubmed.ncbi.nlm.nih.gov/?term=favourable+subsets+cancer+unknown+primary+management" TargetMode="External"/><Relationship Id="rIdljlmk8jjetnzsvaxp4ktl" Type="http://schemas.openxmlformats.org/officeDocument/2006/relationships/hyperlink" Target="https://pubmed.ncbi.nlm.nih.gov/?term=favourable+subsets+cancer+unknown+primary+management" TargetMode="External"/><Relationship Id="rIds_i-sdpchfg2f1pxyvhma" Type="http://schemas.openxmlformats.org/officeDocument/2006/relationships/hyperlink" Target="https://pubmed.ncbi.nlm.nih.gov/?term=favourable+subsets+cancer+unknown+primary+management" TargetMode="External"/><Relationship Id="rId-xp0rxdhemmztow5xjnlx" Type="http://schemas.openxmlformats.org/officeDocument/2006/relationships/hyperlink" Target="https://whobluebooks.iarc.fr/" TargetMode="External"/><Relationship Id="rIdtt-pvbxjlbjmmgxiwtvv5" Type="http://schemas.openxmlformats.org/officeDocument/2006/relationships/hyperlink" Target="https://pubmed.ncbi.nlm.nih.gov/?term=molecular+profiling+site+of+origin+cancer+unknown+primary+randomized" TargetMode="External"/><Relationship Id="rIdgncj9t6xbggtcvbmuwn6l" Type="http://schemas.openxmlformats.org/officeDocument/2006/relationships/hyperlink" Target="https://pubmed.ncbi.nlm.nih.gov/?term=cancer+of+unknown+primary+ESMO+guideline" TargetMode="External"/><Relationship Id="rIdc50jzxeqwomlkrbe1uqes" Type="http://schemas.openxmlformats.org/officeDocument/2006/relationships/hyperlink" Target="https://pubmed.ncbi.nlm.nih.gov/?term=cancer+of+unknown+primary+ESMO+guideline" TargetMode="External"/><Relationship Id="rIdy5qykoaochfuhu02je1za" Type="http://schemas.openxmlformats.org/officeDocument/2006/relationships/hyperlink" Target="https://pubmed.ncbi.nlm.nih.gov/?term=cancer+of+unknown+primary+ESMO+guideline" TargetMode="External"/><Relationship Id="rIdhbgf0kzlx-xt8d6vzqn1i" Type="http://schemas.openxmlformats.org/officeDocument/2006/relationships/hyperlink" Target="https://pubmed.ncbi.nlm.nih.gov/?term=favourable+subsets+cancer+unknown+primary+management" TargetMode="External"/><Relationship Id="rIdls70kwirtqmzspys_fqgu" Type="http://schemas.openxmlformats.org/officeDocument/2006/relationships/hyperlink" Target="https://pubmed.ncbi.nlm.nih.gov/?term=cancer+of+unknown+primary+ESMO+guideline" TargetMode="External"/><Relationship Id="rIdz1blcnh3z1e_-sg8dix0w" Type="http://schemas.openxmlformats.org/officeDocument/2006/relationships/hyperlink" Target="https://pubmed.ncbi.nlm.nih.gov/?term=favourable+subsets+cancer+unknown+primary+management" TargetMode="External"/><Relationship Id="rId1ucx0m7vhgsffqpeh8kpm" Type="http://schemas.openxmlformats.org/officeDocument/2006/relationships/hyperlink" Target="https://pubmed.ncbi.nlm.nih.gov/?term=cancer+of+unknown+primary+ESMO+guideline" TargetMode="External"/><Relationship Id="rId4rw2vsthqvrsbbomlfud5" Type="http://schemas.openxmlformats.org/officeDocument/2006/relationships/hyperlink" Target="https://pubmed.ncbi.nlm.nih.gov/?term=favourable+subsets+cancer+unknown+primary+management" TargetMode="External"/><Relationship Id="rIdlxqybslbpjxwya-aoi8yi" Type="http://schemas.openxmlformats.org/officeDocument/2006/relationships/hyperlink" Target="https://pubmed.ncbi.nlm.nih.gov/?term=cancer+of+unknown+primary+ESMO+guideline" TargetMode="External"/><Relationship Id="rIdyv6rq-xux55d8c0a2ioet" Type="http://schemas.openxmlformats.org/officeDocument/2006/relationships/hyperlink" Target="https://pubmed.ncbi.nlm.nih.gov/?term=molecular+profiling+site+of+origin+cancer+unknown+primary+randomized" TargetMode="External"/><Relationship Id="rIdubdvjntbgjqvh3pkqmw5d" Type="http://schemas.openxmlformats.org/officeDocument/2006/relationships/hyperlink" Target="https://pubmed.ncbi.nlm.nih.gov/?term=cancer+of+unknown+primary+ESMO+guideline" TargetMode="External"/><Relationship Id="rId44" Type="http://schemas.openxmlformats.org/officeDocument/2006/relationships/fontTable" Target="fontTable.xml"/><Relationship Id="rId7" Type="http://schemas.openxmlformats.org/officeDocument/2006/relationships/hyperlink" Target="https://pubmed.ncbi.nlm.nih.gov/36563965/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Опухоли из невыявленного первичного очага</dc:title>
  <dc:creator>Кафедра онкологии ИУВ НМХЦ им. Н.И. Пирогова</dc:creator>
  <cp:lastModifiedBy>Un-named</cp:lastModifiedBy>
  <cp:revision>1</cp:revision>
  <dcterms:created xsi:type="dcterms:W3CDTF">2026-08-27T09:34:21.505Z</dcterms:created>
  <dcterms:modified xsi:type="dcterms:W3CDTF">2026-08-27T09:34:21.506Z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