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40" w:lineRule="auto"/>
        <w:jc w:val="both"/>
        <w:rPr>
          <w:rFonts w:ascii="Lora" w:cs="Lora" w:eastAsia="Lora" w:hAnsi="Lora"/>
          <w:b w:val="1"/>
          <w:sz w:val="23"/>
          <w:szCs w:val="23"/>
        </w:rPr>
      </w:pPr>
      <w:bookmarkStart w:colFirst="0" w:colLast="0" w:name="_36van2vi9c99" w:id="0"/>
      <w:bookmarkEnd w:id="0"/>
      <w:r w:rsidDel="00000000" w:rsidR="00000000" w:rsidRPr="00000000">
        <w:rPr>
          <w:rFonts w:ascii="Lora" w:cs="Lora" w:eastAsia="Lora" w:hAnsi="Lora"/>
          <w:b w:val="1"/>
          <w:sz w:val="24"/>
          <w:szCs w:val="24"/>
          <w:rtl w:val="0"/>
        </w:rPr>
        <w:t xml:space="preserve">What causes ampicillin resistance of </w:t>
      </w:r>
      <w:r w:rsidDel="00000000" w:rsidR="00000000" w:rsidRPr="00000000">
        <w:rPr>
          <w:rFonts w:ascii="Lora" w:cs="Lora" w:eastAsia="Lora" w:hAnsi="Lora"/>
          <w:b w:val="1"/>
          <w:i w:val="1"/>
          <w:sz w:val="24"/>
          <w:szCs w:val="24"/>
          <w:rtl w:val="0"/>
        </w:rPr>
        <w:t xml:space="preserve">E.coli</w:t>
      </w:r>
      <w:r w:rsidDel="00000000" w:rsidR="00000000" w:rsidRPr="00000000">
        <w:rPr>
          <w:rFonts w:ascii="Lora" w:cs="Lora" w:eastAsia="Lora" w:hAnsi="Lora"/>
          <w:b w:val="1"/>
          <w:sz w:val="24"/>
          <w:szCs w:val="24"/>
          <w:rtl w:val="0"/>
        </w:rPr>
        <w:t xml:space="preserve"> strain?</w:t>
      </w:r>
      <w:r w:rsidDel="00000000" w:rsidR="00000000" w:rsidRPr="00000000">
        <w:rPr>
          <w:rtl w:val="0"/>
        </w:rPr>
      </w:r>
    </w:p>
    <w:p w:rsidR="00000000" w:rsidDel="00000000" w:rsidP="00000000" w:rsidRDefault="00000000" w:rsidRPr="00000000" w14:paraId="00000002">
      <w:pPr>
        <w:pageBreakBefore w:val="0"/>
        <w:spacing w:line="240" w:lineRule="auto"/>
        <w:rPr>
          <w:rFonts w:ascii="Lora" w:cs="Lora" w:eastAsia="Lora" w:hAnsi="Lora"/>
          <w:b w:val="1"/>
        </w:rPr>
      </w:pPr>
      <w:commentRangeStart w:id="0"/>
      <w:r w:rsidDel="00000000" w:rsidR="00000000" w:rsidRPr="00000000">
        <w:rPr>
          <w:rFonts w:ascii="Lora" w:cs="Lora" w:eastAsia="Lora" w:hAnsi="Lora"/>
          <w:b w:val="1"/>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pageBreakBefore w:val="0"/>
        <w:spacing w:line="240" w:lineRule="auto"/>
        <w:rPr>
          <w:rFonts w:ascii="Lora" w:cs="Lora" w:eastAsia="Lora" w:hAnsi="Lora"/>
        </w:rPr>
      </w:pPr>
      <w:r w:rsidDel="00000000" w:rsidR="00000000" w:rsidRPr="00000000">
        <w:rPr>
          <w:rFonts w:ascii="Lora" w:cs="Lora" w:eastAsia="Lora" w:hAnsi="Lora"/>
          <w:rtl w:val="0"/>
        </w:rPr>
        <w:t xml:space="preserve">Antibiotic resistance is a big problem in modern science and medicine. Understanding its mechanism is necessary to solve this problem. In this work, we tried to find out which mutations in the genome of </w:t>
      </w:r>
      <w:r w:rsidDel="00000000" w:rsidR="00000000" w:rsidRPr="00000000">
        <w:rPr>
          <w:rFonts w:ascii="Lora" w:cs="Lora" w:eastAsia="Lora" w:hAnsi="Lora"/>
          <w:i w:val="1"/>
          <w:rtl w:val="0"/>
        </w:rPr>
        <w:t xml:space="preserve">E.coli</w:t>
      </w:r>
      <w:r w:rsidDel="00000000" w:rsidR="00000000" w:rsidRPr="00000000">
        <w:rPr>
          <w:rFonts w:ascii="Lora" w:cs="Lora" w:eastAsia="Lora" w:hAnsi="Lora"/>
          <w:rtl w:val="0"/>
        </w:rPr>
        <w:t xml:space="preserve"> led to the emergence of resistance to ampicillin.</w:t>
      </w:r>
    </w:p>
    <w:p w:rsidR="00000000" w:rsidDel="00000000" w:rsidP="00000000" w:rsidRDefault="00000000" w:rsidRPr="00000000" w14:paraId="00000004">
      <w:pPr>
        <w:pageBreakBefore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05">
      <w:pPr>
        <w:pageBreakBefore w:val="0"/>
        <w:spacing w:line="240" w:lineRule="auto"/>
        <w:rPr>
          <w:rFonts w:ascii="Lora" w:cs="Lora" w:eastAsia="Lora" w:hAnsi="Lora"/>
        </w:rPr>
      </w:pPr>
      <w:r w:rsidDel="00000000" w:rsidR="00000000" w:rsidRPr="00000000">
        <w:rPr>
          <w:rFonts w:ascii="Lora" w:cs="Lora" w:eastAsia="Lora" w:hAnsi="Lora"/>
          <w:b w:val="1"/>
          <w:rtl w:val="0"/>
        </w:rPr>
        <w:t xml:space="preserve">Introduction</w:t>
      </w:r>
      <w:r w:rsidDel="00000000" w:rsidR="00000000" w:rsidRPr="00000000">
        <w:rPr>
          <w:rtl w:val="0"/>
        </w:rPr>
      </w:r>
    </w:p>
    <w:p w:rsidR="00000000" w:rsidDel="00000000" w:rsidP="00000000" w:rsidRDefault="00000000" w:rsidRPr="00000000" w14:paraId="00000006">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Antibiotics are truly miracles. They made a real breakthrough in medicine, saving thousands of lives every day. Humanity has known antibiotics for less than 100 years, but we cannot imagine life without them. We are used to the fact that people do not die from colds or even more serious infections, operations have become commonplace, women can give birth to children without fear of complications from infection (stop me when you want). It's all thanks to antibiotics.</w:t>
      </w:r>
    </w:p>
    <w:p w:rsidR="00000000" w:rsidDel="00000000" w:rsidP="00000000" w:rsidRDefault="00000000" w:rsidRPr="00000000" w14:paraId="00000007">
      <w:pPr>
        <w:pageBreakBefore w:val="0"/>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08">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But we understand that winning the battle does not mean winning the war. Over the years of antibiotic oppression, the bacteria have become angry, have grown teeth and are ready for a new battle. Resistance to antibiotics is a huge problem in modern medicine. There are plenty of ways  for bacteria to avoid death from antibiotics. The studying of these mechanisms is the first step to the development of new, better drugs, or approaches to treat a patient.</w:t>
      </w:r>
    </w:p>
    <w:p w:rsidR="00000000" w:rsidDel="00000000" w:rsidP="00000000" w:rsidRDefault="00000000" w:rsidRPr="00000000" w14:paraId="00000009">
      <w:pPr>
        <w:pStyle w:val="Heading2"/>
        <w:pageBreakBefore w:val="0"/>
        <w:spacing w:line="240" w:lineRule="auto"/>
        <w:jc w:val="both"/>
        <w:rPr>
          <w:rFonts w:ascii="Lora" w:cs="Lora" w:eastAsia="Lora" w:hAnsi="Lora"/>
          <w:i w:val="1"/>
          <w:sz w:val="22"/>
          <w:szCs w:val="22"/>
        </w:rPr>
      </w:pPr>
      <w:bookmarkStart w:colFirst="0" w:colLast="0" w:name="_l5a1n5fyg556" w:id="1"/>
      <w:bookmarkEnd w:id="1"/>
      <w:r w:rsidDel="00000000" w:rsidR="00000000" w:rsidRPr="00000000">
        <w:rPr>
          <w:rFonts w:ascii="Lora" w:cs="Lora" w:eastAsia="Lora" w:hAnsi="Lora"/>
          <w:sz w:val="22"/>
          <w:szCs w:val="22"/>
          <w:rtl w:val="0"/>
        </w:rPr>
        <w:t xml:space="preserve">In this project, we worked with real sequencing data from a strain of E. coli resistant to the antibiotic ampicillin. We tried to analyze that data to locate the mutations responsible for giving E. coli its antibiotic resistance property. </w:t>
      </w:r>
      <w:r w:rsidDel="00000000" w:rsidR="00000000" w:rsidRPr="00000000">
        <w:rPr>
          <w:rtl w:val="0"/>
        </w:rPr>
      </w:r>
    </w:p>
    <w:p w:rsidR="00000000" w:rsidDel="00000000" w:rsidP="00000000" w:rsidRDefault="00000000" w:rsidRPr="00000000" w14:paraId="0000000A">
      <w:pPr>
        <w:pageBreakBefore w:val="0"/>
        <w:spacing w:line="240" w:lineRule="auto"/>
        <w:rPr/>
      </w:pPr>
      <w:r w:rsidDel="00000000" w:rsidR="00000000" w:rsidRPr="00000000">
        <w:rPr>
          <w:rtl w:val="0"/>
        </w:rPr>
      </w:r>
    </w:p>
    <w:p w:rsidR="00000000" w:rsidDel="00000000" w:rsidP="00000000" w:rsidRDefault="00000000" w:rsidRPr="00000000" w14:paraId="0000000B">
      <w:pPr>
        <w:pageBreakBefore w:val="0"/>
        <w:spacing w:line="240" w:lineRule="auto"/>
        <w:rPr>
          <w:rFonts w:ascii="Lora" w:cs="Lora" w:eastAsia="Lora" w:hAnsi="Lora"/>
          <w:b w:val="1"/>
        </w:rPr>
      </w:pPr>
      <w:r w:rsidDel="00000000" w:rsidR="00000000" w:rsidRPr="00000000">
        <w:rPr>
          <w:rFonts w:ascii="Lora" w:cs="Lora" w:eastAsia="Lora" w:hAnsi="Lora"/>
          <w:b w:val="1"/>
          <w:rtl w:val="0"/>
        </w:rPr>
        <w:t xml:space="preserve">Methods</w:t>
      </w:r>
    </w:p>
    <w:p w:rsidR="00000000" w:rsidDel="00000000" w:rsidP="00000000" w:rsidRDefault="00000000" w:rsidRPr="00000000" w14:paraId="0000000C">
      <w:pPr>
        <w:pageBreakBefore w:val="0"/>
        <w:spacing w:line="240" w:lineRule="auto"/>
        <w:rPr>
          <w:rFonts w:ascii="Lora" w:cs="Lora" w:eastAsia="Lora" w:hAnsi="Lora"/>
        </w:rPr>
      </w:pPr>
      <w:r w:rsidDel="00000000" w:rsidR="00000000" w:rsidRPr="00000000">
        <w:rPr>
          <w:rFonts w:ascii="Lora" w:cs="Lora" w:eastAsia="Lora" w:hAnsi="Lora"/>
          <w:rtl w:val="0"/>
        </w:rPr>
        <w:t xml:space="preserve">For our study we use </w:t>
      </w:r>
      <w:r w:rsidDel="00000000" w:rsidR="00000000" w:rsidRPr="00000000">
        <w:rPr>
          <w:rFonts w:ascii="Lora" w:cs="Lora" w:eastAsia="Lora" w:hAnsi="Lora"/>
          <w:color w:val="00000a"/>
          <w:rtl w:val="0"/>
        </w:rPr>
        <w:t xml:space="preserve">raw Illumina sequencing reads from shotgun sequencing of an </w:t>
      </w:r>
      <w:r w:rsidDel="00000000" w:rsidR="00000000" w:rsidRPr="00000000">
        <w:rPr>
          <w:rFonts w:ascii="Lora" w:cs="Lora" w:eastAsia="Lora" w:hAnsi="Lora"/>
          <w:i w:val="1"/>
          <w:color w:val="00000a"/>
          <w:rtl w:val="0"/>
        </w:rPr>
        <w:t xml:space="preserve">E. coli </w:t>
      </w:r>
      <w:r w:rsidDel="00000000" w:rsidR="00000000" w:rsidRPr="00000000">
        <w:rPr>
          <w:rFonts w:ascii="Lora" w:cs="Lora" w:eastAsia="Lora" w:hAnsi="Lora"/>
          <w:color w:val="00000a"/>
          <w:rtl w:val="0"/>
        </w:rPr>
        <w:t xml:space="preserve">strain that is resistant to the antibiotic ampicillin [</w:t>
      </w:r>
      <w:hyperlink r:id="rId7">
        <w:r w:rsidDel="00000000" w:rsidR="00000000" w:rsidRPr="00000000">
          <w:rPr>
            <w:rFonts w:ascii="Lora" w:cs="Lora" w:eastAsia="Lora" w:hAnsi="Lora"/>
            <w:color w:val="1155cc"/>
            <w:u w:val="single"/>
            <w:rtl w:val="0"/>
          </w:rPr>
          <w:t xml:space="preserve">1</w:t>
        </w:r>
      </w:hyperlink>
      <w:r w:rsidDel="00000000" w:rsidR="00000000" w:rsidRPr="00000000">
        <w:rPr>
          <w:rFonts w:ascii="Lora" w:cs="Lora" w:eastAsia="Lora" w:hAnsi="Lora"/>
          <w:color w:val="00000a"/>
          <w:rtl w:val="0"/>
        </w:rPr>
        <w:t xml:space="preserve">]. For reference we used the genome of </w:t>
      </w:r>
      <w:r w:rsidDel="00000000" w:rsidR="00000000" w:rsidRPr="00000000">
        <w:rPr>
          <w:rFonts w:ascii="Lora" w:cs="Lora" w:eastAsia="Lora" w:hAnsi="Lora"/>
          <w:rtl w:val="0"/>
        </w:rPr>
        <w:t xml:space="preserve">E.coli strain K-12 substrain MG1655 [</w:t>
      </w:r>
      <w:hyperlink r:id="rId8">
        <w:r w:rsidDel="00000000" w:rsidR="00000000" w:rsidRPr="00000000">
          <w:rPr>
            <w:rFonts w:ascii="Lora" w:cs="Lora" w:eastAsia="Lora" w:hAnsi="Lora"/>
            <w:color w:val="1155cc"/>
            <w:u w:val="single"/>
            <w:rtl w:val="0"/>
          </w:rPr>
          <w:t xml:space="preserve">2</w:t>
        </w:r>
      </w:hyperlink>
      <w:r w:rsidDel="00000000" w:rsidR="00000000" w:rsidRPr="00000000">
        <w:rPr>
          <w:rFonts w:ascii="Lora" w:cs="Lora" w:eastAsia="Lora" w:hAnsi="Lora"/>
          <w:rtl w:val="0"/>
        </w:rPr>
        <w:t xml:space="preserve">]. </w:t>
      </w:r>
    </w:p>
    <w:p w:rsidR="00000000" w:rsidDel="00000000" w:rsidP="00000000" w:rsidRDefault="00000000" w:rsidRPr="00000000" w14:paraId="0000000D">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The quality of raw reads was assessed using the program FastQC (version 0.10.1) [</w:t>
      </w:r>
      <w:hyperlink r:id="rId9">
        <w:r w:rsidDel="00000000" w:rsidR="00000000" w:rsidRPr="00000000">
          <w:rPr>
            <w:rFonts w:ascii="Lora" w:cs="Lora" w:eastAsia="Lora" w:hAnsi="Lora"/>
            <w:color w:val="1155cc"/>
            <w:u w:val="single"/>
            <w:rtl w:val="0"/>
          </w:rPr>
          <w:t xml:space="preserve">3</w:t>
        </w:r>
      </w:hyperlink>
      <w:r w:rsidDel="00000000" w:rsidR="00000000" w:rsidRPr="00000000">
        <w:rPr>
          <w:rFonts w:ascii="Lora" w:cs="Lora" w:eastAsia="Lora" w:hAnsi="Lora"/>
          <w:rtl w:val="0"/>
        </w:rPr>
        <w:t xml:space="preserve">]. To remove low quality reads was used program Trimmomatic (version 0.39) [</w:t>
      </w:r>
      <w:hyperlink r:id="rId10">
        <w:r w:rsidDel="00000000" w:rsidR="00000000" w:rsidRPr="00000000">
          <w:rPr>
            <w:rFonts w:ascii="Lora" w:cs="Lora" w:eastAsia="Lora" w:hAnsi="Lora"/>
            <w:color w:val="1155cc"/>
            <w:u w:val="single"/>
            <w:rtl w:val="0"/>
          </w:rPr>
          <w:t xml:space="preserve">4</w:t>
        </w:r>
      </w:hyperlink>
      <w:r w:rsidDel="00000000" w:rsidR="00000000" w:rsidRPr="00000000">
        <w:rPr>
          <w:rFonts w:ascii="Lora" w:cs="Lora" w:eastAsia="Lora" w:hAnsi="Lora"/>
          <w:rtl w:val="0"/>
        </w:rPr>
        <w:t xml:space="preserve">] with options </w:t>
      </w:r>
      <w:r w:rsidDel="00000000" w:rsidR="00000000" w:rsidRPr="00000000">
        <w:rPr>
          <w:rFonts w:ascii="Lora" w:cs="Lora" w:eastAsia="Lora" w:hAnsi="Lora"/>
          <w:i w:val="1"/>
          <w:rtl w:val="0"/>
        </w:rPr>
        <w:t xml:space="preserve">CROP:90 </w:t>
      </w:r>
      <w:r w:rsidDel="00000000" w:rsidR="00000000" w:rsidRPr="00000000">
        <w:rPr>
          <w:rFonts w:ascii="Lora" w:cs="Lora" w:eastAsia="Lora" w:hAnsi="Lora"/>
          <w:i w:val="1"/>
          <w:rtl w:val="0"/>
        </w:rPr>
        <w:t xml:space="preserve">SLIDINGWINDOW</w:t>
      </w:r>
      <w:r w:rsidDel="00000000" w:rsidR="00000000" w:rsidRPr="00000000">
        <w:rPr>
          <w:rFonts w:ascii="Lora" w:cs="Lora" w:eastAsia="Lora" w:hAnsi="Lora"/>
          <w:i w:val="1"/>
          <w:rtl w:val="0"/>
        </w:rPr>
        <w:t xml:space="preserve">:10:20 MINLEN:20</w:t>
      </w:r>
      <w:r w:rsidDel="00000000" w:rsidR="00000000" w:rsidRPr="00000000">
        <w:rPr>
          <w:rFonts w:ascii="Lora" w:cs="Lora" w:eastAsia="Lora" w:hAnsi="Lora"/>
          <w:rtl w:val="0"/>
        </w:rPr>
        <w:t xml:space="preserve"> (cut bases off the end of a read if quality below 20, the quality of starts of reads was fine). </w:t>
      </w:r>
    </w:p>
    <w:p w:rsidR="00000000" w:rsidDel="00000000" w:rsidP="00000000" w:rsidRDefault="00000000" w:rsidRPr="00000000" w14:paraId="0000000E">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To align reads to the reference sequences was used aligner BWA-MEM (version 0.7.5a-r405) [</w:t>
      </w:r>
      <w:hyperlink r:id="rId11">
        <w:r w:rsidDel="00000000" w:rsidR="00000000" w:rsidRPr="00000000">
          <w:rPr>
            <w:rFonts w:ascii="Lora" w:cs="Lora" w:eastAsia="Lora" w:hAnsi="Lora"/>
            <w:color w:val="1155cc"/>
            <w:u w:val="single"/>
            <w:rtl w:val="0"/>
          </w:rPr>
          <w:t xml:space="preserve">5</w:t>
        </w:r>
      </w:hyperlink>
      <w:r w:rsidDel="00000000" w:rsidR="00000000" w:rsidRPr="00000000">
        <w:rPr>
          <w:rFonts w:ascii="Lora" w:cs="Lora" w:eastAsia="Lora" w:hAnsi="Lora"/>
          <w:rtl w:val="0"/>
        </w:rPr>
        <w:t xml:space="preserve">]. To compress, index and simply statistic of SAM-file with alignments was used Samtools </w:t>
      </w:r>
      <w:r w:rsidDel="00000000" w:rsidR="00000000" w:rsidRPr="00000000">
        <w:rPr>
          <w:rFonts w:ascii="Lora" w:cs="Lora" w:eastAsia="Lora" w:hAnsi="Lora"/>
          <w:i w:val="1"/>
          <w:rtl w:val="0"/>
        </w:rPr>
        <w:t xml:space="preserve">view, index, flagstat, sort</w:t>
      </w:r>
      <w:r w:rsidDel="00000000" w:rsidR="00000000" w:rsidRPr="00000000">
        <w:rPr>
          <w:rFonts w:ascii="Lora" w:cs="Lora" w:eastAsia="Lora" w:hAnsi="Lora"/>
          <w:rtl w:val="0"/>
        </w:rPr>
        <w:t xml:space="preserve"> (version 0.1.19-44428cd) [</w:t>
      </w:r>
      <w:hyperlink r:id="rId12">
        <w:r w:rsidDel="00000000" w:rsidR="00000000" w:rsidRPr="00000000">
          <w:rPr>
            <w:rFonts w:ascii="Lora" w:cs="Lora" w:eastAsia="Lora" w:hAnsi="Lora"/>
            <w:color w:val="1155cc"/>
            <w:u w:val="single"/>
            <w:rtl w:val="0"/>
          </w:rPr>
          <w:t xml:space="preserve">6</w:t>
        </w:r>
      </w:hyperlink>
      <w:r w:rsidDel="00000000" w:rsidR="00000000" w:rsidRPr="00000000">
        <w:rPr>
          <w:rFonts w:ascii="Lora" w:cs="Lora" w:eastAsia="Lora" w:hAnsi="Lora"/>
          <w:rtl w:val="0"/>
        </w:rPr>
        <w:t xml:space="preserve">] . </w:t>
      </w:r>
    </w:p>
    <w:p w:rsidR="00000000" w:rsidDel="00000000" w:rsidP="00000000" w:rsidRDefault="00000000" w:rsidRPr="00000000" w14:paraId="0000000F">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Samtools mpileup was used to search for mutations. To annotate SNP in our data was used progrann VarScan (version 2.3.9.), command </w:t>
      </w:r>
      <w:r w:rsidDel="00000000" w:rsidR="00000000" w:rsidRPr="00000000">
        <w:rPr>
          <w:rFonts w:ascii="Lora" w:cs="Lora" w:eastAsia="Lora" w:hAnsi="Lora"/>
          <w:i w:val="1"/>
          <w:rtl w:val="0"/>
        </w:rPr>
        <w:t xml:space="preserve">mpileup2snp</w:t>
      </w:r>
      <w:r w:rsidDel="00000000" w:rsidR="00000000" w:rsidRPr="00000000">
        <w:rPr>
          <w:rFonts w:ascii="Lora" w:cs="Lora" w:eastAsia="Lora" w:hAnsi="Lora"/>
          <w:i w:val="1"/>
          <w:rtl w:val="0"/>
        </w:rPr>
        <w:t xml:space="preserve"> </w:t>
      </w:r>
      <w:r w:rsidDel="00000000" w:rsidR="00000000" w:rsidRPr="00000000">
        <w:rPr>
          <w:rFonts w:ascii="Lora" w:cs="Lora" w:eastAsia="Lora" w:hAnsi="Lora"/>
          <w:rtl w:val="0"/>
        </w:rPr>
        <w:t xml:space="preserve">[</w:t>
      </w:r>
      <w:hyperlink r:id="rId13">
        <w:r w:rsidDel="00000000" w:rsidR="00000000" w:rsidRPr="00000000">
          <w:rPr>
            <w:rFonts w:ascii="Lora" w:cs="Lora" w:eastAsia="Lora" w:hAnsi="Lora"/>
            <w:color w:val="1155cc"/>
            <w:u w:val="single"/>
            <w:rtl w:val="0"/>
          </w:rPr>
          <w:t xml:space="preserve">7</w:t>
        </w:r>
      </w:hyperlink>
      <w:r w:rsidDel="00000000" w:rsidR="00000000" w:rsidRPr="00000000">
        <w:rPr>
          <w:rFonts w:ascii="Lora" w:cs="Lora" w:eastAsia="Lora" w:hAnsi="Lora"/>
          <w:rtl w:val="0"/>
        </w:rPr>
        <w:t xml:space="preserve">]</w:t>
      </w:r>
    </w:p>
    <w:p w:rsidR="00000000" w:rsidDel="00000000" w:rsidP="00000000" w:rsidRDefault="00000000" w:rsidRPr="00000000" w14:paraId="00000010">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To visualize results was used IGV Browser (version 2.8.11) [</w:t>
      </w:r>
      <w:hyperlink r:id="rId14">
        <w:r w:rsidDel="00000000" w:rsidR="00000000" w:rsidRPr="00000000">
          <w:rPr>
            <w:rFonts w:ascii="Lora" w:cs="Lora" w:eastAsia="Lora" w:hAnsi="Lora"/>
            <w:color w:val="1155cc"/>
            <w:u w:val="single"/>
            <w:rtl w:val="0"/>
          </w:rPr>
          <w:t xml:space="preserve">8</w:t>
        </w:r>
      </w:hyperlink>
      <w:r w:rsidDel="00000000" w:rsidR="00000000" w:rsidRPr="00000000">
        <w:rPr>
          <w:rFonts w:ascii="Lora" w:cs="Lora" w:eastAsia="Lora" w:hAnsi="Lora"/>
          <w:rtl w:val="0"/>
        </w:rPr>
        <w:t xml:space="preserve">]. </w:t>
      </w:r>
    </w:p>
    <w:p w:rsidR="00000000" w:rsidDel="00000000" w:rsidP="00000000" w:rsidRDefault="00000000" w:rsidRPr="00000000" w14:paraId="00000011">
      <w:pPr>
        <w:pageBreakBefore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12">
      <w:pPr>
        <w:pageBreakBefore w:val="0"/>
        <w:spacing w:line="240" w:lineRule="auto"/>
        <w:rPr>
          <w:rFonts w:ascii="Lora" w:cs="Lora" w:eastAsia="Lora" w:hAnsi="Lora"/>
          <w:b w:val="1"/>
        </w:rPr>
      </w:pPr>
      <w:r w:rsidDel="00000000" w:rsidR="00000000" w:rsidRPr="00000000">
        <w:rPr>
          <w:rFonts w:ascii="Lora" w:cs="Lora" w:eastAsia="Lora" w:hAnsi="Lora"/>
          <w:b w:val="1"/>
          <w:rtl w:val="0"/>
        </w:rPr>
        <w:t xml:space="preserve">Results</w:t>
      </w:r>
    </w:p>
    <w:p w:rsidR="00000000" w:rsidDel="00000000" w:rsidP="00000000" w:rsidRDefault="00000000" w:rsidRPr="00000000" w14:paraId="00000013">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First of all, we check the quality of read using FastQC. We observed a degradation in the quality of reading by the end of the read. So, next we cut bases off the end of a read if quality below 20 (using Trimmomatic). After that we run FastQC again. On the Fig.1 you can see per base sequence quality before and after  trimming. </w:t>
      </w:r>
    </w:p>
    <w:p w:rsidR="00000000" w:rsidDel="00000000" w:rsidP="00000000" w:rsidRDefault="00000000" w:rsidRPr="00000000" w14:paraId="00000014">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Table 1 shows the quantity of reads before and after trimming and the quantity of aligned reads. </w:t>
      </w:r>
    </w:p>
    <w:p w:rsidR="00000000" w:rsidDel="00000000" w:rsidP="00000000" w:rsidRDefault="00000000" w:rsidRPr="00000000" w14:paraId="00000015">
      <w:pPr>
        <w:pageBreakBefore w:val="0"/>
        <w:spacing w:line="240" w:lineRule="auto"/>
        <w:rPr>
          <w:rFonts w:ascii="Lora" w:cs="Lora" w:eastAsia="Lora" w:hAnsi="Lora"/>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3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Lora" w:cs="Lora" w:eastAsia="Lora" w:hAnsi="Lor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6355</wp:posOffset>
                  </wp:positionV>
                  <wp:extent cx="2600325" cy="199072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5"/>
                          <a:srcRect b="8917" l="21391" r="37237" t="25194"/>
                          <a:stretch>
                            <a:fillRect/>
                          </a:stretch>
                        </pic:blipFill>
                        <pic:spPr>
                          <a:xfrm>
                            <a:off x="0" y="0"/>
                            <a:ext cx="2600325" cy="19907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Lora" w:cs="Lora" w:eastAsia="Lora" w:hAnsi="Lor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76200</wp:posOffset>
                  </wp:positionV>
                  <wp:extent cx="2657475" cy="193004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6"/>
                          <a:srcRect b="14982" l="20979" r="37628" t="20770"/>
                          <a:stretch>
                            <a:fillRect/>
                          </a:stretch>
                        </pic:blipFill>
                        <pic:spPr>
                          <a:xfrm>
                            <a:off x="0" y="0"/>
                            <a:ext cx="2657475" cy="1930048"/>
                          </a:xfrm>
                          <a:prstGeom prst="rect"/>
                          <a:ln/>
                        </pic:spPr>
                      </pic:pic>
                    </a:graphicData>
                  </a:graphic>
                </wp:anchor>
              </w:drawing>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Lora" w:cs="Lora" w:eastAsia="Lora" w:hAnsi="Lora"/>
                <w:sz w:val="18"/>
                <w:szCs w:val="18"/>
              </w:rPr>
            </w:pPr>
            <w:r w:rsidDel="00000000" w:rsidR="00000000" w:rsidRPr="00000000">
              <w:rPr>
                <w:rFonts w:ascii="Lora" w:cs="Lora" w:eastAsia="Lora" w:hAnsi="Lora"/>
                <w:sz w:val="18"/>
                <w:szCs w:val="18"/>
                <w:rtl w:val="0"/>
              </w:rPr>
              <w:t xml:space="preserve">Fig. 1. Per base sequence quality of reads before (left) and after (right) trimming. </w:t>
            </w:r>
          </w:p>
        </w:tc>
      </w:tr>
    </w:tbl>
    <w:p w:rsidR="00000000" w:rsidDel="00000000" w:rsidP="00000000" w:rsidRDefault="00000000" w:rsidRPr="00000000" w14:paraId="0000001A">
      <w:pPr>
        <w:pageBreakBefore w:val="0"/>
        <w:spacing w:line="240" w:lineRule="auto"/>
        <w:rPr>
          <w:rFonts w:ascii="Lora" w:cs="Lora" w:eastAsia="Lora" w:hAnsi="Lora"/>
          <w:b w:val="1"/>
        </w:rPr>
      </w:pP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1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14.399999999999999" w:lineRule="auto"/>
              <w:rPr>
                <w:rFonts w:ascii="Lora" w:cs="Lora" w:eastAsia="Lora" w:hAnsi="Lora"/>
                <w:b w:val="1"/>
              </w:rPr>
            </w:pPr>
            <w:r w:rsidDel="00000000" w:rsidR="00000000" w:rsidRPr="00000000">
              <w:rPr>
                <w:rtl w:val="0"/>
              </w:rPr>
            </w:r>
          </w:p>
          <w:tbl>
            <w:tblPr>
              <w:tblStyle w:val="Table3"/>
              <w:tblW w:w="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635"/>
              <w:tblGridChange w:id="0">
                <w:tblGrid>
                  <w:gridCol w:w="262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Lora" w:cs="Lora" w:eastAsia="Lora" w:hAnsi="Lora"/>
                    </w:rPr>
                  </w:pPr>
                  <w:r w:rsidDel="00000000" w:rsidR="00000000" w:rsidRPr="00000000">
                    <w:rPr>
                      <w:rFonts w:ascii="Lora" w:cs="Lora" w:eastAsia="Lora" w:hAnsi="Lora"/>
                      <w:rtl w:val="0"/>
                    </w:rPr>
                    <w:t xml:space="preserve">    Before trimming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Lora" w:cs="Lora" w:eastAsia="Lora" w:hAnsi="Lora"/>
                    </w:rPr>
                  </w:pPr>
                  <w:r w:rsidDel="00000000" w:rsidR="00000000" w:rsidRPr="00000000">
                    <w:rPr>
                      <w:rFonts w:ascii="Lora" w:cs="Lora" w:eastAsia="Lora" w:hAnsi="Lora"/>
                      <w:rtl w:val="0"/>
                    </w:rPr>
                    <w:t xml:space="preserve">455876 x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After trimming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240" w:lineRule="auto"/>
                    <w:rPr>
                      <w:rFonts w:ascii="Lora" w:cs="Lora" w:eastAsia="Lora" w:hAnsi="Lora"/>
                      <w:b w:val="1"/>
                    </w:rPr>
                  </w:pPr>
                  <w:r w:rsidDel="00000000" w:rsidR="00000000" w:rsidRPr="00000000">
                    <w:rPr>
                      <w:rFonts w:ascii="Lora" w:cs="Lora" w:eastAsia="Lora" w:hAnsi="Lora"/>
                      <w:rtl w:val="0"/>
                    </w:rPr>
                    <w:t xml:space="preserve">445888 x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Aligned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892011</w:t>
                  </w:r>
                </w:p>
              </w:tc>
            </w:tr>
          </w:tbl>
          <w:p w:rsidR="00000000" w:rsidDel="00000000" w:rsidP="00000000" w:rsidRDefault="00000000" w:rsidRPr="00000000" w14:paraId="00000022">
            <w:pPr>
              <w:pageBreakBefore w:val="0"/>
              <w:widowControl w:val="0"/>
              <w:spacing w:line="240" w:lineRule="auto"/>
              <w:rPr>
                <w:rFonts w:ascii="Lora" w:cs="Lora" w:eastAsia="Lora" w:hAnsi="Lor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Lora" w:cs="Lora" w:eastAsia="Lora" w:hAnsi="Lora"/>
                <w:sz w:val="18"/>
                <w:szCs w:val="18"/>
              </w:rPr>
            </w:pPr>
            <w:r w:rsidDel="00000000" w:rsidR="00000000" w:rsidRPr="00000000">
              <w:rPr>
                <w:rFonts w:ascii="Lora" w:cs="Lora" w:eastAsia="Lora" w:hAnsi="Lora"/>
                <w:sz w:val="18"/>
                <w:szCs w:val="18"/>
                <w:rtl w:val="0"/>
              </w:rPr>
              <w:t xml:space="preserve">Table 1. The quantity of reads before and after trimming and the quantity of aligned reads</w:t>
            </w:r>
          </w:p>
        </w:tc>
      </w:tr>
    </w:tbl>
    <w:p w:rsidR="00000000" w:rsidDel="00000000" w:rsidP="00000000" w:rsidRDefault="00000000" w:rsidRPr="00000000" w14:paraId="00000024">
      <w:pPr>
        <w:pageBreakBefore w:val="0"/>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25">
      <w:pPr>
        <w:pageBreakBefore w:val="0"/>
        <w:spacing w:line="240" w:lineRule="auto"/>
        <w:jc w:val="both"/>
        <w:rPr>
          <w:rFonts w:ascii="Lora" w:cs="Lora" w:eastAsia="Lora" w:hAnsi="Lora"/>
        </w:rPr>
      </w:pPr>
      <w:r w:rsidDel="00000000" w:rsidR="00000000" w:rsidRPr="00000000">
        <w:rPr>
          <w:rFonts w:ascii="Lora" w:cs="Lora" w:eastAsia="Lora" w:hAnsi="Lora"/>
          <w:rtl w:val="0"/>
        </w:rPr>
        <w:t xml:space="preserve">Next step reads were mapped to the reference and scanned to identify positions that likely contained mutations. We found seven SNPs (not using options </w:t>
      </w:r>
      <w:r w:rsidDel="00000000" w:rsidR="00000000" w:rsidRPr="00000000">
        <w:rPr>
          <w:rFonts w:ascii="Lora" w:cs="Lora" w:eastAsia="Lora" w:hAnsi="Lora"/>
          <w:b w:val="1"/>
          <w:rtl w:val="0"/>
        </w:rPr>
        <w:t xml:space="preserve">--min-var-frequency</w:t>
      </w:r>
      <w:r w:rsidDel="00000000" w:rsidR="00000000" w:rsidRPr="00000000">
        <w:rPr>
          <w:rFonts w:ascii="Lora" w:cs="Lora" w:eastAsia="Lora" w:hAnsi="Lora"/>
          <w:rtl w:val="0"/>
        </w:rPr>
        <w:t xml:space="preserve">). Of these, one has 28.57% of non-reference bases, and this position is not in the coding region of the genome. Six SNPs have 100% of non-reference bases. One of these nucleotide replacements doesn't lead to the replacement of amino </w:t>
      </w:r>
      <w:r w:rsidDel="00000000" w:rsidR="00000000" w:rsidRPr="00000000">
        <w:rPr>
          <w:rFonts w:ascii="Lora" w:cs="Lora" w:eastAsia="Lora" w:hAnsi="Lora"/>
          <w:rtl w:val="0"/>
        </w:rPr>
        <w:t xml:space="preserve">acid</w:t>
      </w:r>
      <w:r w:rsidDel="00000000" w:rsidR="00000000" w:rsidRPr="00000000">
        <w:rPr>
          <w:rFonts w:ascii="Lora" w:cs="Lora" w:eastAsia="Lora" w:hAnsi="Lora"/>
          <w:rtl w:val="0"/>
        </w:rPr>
        <w:t xml:space="preserve">. So, only five mutations remain interesting for us. </w:t>
      </w:r>
    </w:p>
    <w:p w:rsidR="00000000" w:rsidDel="00000000" w:rsidP="00000000" w:rsidRDefault="00000000" w:rsidRPr="00000000" w14:paraId="00000026">
      <w:pPr>
        <w:pageBreakBefore w:val="0"/>
        <w:spacing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027">
      <w:pPr>
        <w:pageBreakBefore w:val="0"/>
        <w:spacing w:line="240" w:lineRule="auto"/>
        <w:rPr>
          <w:rFonts w:ascii="Lora" w:cs="Lora" w:eastAsia="Lora" w:hAnsi="Lora"/>
          <w:b w:val="1"/>
        </w:rPr>
      </w:pPr>
      <w:r w:rsidDel="00000000" w:rsidR="00000000" w:rsidRPr="00000000">
        <w:rPr>
          <w:rFonts w:ascii="Lora" w:cs="Lora" w:eastAsia="Lora" w:hAnsi="Lora"/>
          <w:b w:val="1"/>
          <w:rtl w:val="0"/>
        </w:rPr>
        <w:t xml:space="preserve">Discussion</w:t>
      </w:r>
    </w:p>
    <w:p w:rsidR="00000000" w:rsidDel="00000000" w:rsidP="00000000" w:rsidRDefault="00000000" w:rsidRPr="00000000" w14:paraId="00000028">
      <w:pPr>
        <w:pageBreakBefore w:val="0"/>
        <w:spacing w:line="240" w:lineRule="auto"/>
        <w:jc w:val="both"/>
        <w:rPr>
          <w:rFonts w:ascii="Lora" w:cs="Lora" w:eastAsia="Lora" w:hAnsi="Lora"/>
          <w:color w:val="202122"/>
          <w:highlight w:val="white"/>
        </w:rPr>
      </w:pPr>
      <w:r w:rsidDel="00000000" w:rsidR="00000000" w:rsidRPr="00000000">
        <w:rPr>
          <w:rFonts w:ascii="Lora" w:cs="Lora" w:eastAsia="Lora" w:hAnsi="Lora"/>
          <w:rtl w:val="0"/>
        </w:rPr>
        <w:t xml:space="preserve">SNP in gene</w:t>
      </w:r>
      <w:r w:rsidDel="00000000" w:rsidR="00000000" w:rsidRPr="00000000">
        <w:rPr>
          <w:rFonts w:ascii="Lora" w:cs="Lora" w:eastAsia="Lora" w:hAnsi="Lora"/>
          <w:i w:val="1"/>
          <w:rtl w:val="0"/>
        </w:rPr>
        <w:t xml:space="preserve"> ftsI </w:t>
      </w:r>
      <w:r w:rsidDel="00000000" w:rsidR="00000000" w:rsidRPr="00000000">
        <w:rPr>
          <w:rFonts w:ascii="Lora" w:cs="Lora" w:eastAsia="Lora" w:hAnsi="Lora"/>
          <w:rtl w:val="0"/>
        </w:rPr>
        <w:t xml:space="preserve">causes mutation A544G in protein called DD-transpeptidase</w:t>
      </w:r>
      <w:r w:rsidDel="00000000" w:rsidR="00000000" w:rsidRPr="00000000">
        <w:rPr>
          <w:rFonts w:ascii="Lora" w:cs="Lora" w:eastAsia="Lora" w:hAnsi="Lora"/>
          <w:highlight w:val="white"/>
          <w:rtl w:val="0"/>
        </w:rPr>
        <w:t xml:space="preserve">, also known as penicillin-binding protein (PBD). </w:t>
      </w:r>
      <w:r w:rsidDel="00000000" w:rsidR="00000000" w:rsidRPr="00000000">
        <w:rPr>
          <w:rFonts w:ascii="Cardo" w:cs="Cardo" w:eastAsia="Cardo" w:hAnsi="Cardo"/>
          <w:color w:val="202122"/>
          <w:highlight w:val="white"/>
          <w:rtl w:val="0"/>
        </w:rPr>
        <w:t xml:space="preserve">It is involved in bacterial cell wall biosynthesis, namely, the transpeptidation that crosslinks the peptide side chains of peptidoglycan strands. β-lactam antibiotic, being a structural analogue of the terminal dipeptide of peptidoglycan D-alanyl-D-alanine, binds covalently to the active site of this protein. This binding inhibits the transpeptidation reaction and stops peptidoglycan synthesis, eventually collapsing the bacterial cell [</w:t>
      </w:r>
      <w:hyperlink r:id="rId17">
        <w:r w:rsidDel="00000000" w:rsidR="00000000" w:rsidRPr="00000000">
          <w:rPr>
            <w:rFonts w:ascii="Lora" w:cs="Lora" w:eastAsia="Lora" w:hAnsi="Lora"/>
            <w:color w:val="1155cc"/>
            <w:highlight w:val="white"/>
            <w:u w:val="single"/>
            <w:rtl w:val="0"/>
          </w:rPr>
          <w:t xml:space="preserve">10</w:t>
        </w:r>
      </w:hyperlink>
      <w:r w:rsidDel="00000000" w:rsidR="00000000" w:rsidRPr="00000000">
        <w:rPr>
          <w:rFonts w:ascii="Lora" w:cs="Lora" w:eastAsia="Lora" w:hAnsi="Lora"/>
          <w:color w:val="202122"/>
          <w:highlight w:val="white"/>
          <w:rtl w:val="0"/>
        </w:rPr>
        <w:t xml:space="preserve">]. We can suggest that replacement amino acid substitution can change the binding site of PBD, the antibiotic cannot bind the enzyme, resulting in resistance. </w:t>
      </w:r>
    </w:p>
    <w:p w:rsidR="00000000" w:rsidDel="00000000" w:rsidP="00000000" w:rsidRDefault="00000000" w:rsidRPr="00000000" w14:paraId="00000029">
      <w:pPr>
        <w:pageBreakBefore w:val="0"/>
        <w:spacing w:line="240" w:lineRule="auto"/>
        <w:jc w:val="both"/>
        <w:rPr>
          <w:rFonts w:ascii="Lora" w:cs="Lora" w:eastAsia="Lora" w:hAnsi="Lora"/>
          <w:color w:val="222222"/>
          <w:highlight w:val="white"/>
        </w:rPr>
      </w:pPr>
      <w:r w:rsidDel="00000000" w:rsidR="00000000" w:rsidRPr="00000000">
        <w:rPr>
          <w:rFonts w:ascii="Lora" w:cs="Lora" w:eastAsia="Lora" w:hAnsi="Lora"/>
          <w:color w:val="202122"/>
          <w:highlight w:val="white"/>
          <w:rtl w:val="0"/>
        </w:rPr>
        <w:t xml:space="preserve">Mutation in gene </w:t>
      </w:r>
      <w:r w:rsidDel="00000000" w:rsidR="00000000" w:rsidRPr="00000000">
        <w:rPr>
          <w:rFonts w:ascii="Lora" w:cs="Lora" w:eastAsia="Lora" w:hAnsi="Lora"/>
          <w:i w:val="1"/>
          <w:color w:val="202122"/>
          <w:highlight w:val="white"/>
          <w:rtl w:val="0"/>
        </w:rPr>
        <w:t xml:space="preserve">envZ </w:t>
      </w:r>
      <w:r w:rsidDel="00000000" w:rsidR="00000000" w:rsidRPr="00000000">
        <w:rPr>
          <w:rFonts w:ascii="Lora" w:cs="Lora" w:eastAsia="Lora" w:hAnsi="Lora"/>
          <w:color w:val="202122"/>
          <w:highlight w:val="white"/>
          <w:rtl w:val="0"/>
        </w:rPr>
        <w:t xml:space="preserve">also can cause antibiotic resistance. Histidine kinase EnvZ is a </w:t>
      </w:r>
      <w:r w:rsidDel="00000000" w:rsidR="00000000" w:rsidRPr="00000000">
        <w:rPr>
          <w:rFonts w:ascii="Lora" w:cs="Lora" w:eastAsia="Lora" w:hAnsi="Lora"/>
          <w:color w:val="222222"/>
          <w:highlight w:val="white"/>
          <w:rtl w:val="0"/>
        </w:rPr>
        <w:t xml:space="preserve">member of the two-component regulatory system EnvZ/OmpR involved in osmoregulation, particularly if regulates transcription of genes </w:t>
      </w:r>
      <w:r w:rsidDel="00000000" w:rsidR="00000000" w:rsidRPr="00000000">
        <w:rPr>
          <w:rFonts w:ascii="Lora" w:cs="Lora" w:eastAsia="Lora" w:hAnsi="Lora"/>
          <w:i w:val="1"/>
          <w:color w:val="222222"/>
          <w:highlight w:val="white"/>
          <w:rtl w:val="0"/>
        </w:rPr>
        <w:t xml:space="preserve">ompF</w:t>
      </w:r>
      <w:r w:rsidDel="00000000" w:rsidR="00000000" w:rsidRPr="00000000">
        <w:rPr>
          <w:rFonts w:ascii="Lora" w:cs="Lora" w:eastAsia="Lora" w:hAnsi="Lora"/>
          <w:color w:val="222222"/>
          <w:highlight w:val="white"/>
          <w:rtl w:val="0"/>
        </w:rPr>
        <w:t xml:space="preserve"> and </w:t>
      </w:r>
      <w:r w:rsidDel="00000000" w:rsidR="00000000" w:rsidRPr="00000000">
        <w:rPr>
          <w:rFonts w:ascii="Lora" w:cs="Lora" w:eastAsia="Lora" w:hAnsi="Lora"/>
          <w:i w:val="1"/>
          <w:color w:val="222222"/>
          <w:highlight w:val="white"/>
          <w:rtl w:val="0"/>
        </w:rPr>
        <w:t xml:space="preserve">ompC</w:t>
      </w:r>
      <w:r w:rsidDel="00000000" w:rsidR="00000000" w:rsidRPr="00000000">
        <w:rPr>
          <w:rFonts w:ascii="Lora" w:cs="Lora" w:eastAsia="Lora" w:hAnsi="Lora"/>
          <w:color w:val="222222"/>
          <w:highlight w:val="white"/>
          <w:rtl w:val="0"/>
        </w:rPr>
        <w:t xml:space="preserve">. In article [</w:t>
      </w:r>
      <w:hyperlink r:id="rId18">
        <w:r w:rsidDel="00000000" w:rsidR="00000000" w:rsidRPr="00000000">
          <w:rPr>
            <w:rFonts w:ascii="Lora" w:cs="Lora" w:eastAsia="Lora" w:hAnsi="Lora"/>
            <w:color w:val="1155cc"/>
            <w:highlight w:val="white"/>
            <w:u w:val="single"/>
            <w:rtl w:val="0"/>
          </w:rPr>
          <w:t xml:space="preserve">11</w:t>
        </w:r>
      </w:hyperlink>
      <w:r w:rsidDel="00000000" w:rsidR="00000000" w:rsidRPr="00000000">
        <w:rPr>
          <w:rFonts w:ascii="Lora" w:cs="Lora" w:eastAsia="Lora" w:hAnsi="Lora"/>
          <w:color w:val="222222"/>
          <w:highlight w:val="white"/>
          <w:rtl w:val="0"/>
        </w:rPr>
        <w:t xml:space="preserve">] were shown, that a decreased level of porin OmpF</w:t>
      </w:r>
      <w:r w:rsidDel="00000000" w:rsidR="00000000" w:rsidRPr="00000000">
        <w:rPr>
          <w:color w:val="222222"/>
          <w:highlight w:val="white"/>
          <w:rtl w:val="0"/>
        </w:rPr>
        <w:t xml:space="preserve"> </w:t>
      </w:r>
      <w:r w:rsidDel="00000000" w:rsidR="00000000" w:rsidRPr="00000000">
        <w:rPr>
          <w:rFonts w:ascii="Lora" w:cs="Lora" w:eastAsia="Lora" w:hAnsi="Lora"/>
          <w:color w:val="222222"/>
          <w:highlight w:val="white"/>
          <w:rtl w:val="0"/>
        </w:rPr>
        <w:t xml:space="preserve">can lead to </w:t>
      </w:r>
      <w:r w:rsidDel="00000000" w:rsidR="00000000" w:rsidRPr="00000000">
        <w:rPr>
          <w:rFonts w:ascii="Verdana" w:cs="Verdana" w:eastAsia="Verdana" w:hAnsi="Verdana"/>
          <w:color w:val="222222"/>
          <w:highlight w:val="white"/>
          <w:rtl w:val="0"/>
        </w:rPr>
        <w:t xml:space="preserve"> </w:t>
      </w:r>
      <w:r w:rsidDel="00000000" w:rsidR="00000000" w:rsidRPr="00000000">
        <w:rPr>
          <w:rFonts w:ascii="Lora" w:cs="Lora" w:eastAsia="Lora" w:hAnsi="Lora"/>
          <w:color w:val="222222"/>
          <w:highlight w:val="white"/>
          <w:rtl w:val="0"/>
        </w:rPr>
        <w:t xml:space="preserve">decreased susceptibility to a number of hydrophilic antibiotics including ampicillin. We can assume that the mutation М241G led to changes in the regulation of porin OmpF expression, that caused resistance to ampicillin in our strain. </w:t>
      </w:r>
    </w:p>
    <w:p w:rsidR="00000000" w:rsidDel="00000000" w:rsidP="00000000" w:rsidRDefault="00000000" w:rsidRPr="00000000" w14:paraId="0000002A">
      <w:pPr>
        <w:pageBreakBefore w:val="0"/>
        <w:spacing w:line="240" w:lineRule="auto"/>
        <w:jc w:val="both"/>
        <w:rPr>
          <w:rFonts w:ascii="Lora" w:cs="Lora" w:eastAsia="Lora" w:hAnsi="Lora"/>
          <w:color w:val="222222"/>
          <w:highlight w:val="white"/>
        </w:rPr>
      </w:pPr>
      <w:r w:rsidDel="00000000" w:rsidR="00000000" w:rsidRPr="00000000">
        <w:rPr>
          <w:rFonts w:ascii="Lora" w:cs="Lora" w:eastAsia="Lora" w:hAnsi="Lora"/>
          <w:color w:val="222222"/>
          <w:highlight w:val="white"/>
          <w:rtl w:val="0"/>
        </w:rPr>
        <w:t xml:space="preserve">One way to develop resistance is to pump the antibiotic out of the cell. There are membrane proteins, called efflux pumps, that are supposed to pump out different toxic substances. One of these is coding by genes</w:t>
      </w:r>
      <w:r w:rsidDel="00000000" w:rsidR="00000000" w:rsidRPr="00000000">
        <w:rPr>
          <w:rFonts w:ascii="Lora" w:cs="Lora" w:eastAsia="Lora" w:hAnsi="Lora"/>
          <w:i w:val="1"/>
          <w:color w:val="222222"/>
          <w:highlight w:val="white"/>
          <w:rtl w:val="0"/>
        </w:rPr>
        <w:t xml:space="preserve"> acrA </w:t>
      </w:r>
      <w:r w:rsidDel="00000000" w:rsidR="00000000" w:rsidRPr="00000000">
        <w:rPr>
          <w:rFonts w:ascii="Lora" w:cs="Lora" w:eastAsia="Lora" w:hAnsi="Lora"/>
          <w:color w:val="222222"/>
          <w:highlight w:val="white"/>
          <w:rtl w:val="0"/>
        </w:rPr>
        <w:t xml:space="preserve">and </w:t>
      </w:r>
      <w:r w:rsidDel="00000000" w:rsidR="00000000" w:rsidRPr="00000000">
        <w:rPr>
          <w:rFonts w:ascii="Lora" w:cs="Lora" w:eastAsia="Lora" w:hAnsi="Lora"/>
          <w:i w:val="1"/>
          <w:color w:val="222222"/>
          <w:highlight w:val="white"/>
          <w:rtl w:val="0"/>
        </w:rPr>
        <w:t xml:space="preserve">acrB. </w:t>
      </w:r>
      <w:r w:rsidDel="00000000" w:rsidR="00000000" w:rsidRPr="00000000">
        <w:rPr>
          <w:rFonts w:ascii="Lora" w:cs="Lora" w:eastAsia="Lora" w:hAnsi="Lora"/>
          <w:color w:val="222222"/>
          <w:highlight w:val="white"/>
          <w:rtl w:val="0"/>
        </w:rPr>
        <w:t xml:space="preserve">It has been repeatedly shown that the AcrAB kit plays an important role in antibiotic resistance [</w:t>
      </w:r>
      <w:hyperlink r:id="rId19">
        <w:r w:rsidDel="00000000" w:rsidR="00000000" w:rsidRPr="00000000">
          <w:rPr>
            <w:rFonts w:ascii="Lora" w:cs="Lora" w:eastAsia="Lora" w:hAnsi="Lora"/>
            <w:color w:val="1155cc"/>
            <w:highlight w:val="white"/>
            <w:u w:val="single"/>
            <w:rtl w:val="0"/>
          </w:rPr>
          <w:t xml:space="preserve">12</w:t>
        </w:r>
      </w:hyperlink>
      <w:r w:rsidDel="00000000" w:rsidR="00000000" w:rsidRPr="00000000">
        <w:rPr>
          <w:rFonts w:ascii="Lora" w:cs="Lora" w:eastAsia="Lora" w:hAnsi="Lora"/>
          <w:color w:val="222222"/>
          <w:highlight w:val="white"/>
          <w:rtl w:val="0"/>
        </w:rPr>
        <w:t xml:space="preserve">, </w:t>
      </w:r>
      <w:hyperlink r:id="rId20">
        <w:r w:rsidDel="00000000" w:rsidR="00000000" w:rsidRPr="00000000">
          <w:rPr>
            <w:rFonts w:ascii="Lora" w:cs="Lora" w:eastAsia="Lora" w:hAnsi="Lora"/>
            <w:color w:val="1155cc"/>
            <w:highlight w:val="white"/>
            <w:u w:val="single"/>
            <w:rtl w:val="0"/>
          </w:rPr>
          <w:t xml:space="preserve">13</w:t>
        </w:r>
      </w:hyperlink>
      <w:r w:rsidDel="00000000" w:rsidR="00000000" w:rsidRPr="00000000">
        <w:rPr>
          <w:rFonts w:ascii="Lora" w:cs="Lora" w:eastAsia="Lora" w:hAnsi="Lora"/>
          <w:color w:val="222222"/>
          <w:highlight w:val="white"/>
          <w:rtl w:val="0"/>
        </w:rPr>
        <w:t xml:space="preserve">]. We can suggest that mutations </w:t>
      </w:r>
      <w:r w:rsidDel="00000000" w:rsidR="00000000" w:rsidRPr="00000000">
        <w:rPr>
          <w:rFonts w:ascii="Lora" w:cs="Lora" w:eastAsia="Lora" w:hAnsi="Lora"/>
          <w:rtl w:val="0"/>
        </w:rPr>
        <w:t xml:space="preserve">Q569L make this protein more effective in combating antibiotics. </w:t>
      </w:r>
      <w:r w:rsidDel="00000000" w:rsidR="00000000" w:rsidRPr="00000000">
        <w:rPr>
          <w:rtl w:val="0"/>
        </w:rPr>
      </w:r>
    </w:p>
    <w:p w:rsidR="00000000" w:rsidDel="00000000" w:rsidP="00000000" w:rsidRDefault="00000000" w:rsidRPr="00000000" w14:paraId="0000002B">
      <w:pPr>
        <w:pageBreakBefore w:val="0"/>
        <w:spacing w:line="240" w:lineRule="auto"/>
        <w:rPr>
          <w:rFonts w:ascii="Lora" w:cs="Lora" w:eastAsia="Lora" w:hAnsi="Lora"/>
          <w:b w:val="1"/>
        </w:rPr>
      </w:pPr>
      <w:commentRangeStart w:id="1"/>
      <w:r w:rsidDel="00000000" w:rsidR="00000000" w:rsidRPr="00000000">
        <w:rPr>
          <w:rtl w:val="0"/>
        </w:rPr>
      </w:r>
    </w:p>
    <w:p w:rsidR="00000000" w:rsidDel="00000000" w:rsidP="00000000" w:rsidRDefault="00000000" w:rsidRPr="00000000" w14:paraId="0000002C">
      <w:pPr>
        <w:pageBreakBefore w:val="0"/>
        <w:widowControl w:val="0"/>
        <w:spacing w:line="240" w:lineRule="auto"/>
        <w:jc w:val="center"/>
        <w:rPr>
          <w:rFonts w:ascii="Lora" w:cs="Lora" w:eastAsia="Lora" w:hAnsi="Lora"/>
          <w:b w:val="1"/>
        </w:rPr>
      </w:pPr>
      <w:commentRangeEnd w:id="1"/>
      <w:r w:rsidDel="00000000" w:rsidR="00000000" w:rsidRPr="00000000">
        <w:commentReference w:id="1"/>
      </w:r>
      <w:r w:rsidDel="00000000" w:rsidR="00000000" w:rsidRPr="00000000">
        <w:rPr>
          <w:rFonts w:ascii="Nova Mono" w:cs="Nova Mono" w:eastAsia="Nova Mono" w:hAnsi="Nova Mono"/>
          <w:b w:val="1"/>
          <w:rtl w:val="0"/>
        </w:rPr>
        <w:t xml:space="preserve">№</w:t>
      </w:r>
    </w:p>
    <w:tbl>
      <w:tblPr>
        <w:tblStyle w:val="Table4"/>
        <w:tblW w:w="910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1170"/>
        <w:gridCol w:w="690"/>
        <w:gridCol w:w="765"/>
        <w:gridCol w:w="900"/>
        <w:gridCol w:w="1545"/>
        <w:gridCol w:w="945"/>
        <w:gridCol w:w="1395"/>
        <w:gridCol w:w="1245"/>
        <w:tblGridChange w:id="0">
          <w:tblGrid>
            <w:gridCol w:w="450"/>
            <w:gridCol w:w="1170"/>
            <w:gridCol w:w="690"/>
            <w:gridCol w:w="765"/>
            <w:gridCol w:w="900"/>
            <w:gridCol w:w="1545"/>
            <w:gridCol w:w="945"/>
            <w:gridCol w:w="1395"/>
            <w:gridCol w:w="124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rFonts w:ascii="Lora" w:cs="Lora" w:eastAsia="Lora" w:hAnsi="Lora"/>
                <w:b w:val="1"/>
              </w:rPr>
            </w:pPr>
            <w:commentRangeEnd w:id="1"/>
            <w:r w:rsidDel="00000000" w:rsidR="00000000" w:rsidRPr="00000000">
              <w:commentReference w:id="1"/>
            </w:r>
            <w:r w:rsidDel="00000000" w:rsidR="00000000" w:rsidRPr="00000000">
              <w:rPr>
                <w:rFonts w:ascii="Nova Mono" w:cs="Nova Mono" w:eastAsia="Nova Mono" w:hAnsi="Nova Mono"/>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Gene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Strain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Ref. Codon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Ref. </w:t>
            </w:r>
          </w:p>
          <w:p w:rsidR="00000000" w:rsidDel="00000000" w:rsidP="00000000" w:rsidRDefault="00000000" w:rsidRPr="00000000" w14:paraId="00000032">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amino acid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Alt. </w:t>
            </w:r>
          </w:p>
          <w:p w:rsidR="00000000" w:rsidDel="00000000" w:rsidP="00000000" w:rsidRDefault="00000000" w:rsidRPr="00000000" w14:paraId="00000034">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Codon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Alt.</w:t>
            </w:r>
          </w:p>
          <w:p w:rsidR="00000000" w:rsidDel="00000000" w:rsidP="00000000" w:rsidRDefault="00000000" w:rsidRPr="00000000" w14:paraId="00000036">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 amino acid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Mutations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93043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rFonts w:ascii="Lora" w:cs="Lora" w:eastAsia="Lora" w:hAnsi="Lora"/>
              </w:rPr>
            </w:pPr>
            <w:hyperlink r:id="rId21">
              <w:r w:rsidDel="00000000" w:rsidR="00000000" w:rsidRPr="00000000">
                <w:rPr>
                  <w:rFonts w:ascii="Lora" w:cs="Lora" w:eastAsia="Lora" w:hAnsi="Lora"/>
                  <w:color w:val="1155cc"/>
                  <w:u w:val="single"/>
                  <w:rtl w:val="0"/>
                </w:rPr>
                <w:t xml:space="preserve">ftsI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GCC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Alanine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GGC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Glycine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A544G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482698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rFonts w:ascii="Lora" w:cs="Lora" w:eastAsia="Lora" w:hAnsi="Lora"/>
              </w:rPr>
            </w:pPr>
            <w:hyperlink r:id="rId22">
              <w:r w:rsidDel="00000000" w:rsidR="00000000" w:rsidRPr="00000000">
                <w:rPr>
                  <w:rFonts w:ascii="Lora" w:cs="Lora" w:eastAsia="Lora" w:hAnsi="Lora"/>
                  <w:color w:val="1155cc"/>
                  <w:u w:val="single"/>
                  <w:rtl w:val="0"/>
                </w:rPr>
                <w:t xml:space="preserve">acrB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CAG</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Glutamine (Q)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CTG</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Leucine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Q569L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852762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Lora" w:cs="Lora" w:eastAsia="Lora" w:hAnsi="Lora"/>
              </w:rPr>
            </w:pPr>
            <w:hyperlink r:id="rId23">
              <w:r w:rsidDel="00000000" w:rsidR="00000000" w:rsidRPr="00000000">
                <w:rPr>
                  <w:rFonts w:ascii="Lora" w:cs="Lora" w:eastAsia="Lora" w:hAnsi="Lora"/>
                  <w:color w:val="1155cc"/>
                  <w:u w:val="single"/>
                  <w:rtl w:val="0"/>
                </w:rPr>
                <w:t xml:space="preserve">rybA</w:t>
              </w:r>
            </w:hyperlink>
            <w:r w:rsidDel="00000000" w:rsidR="00000000" w:rsidRPr="00000000">
              <w:rPr>
                <w:rtl w:val="0"/>
              </w:rPr>
            </w:r>
          </w:p>
          <w:p w:rsidR="00000000" w:rsidDel="00000000" w:rsidP="00000000" w:rsidRDefault="00000000" w:rsidRPr="00000000" w14:paraId="0000004D">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TTT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Phenylalanine</w:t>
            </w:r>
          </w:p>
          <w:p w:rsidR="00000000" w:rsidDel="00000000" w:rsidP="00000000" w:rsidRDefault="00000000" w:rsidRPr="00000000" w14:paraId="00000051">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TCT</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Serine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1905761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Lora" w:cs="Lora" w:eastAsia="Lora" w:hAnsi="Lora"/>
              </w:rPr>
            </w:pPr>
            <w:hyperlink r:id="rId24">
              <w:r w:rsidDel="00000000" w:rsidR="00000000" w:rsidRPr="00000000">
                <w:rPr>
                  <w:rFonts w:ascii="Lora" w:cs="Lora" w:eastAsia="Lora" w:hAnsi="Lora"/>
                  <w:color w:val="1155cc"/>
                  <w:u w:val="single"/>
                  <w:rtl w:val="0"/>
                </w:rPr>
                <w:t xml:space="preserve">mntP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GGT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Glycine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GAT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Aspartic acid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G25D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3535147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jc w:val="center"/>
              <w:rPr>
                <w:rFonts w:ascii="Lora" w:cs="Lora" w:eastAsia="Lora" w:hAnsi="Lora"/>
              </w:rPr>
            </w:pPr>
            <w:hyperlink r:id="rId25">
              <w:r w:rsidDel="00000000" w:rsidR="00000000" w:rsidRPr="00000000">
                <w:rPr>
                  <w:rFonts w:ascii="Lora" w:cs="Lora" w:eastAsia="Lora" w:hAnsi="Lora"/>
                  <w:color w:val="1155cc"/>
                  <w:u w:val="single"/>
                  <w:rtl w:val="0"/>
                </w:rPr>
                <w:t xml:space="preserve">envZ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GTA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Valine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GGA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Glycine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V241G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center"/>
              <w:rPr>
                <w:rFonts w:ascii="Lora" w:cs="Lora" w:eastAsia="Lora" w:hAnsi="Lora"/>
                <w:b w:val="1"/>
              </w:rPr>
            </w:pPr>
            <w:r w:rsidDel="00000000" w:rsidR="00000000" w:rsidRPr="00000000">
              <w:rPr>
                <w:rFonts w:ascii="Lora" w:cs="Lora" w:eastAsia="Lora" w:hAnsi="Lora"/>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4296060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center"/>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rFonts w:ascii="Lora" w:cs="Lora" w:eastAsia="Lora" w:hAnsi="Lor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rFonts w:ascii="Lora" w:cs="Lora" w:eastAsia="Lora" w:hAnsi="Lora"/>
                <w:b w:val="1"/>
                <w:color w:val="b7b7b7"/>
              </w:rPr>
            </w:pPr>
            <w:r w:rsidDel="00000000" w:rsidR="00000000" w:rsidRPr="00000000">
              <w:rPr>
                <w:rFonts w:ascii="Lora" w:cs="Lora" w:eastAsia="Lora" w:hAnsi="Lora"/>
                <w:b w:val="1"/>
                <w:color w:val="b7b7b7"/>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4390754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rsgA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GCC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Alanine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GCA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center"/>
              <w:rPr>
                <w:rFonts w:ascii="Lora" w:cs="Lora" w:eastAsia="Lora" w:hAnsi="Lora"/>
                <w:color w:val="b7b7b7"/>
              </w:rPr>
            </w:pPr>
            <w:r w:rsidDel="00000000" w:rsidR="00000000" w:rsidRPr="00000000">
              <w:rPr>
                <w:rFonts w:ascii="Lora" w:cs="Lora" w:eastAsia="Lora" w:hAnsi="Lora"/>
                <w:color w:val="b7b7b7"/>
                <w:rtl w:val="0"/>
              </w:rPr>
              <w:t xml:space="preserve">Alanine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Lora" w:cs="Lora" w:eastAsia="Lora" w:hAnsi="Lora"/>
                <w:color w:val="b7b7b7"/>
              </w:rPr>
            </w:pPr>
            <w:r w:rsidDel="00000000" w:rsidR="00000000" w:rsidRPr="00000000">
              <w:rPr>
                <w:rtl w:val="0"/>
              </w:rPr>
            </w:r>
          </w:p>
        </w:tc>
      </w:tr>
    </w:tbl>
    <w:p w:rsidR="00000000" w:rsidDel="00000000" w:rsidP="00000000" w:rsidRDefault="00000000" w:rsidRPr="00000000" w14:paraId="00000079">
      <w:pPr>
        <w:pageBreakBefore w:val="0"/>
        <w:spacing w:line="14.399999999999999" w:lineRule="auto"/>
        <w:rPr>
          <w:rFonts w:ascii="Lora" w:cs="Lora" w:eastAsia="Lora" w:hAnsi="Lora"/>
          <w:i w:val="1"/>
        </w:rPr>
      </w:pPr>
      <w:r w:rsidDel="00000000" w:rsidR="00000000" w:rsidRPr="00000000">
        <w:rPr>
          <w:rtl w:val="0"/>
        </w:rPr>
      </w:r>
    </w:p>
    <w:tbl>
      <w:tblPr>
        <w:tblStyle w:val="Table5"/>
        <w:tblW w:w="9120.0" w:type="dxa"/>
        <w:jc w:val="left"/>
        <w:tblInd w:w="-9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960"/>
        <w:gridCol w:w="1170"/>
        <w:gridCol w:w="945"/>
        <w:gridCol w:w="720"/>
        <w:gridCol w:w="885"/>
        <w:gridCol w:w="780"/>
        <w:tblGridChange w:id="0">
          <w:tblGrid>
            <w:gridCol w:w="3660"/>
            <w:gridCol w:w="960"/>
            <w:gridCol w:w="1170"/>
            <w:gridCol w:w="945"/>
            <w:gridCol w:w="720"/>
            <w:gridCol w:w="885"/>
            <w:gridCol w:w="780"/>
          </w:tblGrid>
        </w:tblGridChange>
      </w:tblGrid>
      <w:tr>
        <w:trPr>
          <w:cantSplit w:val="0"/>
          <w:trHeight w:val="370.26"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line="240" w:lineRule="auto"/>
              <w:rPr>
                <w:rFonts w:ascii="Lora" w:cs="Lora" w:eastAsia="Lora" w:hAnsi="Lora"/>
                <w:sz w:val="18"/>
                <w:szCs w:val="18"/>
              </w:rPr>
            </w:pPr>
            <w:r w:rsidDel="00000000" w:rsidR="00000000" w:rsidRPr="00000000">
              <w:rPr>
                <w:rFonts w:ascii="Lora" w:cs="Lora" w:eastAsia="Lora" w:hAnsi="Lora"/>
                <w:i w:val="1"/>
                <w:sz w:val="18"/>
                <w:szCs w:val="18"/>
                <w:rtl w:val="0"/>
              </w:rPr>
              <w:t xml:space="preserve">Amibo acid biochemical properties: </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Lora" w:cs="Lora" w:eastAsia="Lora" w:hAnsi="Lor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Lora" w:cs="Lora" w:eastAsia="Lora" w:hAnsi="Lora"/>
                <w:i w:val="1"/>
                <w:sz w:val="18"/>
                <w:szCs w:val="18"/>
              </w:rPr>
            </w:pPr>
            <w:r w:rsidDel="00000000" w:rsidR="00000000" w:rsidRPr="00000000">
              <w:rPr>
                <w:rFonts w:ascii="Lora" w:cs="Lora" w:eastAsia="Lora" w:hAnsi="Lora"/>
                <w:i w:val="1"/>
                <w:sz w:val="18"/>
                <w:szCs w:val="18"/>
                <w:rtl w:val="0"/>
              </w:rPr>
              <w:t xml:space="preserve">Non-polar</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center"/>
              <w:rPr>
                <w:rFonts w:ascii="Lora" w:cs="Lora" w:eastAsia="Lora" w:hAnsi="Lor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center"/>
              <w:rPr>
                <w:rFonts w:ascii="Lora" w:cs="Lora" w:eastAsia="Lora" w:hAnsi="Lora"/>
                <w:i w:val="1"/>
                <w:sz w:val="18"/>
                <w:szCs w:val="18"/>
              </w:rPr>
            </w:pPr>
            <w:r w:rsidDel="00000000" w:rsidR="00000000" w:rsidRPr="00000000">
              <w:rPr>
                <w:rFonts w:ascii="Lora" w:cs="Lora" w:eastAsia="Lora" w:hAnsi="Lora"/>
                <w:i w:val="1"/>
                <w:sz w:val="18"/>
                <w:szCs w:val="18"/>
                <w:rtl w:val="0"/>
              </w:rPr>
              <w:t xml:space="preserve">Polar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Lora" w:cs="Lora" w:eastAsia="Lora" w:hAnsi="Lor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Lora" w:cs="Lora" w:eastAsia="Lora" w:hAnsi="Lora"/>
                <w:i w:val="1"/>
                <w:sz w:val="18"/>
                <w:szCs w:val="18"/>
              </w:rPr>
            </w:pPr>
            <w:r w:rsidDel="00000000" w:rsidR="00000000" w:rsidRPr="00000000">
              <w:rPr>
                <w:rFonts w:ascii="Lora" w:cs="Lora" w:eastAsia="Lora" w:hAnsi="Lora"/>
                <w:i w:val="1"/>
                <w:sz w:val="18"/>
                <w:szCs w:val="18"/>
                <w:rtl w:val="0"/>
              </w:rPr>
              <w:t xml:space="preserve">Acidic</w:t>
            </w:r>
          </w:p>
        </w:tc>
      </w:tr>
    </w:tbl>
    <w:p w:rsidR="00000000" w:rsidDel="00000000" w:rsidP="00000000" w:rsidRDefault="00000000" w:rsidRPr="00000000" w14:paraId="00000081">
      <w:pPr>
        <w:pageBreakBefore w:val="0"/>
        <w:spacing w:line="240" w:lineRule="auto"/>
        <w:rPr>
          <w:rFonts w:ascii="Lora" w:cs="Lora" w:eastAsia="Lora" w:hAnsi="Lora"/>
          <w:i w:val="1"/>
          <w:sz w:val="18"/>
          <w:szCs w:val="18"/>
        </w:rPr>
      </w:pPr>
      <w:r w:rsidDel="00000000" w:rsidR="00000000" w:rsidRPr="00000000">
        <w:rPr>
          <w:rtl w:val="0"/>
        </w:rPr>
      </w:r>
    </w:p>
    <w:p w:rsidR="00000000" w:rsidDel="00000000" w:rsidP="00000000" w:rsidRDefault="00000000" w:rsidRPr="00000000" w14:paraId="00000082">
      <w:pPr>
        <w:pageBreakBefore w:val="0"/>
        <w:spacing w:line="240" w:lineRule="auto"/>
        <w:jc w:val="both"/>
        <w:rPr>
          <w:rFonts w:ascii="Lora" w:cs="Lora" w:eastAsia="Lora" w:hAnsi="Lora"/>
        </w:rPr>
      </w:pPr>
      <w:r w:rsidDel="00000000" w:rsidR="00000000" w:rsidRPr="00000000">
        <w:rPr>
          <w:rFonts w:ascii="Lora" w:cs="Lora" w:eastAsia="Lora" w:hAnsi="Lora"/>
          <w:sz w:val="18"/>
          <w:szCs w:val="18"/>
          <w:rtl w:val="0"/>
        </w:rPr>
        <w:t xml:space="preserve">Table 2. Found SNPs: the position of nucleotide in the genome, mutated gene, direction of the DNA chain, codon and amino acid in the reference sequence, codon and amino acid in the read sequence, mutations. c Colors show amino-acid biochemical properties [</w:t>
      </w:r>
      <w:hyperlink r:id="rId26">
        <w:r w:rsidDel="00000000" w:rsidR="00000000" w:rsidRPr="00000000">
          <w:rPr>
            <w:rFonts w:ascii="Lora" w:cs="Lora" w:eastAsia="Lora" w:hAnsi="Lora"/>
            <w:color w:val="1155cc"/>
            <w:sz w:val="18"/>
            <w:szCs w:val="18"/>
            <w:u w:val="single"/>
            <w:rtl w:val="0"/>
          </w:rPr>
          <w:t xml:space="preserve">9</w:t>
        </w:r>
      </w:hyperlink>
      <w:r w:rsidDel="00000000" w:rsidR="00000000" w:rsidRPr="00000000">
        <w:rPr>
          <w:rFonts w:ascii="Nova Mono" w:cs="Nova Mono" w:eastAsia="Nova Mono" w:hAnsi="Nova Mono"/>
          <w:sz w:val="18"/>
          <w:szCs w:val="18"/>
          <w:rtl w:val="0"/>
        </w:rPr>
        <w:t xml:space="preserve">]. Mutations № 1 - 5 lead to amino acid replacement. Mutation № 6 is not in the coding region of the genome, and mutations № 7 don’t change the amino acid sequence.</w:t>
      </w:r>
      <w:r w:rsidDel="00000000" w:rsidR="00000000" w:rsidRPr="00000000">
        <w:rPr>
          <w:rFonts w:ascii="Lora" w:cs="Lora" w:eastAsia="Lora" w:hAnsi="Lora"/>
          <w:rtl w:val="0"/>
        </w:rPr>
        <w:t xml:space="preserve"> </w:t>
      </w:r>
    </w:p>
    <w:p w:rsidR="00000000" w:rsidDel="00000000" w:rsidP="00000000" w:rsidRDefault="00000000" w:rsidRPr="00000000" w14:paraId="00000083">
      <w:pPr>
        <w:pageBreakBefore w:val="0"/>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84">
      <w:pPr>
        <w:pageBreakBefore w:val="0"/>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85">
      <w:pPr>
        <w:pageBreakBefore w:val="0"/>
        <w:spacing w:line="240" w:lineRule="auto"/>
        <w:jc w:val="both"/>
        <w:rPr>
          <w:rFonts w:ascii="Lora" w:cs="Lora" w:eastAsia="Lora" w:hAnsi="Lora"/>
          <w:color w:val="222222"/>
          <w:highlight w:val="white"/>
        </w:rPr>
      </w:pPr>
      <w:r w:rsidDel="00000000" w:rsidR="00000000" w:rsidRPr="00000000">
        <w:rPr>
          <w:rtl w:val="0"/>
        </w:rPr>
      </w:r>
    </w:p>
    <w:p w:rsidR="00000000" w:rsidDel="00000000" w:rsidP="00000000" w:rsidRDefault="00000000" w:rsidRPr="00000000" w14:paraId="00000086">
      <w:pPr>
        <w:pageBreakBefore w:val="0"/>
        <w:spacing w:line="240" w:lineRule="auto"/>
        <w:rPr>
          <w:rFonts w:ascii="Lora" w:cs="Lora" w:eastAsia="Lora" w:hAnsi="Lora"/>
          <w:b w:val="1"/>
        </w:rPr>
      </w:pPr>
      <w:r w:rsidDel="00000000" w:rsidR="00000000" w:rsidRPr="00000000">
        <w:rPr>
          <w:rFonts w:ascii="Lora" w:cs="Lora" w:eastAsia="Lora" w:hAnsi="Lora"/>
          <w:b w:val="1"/>
          <w:rtl w:val="0"/>
        </w:rPr>
        <w:t xml:space="preserve">Citations </w:t>
      </w:r>
    </w:p>
    <w:p w:rsidR="00000000" w:rsidDel="00000000" w:rsidP="00000000" w:rsidRDefault="00000000" w:rsidRPr="00000000" w14:paraId="00000087">
      <w:pPr>
        <w:pageBreakBefore w:val="0"/>
        <w:spacing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088">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color w:val="00000a"/>
          <w:rtl w:val="0"/>
        </w:rPr>
        <w:t xml:space="preserve">Illumina sequencing data: </w:t>
      </w:r>
      <w:hyperlink r:id="rId27">
        <w:r w:rsidDel="00000000" w:rsidR="00000000" w:rsidRPr="00000000">
          <w:rPr>
            <w:rFonts w:ascii="Lora" w:cs="Lora" w:eastAsia="Lora" w:hAnsi="Lora"/>
            <w:color w:val="1155cc"/>
            <w:u w:val="single"/>
            <w:rtl w:val="0"/>
          </w:rPr>
          <w:t xml:space="preserve">http://public.dobzhanskycenter.ru/mrayko/</w:t>
        </w:r>
      </w:hyperlink>
      <w:r w:rsidDel="00000000" w:rsidR="00000000" w:rsidRPr="00000000">
        <w:rPr>
          <w:rtl w:val="0"/>
        </w:rPr>
      </w:r>
    </w:p>
    <w:p w:rsidR="00000000" w:rsidDel="00000000" w:rsidP="00000000" w:rsidRDefault="00000000" w:rsidRPr="00000000" w14:paraId="00000089">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Reference sequence and gene annotation: </w:t>
      </w:r>
      <w:hyperlink r:id="rId28">
        <w:r w:rsidDel="00000000" w:rsidR="00000000" w:rsidRPr="00000000">
          <w:rPr>
            <w:rFonts w:ascii="Lora" w:cs="Lora" w:eastAsia="Lora" w:hAnsi="Lora"/>
            <w:color w:val="1155cc"/>
            <w:u w:val="single"/>
            <w:rtl w:val="0"/>
          </w:rPr>
          <w:t xml:space="preserve">ftp://ftp.ncbi.nlm.nih.gov/genomes/genbank/bacteria/Escherichia_coli/all_assembly_versions/GCA_000005845.2_ASM584v2/</w:t>
        </w:r>
      </w:hyperlink>
      <w:r w:rsidDel="00000000" w:rsidR="00000000" w:rsidRPr="00000000">
        <w:rPr>
          <w:rtl w:val="0"/>
        </w:rPr>
      </w:r>
    </w:p>
    <w:p w:rsidR="00000000" w:rsidDel="00000000" w:rsidP="00000000" w:rsidRDefault="00000000" w:rsidRPr="00000000" w14:paraId="0000008A">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FastQC: </w:t>
      </w:r>
      <w:hyperlink r:id="rId29">
        <w:r w:rsidDel="00000000" w:rsidR="00000000" w:rsidRPr="00000000">
          <w:rPr>
            <w:rFonts w:ascii="Lora" w:cs="Lora" w:eastAsia="Lora" w:hAnsi="Lora"/>
            <w:color w:val="1155cc"/>
            <w:u w:val="single"/>
            <w:rtl w:val="0"/>
          </w:rPr>
          <w:t xml:space="preserve">https://www.bioinformatics.babraham.ac.uk/projects/fastqc/</w:t>
        </w:r>
      </w:hyperlink>
      <w:r w:rsidDel="00000000" w:rsidR="00000000" w:rsidRPr="00000000">
        <w:rPr>
          <w:rFonts w:ascii="Lora" w:cs="Lora" w:eastAsia="Lora" w:hAnsi="Lora"/>
          <w:rtl w:val="0"/>
        </w:rPr>
        <w:t xml:space="preserve"> </w:t>
      </w:r>
    </w:p>
    <w:p w:rsidR="00000000" w:rsidDel="00000000" w:rsidP="00000000" w:rsidRDefault="00000000" w:rsidRPr="00000000" w14:paraId="0000008B">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Trimmomatic: </w:t>
      </w:r>
      <w:hyperlink r:id="rId30">
        <w:r w:rsidDel="00000000" w:rsidR="00000000" w:rsidRPr="00000000">
          <w:rPr>
            <w:rFonts w:ascii="Lora" w:cs="Lora" w:eastAsia="Lora" w:hAnsi="Lora"/>
            <w:color w:val="1155cc"/>
            <w:u w:val="single"/>
            <w:rtl w:val="0"/>
          </w:rPr>
          <w:t xml:space="preserve">http://www.usadellab.org/cms/?page=trimmomatic</w:t>
        </w:r>
      </w:hyperlink>
      <w:r w:rsidDel="00000000" w:rsidR="00000000" w:rsidRPr="00000000">
        <w:rPr>
          <w:rFonts w:ascii="Lora" w:cs="Lora" w:eastAsia="Lora" w:hAnsi="Lora"/>
          <w:rtl w:val="0"/>
        </w:rPr>
        <w:t xml:space="preserve"> </w:t>
      </w:r>
    </w:p>
    <w:p w:rsidR="00000000" w:rsidDel="00000000" w:rsidP="00000000" w:rsidRDefault="00000000" w:rsidRPr="00000000" w14:paraId="0000008C">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BWA: </w:t>
      </w:r>
      <w:hyperlink r:id="rId31">
        <w:r w:rsidDel="00000000" w:rsidR="00000000" w:rsidRPr="00000000">
          <w:rPr>
            <w:rFonts w:ascii="Lora" w:cs="Lora" w:eastAsia="Lora" w:hAnsi="Lora"/>
            <w:color w:val="1155cc"/>
            <w:u w:val="single"/>
            <w:rtl w:val="0"/>
          </w:rPr>
          <w:t xml:space="preserve">http://bio-bwa.sourceforge.net/bwa.shtml</w:t>
        </w:r>
      </w:hyperlink>
      <w:r w:rsidDel="00000000" w:rsidR="00000000" w:rsidRPr="00000000">
        <w:rPr>
          <w:rFonts w:ascii="Lora" w:cs="Lora" w:eastAsia="Lora" w:hAnsi="Lora"/>
          <w:rtl w:val="0"/>
        </w:rPr>
        <w:t xml:space="preserve"> </w:t>
      </w:r>
    </w:p>
    <w:p w:rsidR="00000000" w:rsidDel="00000000" w:rsidP="00000000" w:rsidRDefault="00000000" w:rsidRPr="00000000" w14:paraId="0000008D">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Samtools: </w:t>
      </w:r>
      <w:hyperlink r:id="rId32">
        <w:r w:rsidDel="00000000" w:rsidR="00000000" w:rsidRPr="00000000">
          <w:rPr>
            <w:rFonts w:ascii="Lora" w:cs="Lora" w:eastAsia="Lora" w:hAnsi="Lora"/>
            <w:color w:val="1155cc"/>
            <w:u w:val="single"/>
            <w:rtl w:val="0"/>
          </w:rPr>
          <w:t xml:space="preserve">https://www.htslib.org/</w:t>
        </w:r>
      </w:hyperlink>
      <w:r w:rsidDel="00000000" w:rsidR="00000000" w:rsidRPr="00000000">
        <w:rPr>
          <w:rFonts w:ascii="Lora" w:cs="Lora" w:eastAsia="Lora" w:hAnsi="Lora"/>
          <w:rtl w:val="0"/>
        </w:rPr>
        <w:t xml:space="preserve"> </w:t>
      </w:r>
    </w:p>
    <w:p w:rsidR="00000000" w:rsidDel="00000000" w:rsidP="00000000" w:rsidRDefault="00000000" w:rsidRPr="00000000" w14:paraId="0000008E">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VarScan: </w:t>
      </w:r>
      <w:hyperlink r:id="rId33">
        <w:r w:rsidDel="00000000" w:rsidR="00000000" w:rsidRPr="00000000">
          <w:rPr>
            <w:rFonts w:ascii="Lora" w:cs="Lora" w:eastAsia="Lora" w:hAnsi="Lora"/>
            <w:color w:val="1155cc"/>
            <w:u w:val="single"/>
            <w:rtl w:val="0"/>
          </w:rPr>
          <w:t xml:space="preserve">http://dkoboldt.github.io/varscan/</w:t>
        </w:r>
      </w:hyperlink>
      <w:r w:rsidDel="00000000" w:rsidR="00000000" w:rsidRPr="00000000">
        <w:rPr>
          <w:rFonts w:ascii="Lora" w:cs="Lora" w:eastAsia="Lora" w:hAnsi="Lora"/>
          <w:rtl w:val="0"/>
        </w:rPr>
        <w:t xml:space="preserve"> </w:t>
      </w:r>
    </w:p>
    <w:p w:rsidR="00000000" w:rsidDel="00000000" w:rsidP="00000000" w:rsidRDefault="00000000" w:rsidRPr="00000000" w14:paraId="0000008F">
      <w:pPr>
        <w:pageBreakBefore w:val="0"/>
        <w:numPr>
          <w:ilvl w:val="0"/>
          <w:numId w:val="1"/>
        </w:numPr>
        <w:spacing w:line="240" w:lineRule="auto"/>
        <w:ind w:left="720" w:hanging="360"/>
        <w:rPr>
          <w:rFonts w:ascii="Lora" w:cs="Lora" w:eastAsia="Lora" w:hAnsi="Lora"/>
        </w:rPr>
      </w:pPr>
      <w:r w:rsidDel="00000000" w:rsidR="00000000" w:rsidRPr="00000000">
        <w:rPr>
          <w:rFonts w:ascii="Lora" w:cs="Lora" w:eastAsia="Lora" w:hAnsi="Lora"/>
          <w:rtl w:val="0"/>
        </w:rPr>
        <w:t xml:space="preserve">IGV Browser: </w:t>
      </w:r>
      <w:hyperlink r:id="rId34">
        <w:r w:rsidDel="00000000" w:rsidR="00000000" w:rsidRPr="00000000">
          <w:rPr>
            <w:rFonts w:ascii="Lora" w:cs="Lora" w:eastAsia="Lora" w:hAnsi="Lora"/>
            <w:color w:val="1155cc"/>
            <w:u w:val="single"/>
            <w:rtl w:val="0"/>
          </w:rPr>
          <w:t xml:space="preserve">https://igv.org/</w:t>
        </w:r>
      </w:hyperlink>
      <w:r w:rsidDel="00000000" w:rsidR="00000000" w:rsidRPr="00000000">
        <w:rPr>
          <w:rFonts w:ascii="Lora" w:cs="Lora" w:eastAsia="Lora" w:hAnsi="Lora"/>
          <w:rtl w:val="0"/>
        </w:rPr>
        <w:t xml:space="preserve"> </w:t>
      </w:r>
    </w:p>
    <w:p w:rsidR="00000000" w:rsidDel="00000000" w:rsidP="00000000" w:rsidRDefault="00000000" w:rsidRPr="00000000" w14:paraId="00000090">
      <w:pPr>
        <w:pageBreakBefore w:val="0"/>
        <w:numPr>
          <w:ilvl w:val="0"/>
          <w:numId w:val="1"/>
        </w:numPr>
        <w:spacing w:line="240" w:lineRule="auto"/>
        <w:ind w:left="720" w:hanging="360"/>
        <w:rPr>
          <w:rFonts w:ascii="Lora" w:cs="Lora" w:eastAsia="Lora" w:hAnsi="Lora"/>
        </w:rPr>
      </w:pPr>
      <w:hyperlink r:id="rId35">
        <w:r w:rsidDel="00000000" w:rsidR="00000000" w:rsidRPr="00000000">
          <w:rPr>
            <w:rFonts w:ascii="Lora" w:cs="Lora" w:eastAsia="Lora" w:hAnsi="Lora"/>
            <w:color w:val="1155cc"/>
            <w:u w:val="single"/>
            <w:rtl w:val="0"/>
          </w:rPr>
          <w:t xml:space="preserve">https://en.wikipedia.org/wiki/DNA_codon_table</w:t>
        </w:r>
      </w:hyperlink>
      <w:r w:rsidDel="00000000" w:rsidR="00000000" w:rsidRPr="00000000">
        <w:rPr>
          <w:rFonts w:ascii="Lora" w:cs="Lora" w:eastAsia="Lora" w:hAnsi="Lora"/>
          <w:rtl w:val="0"/>
        </w:rPr>
        <w:t xml:space="preserve"> </w:t>
      </w:r>
    </w:p>
    <w:p w:rsidR="00000000" w:rsidDel="00000000" w:rsidP="00000000" w:rsidRDefault="00000000" w:rsidRPr="00000000" w14:paraId="00000091">
      <w:pPr>
        <w:pageBreakBefore w:val="0"/>
        <w:numPr>
          <w:ilvl w:val="0"/>
          <w:numId w:val="1"/>
        </w:numPr>
        <w:spacing w:line="240" w:lineRule="auto"/>
        <w:ind w:left="720" w:hanging="360"/>
        <w:rPr>
          <w:rFonts w:ascii="Lora" w:cs="Lora" w:eastAsia="Lora" w:hAnsi="Lora"/>
        </w:rPr>
      </w:pPr>
      <w:hyperlink r:id="rId36">
        <w:r w:rsidDel="00000000" w:rsidR="00000000" w:rsidRPr="00000000">
          <w:rPr>
            <w:rFonts w:ascii="Lora" w:cs="Lora" w:eastAsia="Lora" w:hAnsi="Lora"/>
            <w:highlight w:val="white"/>
            <w:rtl w:val="0"/>
          </w:rPr>
          <w:t xml:space="preserve">Karen Bush, Patricia A. Bradford. (2016). β-Lactams and β-Lactamase Inhibitors: An Overview. </w:t>
        </w:r>
      </w:hyperlink>
      <w:hyperlink r:id="rId37">
        <w:r w:rsidDel="00000000" w:rsidR="00000000" w:rsidRPr="00000000">
          <w:rPr>
            <w:rFonts w:ascii="Lora" w:cs="Lora" w:eastAsia="Lora" w:hAnsi="Lora"/>
            <w:i w:val="1"/>
            <w:highlight w:val="white"/>
            <w:rtl w:val="0"/>
          </w:rPr>
          <w:t xml:space="preserve">Cold Spring Harb Perspect Med</w:t>
        </w:r>
      </w:hyperlink>
      <w:hyperlink r:id="rId38">
        <w:r w:rsidDel="00000000" w:rsidR="00000000" w:rsidRPr="00000000">
          <w:rPr>
            <w:rFonts w:ascii="Lora" w:cs="Lora" w:eastAsia="Lora" w:hAnsi="Lora"/>
            <w:highlight w:val="white"/>
            <w:rtl w:val="0"/>
          </w:rPr>
          <w:t xml:space="preserve">. </w:t>
        </w:r>
      </w:hyperlink>
      <w:hyperlink r:id="rId39">
        <w:r w:rsidDel="00000000" w:rsidR="00000000" w:rsidRPr="00000000">
          <w:rPr>
            <w:rFonts w:ascii="Lora" w:cs="Lora" w:eastAsia="Lora" w:hAnsi="Lora"/>
            <w:b w:val="1"/>
            <w:highlight w:val="white"/>
            <w:rtl w:val="0"/>
          </w:rPr>
          <w:t xml:space="preserve">6</w:t>
        </w:r>
      </w:hyperlink>
      <w:hyperlink r:id="rId40">
        <w:r w:rsidDel="00000000" w:rsidR="00000000" w:rsidRPr="00000000">
          <w:rPr>
            <w:rFonts w:ascii="Lora" w:cs="Lora" w:eastAsia="Lora" w:hAnsi="Lora"/>
            <w:highlight w:val="white"/>
            <w:rtl w:val="0"/>
          </w:rPr>
          <w:t xml:space="preserve">, a025247</w:t>
        </w:r>
      </w:hyperlink>
      <w:r w:rsidDel="00000000" w:rsidR="00000000" w:rsidRPr="00000000">
        <w:rPr>
          <w:rtl w:val="0"/>
        </w:rPr>
      </w:r>
    </w:p>
    <w:p w:rsidR="00000000" w:rsidDel="00000000" w:rsidP="00000000" w:rsidRDefault="00000000" w:rsidRPr="00000000" w14:paraId="00000092">
      <w:pPr>
        <w:pageBreakBefore w:val="0"/>
        <w:numPr>
          <w:ilvl w:val="0"/>
          <w:numId w:val="1"/>
        </w:numPr>
        <w:spacing w:line="240" w:lineRule="auto"/>
        <w:ind w:left="720" w:hanging="360"/>
        <w:rPr>
          <w:rFonts w:ascii="Lora" w:cs="Lora" w:eastAsia="Lora" w:hAnsi="Lora"/>
          <w:highlight w:val="white"/>
        </w:rPr>
      </w:pPr>
      <w:hyperlink r:id="rId41">
        <w:r w:rsidDel="00000000" w:rsidR="00000000" w:rsidRPr="00000000">
          <w:rPr>
            <w:rFonts w:ascii="Lora" w:cs="Lora" w:eastAsia="Lora" w:hAnsi="Lora"/>
            <w:highlight w:val="white"/>
            <w:rtl w:val="0"/>
          </w:rPr>
          <w:t xml:space="preserve">Duval V., Nicoloff H., Levy S.B. (2009). Combined inactivation of lon and ycgE decreases multidrug susceptibility by reducing the amount of OmpF porin in Escherichia coli. Antimicrob. Agents Chemother. 53:4944-4948</w:t>
        </w:r>
      </w:hyperlink>
      <w:r w:rsidDel="00000000" w:rsidR="00000000" w:rsidRPr="00000000">
        <w:rPr>
          <w:rtl w:val="0"/>
        </w:rPr>
      </w:r>
    </w:p>
    <w:p w:rsidR="00000000" w:rsidDel="00000000" w:rsidP="00000000" w:rsidRDefault="00000000" w:rsidRPr="00000000" w14:paraId="00000093">
      <w:pPr>
        <w:pageBreakBefore w:val="0"/>
        <w:numPr>
          <w:ilvl w:val="0"/>
          <w:numId w:val="1"/>
        </w:numPr>
        <w:spacing w:line="240"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Sun J, Deng Z, Yan A (October 2014). </w:t>
      </w:r>
      <w:hyperlink r:id="rId42">
        <w:r w:rsidDel="00000000" w:rsidR="00000000" w:rsidRPr="00000000">
          <w:rPr>
            <w:rFonts w:ascii="Lora" w:cs="Lora" w:eastAsia="Lora" w:hAnsi="Lora"/>
            <w:highlight w:val="white"/>
            <w:rtl w:val="0"/>
          </w:rPr>
          <w:t xml:space="preserve">"Bacterial multidrug efflux pumps: mechanisms, physiology and pharmacological exploitations"</w:t>
        </w:r>
      </w:hyperlink>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i w:val="1"/>
          <w:highlight w:val="white"/>
          <w:rtl w:val="0"/>
        </w:rPr>
        <w:t xml:space="preserve">Biochemical and Biophysical Research Communications</w:t>
      </w:r>
      <w:r w:rsidDel="00000000" w:rsidR="00000000" w:rsidRPr="00000000">
        <w:rPr>
          <w:rFonts w:ascii="Lora" w:cs="Lora" w:eastAsia="Lora" w:hAnsi="Lora"/>
          <w:highlight w:val="white"/>
          <w:rtl w:val="0"/>
        </w:rPr>
        <w:t xml:space="preserve">. 453 (2): 254–67</w:t>
      </w:r>
    </w:p>
    <w:p w:rsidR="00000000" w:rsidDel="00000000" w:rsidP="00000000" w:rsidRDefault="00000000" w:rsidRPr="00000000" w14:paraId="00000094">
      <w:pPr>
        <w:pageBreakBefore w:val="0"/>
        <w:numPr>
          <w:ilvl w:val="0"/>
          <w:numId w:val="1"/>
        </w:numPr>
        <w:spacing w:line="240"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Okusu H, Ma D, Nikaido H (January 1996). </w:t>
      </w:r>
      <w:hyperlink r:id="rId43">
        <w:r w:rsidDel="00000000" w:rsidR="00000000" w:rsidRPr="00000000">
          <w:rPr>
            <w:rFonts w:ascii="Lora" w:cs="Lora" w:eastAsia="Lora" w:hAnsi="Lora"/>
            <w:highlight w:val="white"/>
            <w:rtl w:val="0"/>
          </w:rPr>
          <w:t xml:space="preserve">"AcrAB efflux pump plays a major role in the antibiotic resistance phenotype of Escherichia coli multiple-antibiotic-resistance (Mar) mutants"</w:t>
        </w:r>
      </w:hyperlink>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i w:val="1"/>
          <w:highlight w:val="white"/>
          <w:rtl w:val="0"/>
        </w:rPr>
        <w:t xml:space="preserve">Journal of Bacteriology</w:t>
      </w:r>
      <w:r w:rsidDel="00000000" w:rsidR="00000000" w:rsidRPr="00000000">
        <w:rPr>
          <w:rFonts w:ascii="Lora" w:cs="Lora" w:eastAsia="Lora" w:hAnsi="Lora"/>
          <w:highlight w:val="white"/>
          <w:rtl w:val="0"/>
        </w:rPr>
        <w:t xml:space="preserve">. 178 (1): 306–8. </w:t>
      </w:r>
      <w:hyperlink r:id="rId44">
        <w:r w:rsidDel="00000000" w:rsidR="00000000" w:rsidRPr="00000000">
          <w:rPr>
            <w:rFonts w:ascii="Lora" w:cs="Lora" w:eastAsia="Lora" w:hAnsi="Lora"/>
            <w:highlight w:val="white"/>
            <w:rtl w:val="0"/>
          </w:rPr>
          <w:t xml:space="preserve">doi</w:t>
        </w:r>
      </w:hyperlink>
      <w:r w:rsidDel="00000000" w:rsidR="00000000" w:rsidRPr="00000000">
        <w:rPr>
          <w:rFonts w:ascii="Lora" w:cs="Lora" w:eastAsia="Lora" w:hAnsi="Lora"/>
          <w:highlight w:val="white"/>
          <w:rtl w:val="0"/>
        </w:rPr>
        <w:t xml:space="preserve">:</w:t>
      </w:r>
      <w:hyperlink r:id="rId45">
        <w:r w:rsidDel="00000000" w:rsidR="00000000" w:rsidRPr="00000000">
          <w:rPr>
            <w:rFonts w:ascii="Lora" w:cs="Lora" w:eastAsia="Lora" w:hAnsi="Lora"/>
            <w:highlight w:val="white"/>
            <w:rtl w:val="0"/>
          </w:rPr>
          <w:t xml:space="preserve">10.1128/jb.178.1.306-308.1996</w:t>
        </w:r>
      </w:hyperlink>
      <w:r w:rsidDel="00000000" w:rsidR="00000000" w:rsidRPr="00000000">
        <w:rPr>
          <w:rFonts w:ascii="Lora" w:cs="Lora" w:eastAsia="Lora" w:hAnsi="Lora"/>
          <w:highlight w:val="white"/>
          <w:rtl w:val="0"/>
        </w:rPr>
        <w:t xml:space="preserve">. </w:t>
      </w:r>
      <w:hyperlink r:id="rId46">
        <w:r w:rsidDel="00000000" w:rsidR="00000000" w:rsidRPr="00000000">
          <w:rPr>
            <w:rFonts w:ascii="Lora" w:cs="Lora" w:eastAsia="Lora" w:hAnsi="Lora"/>
            <w:highlight w:val="white"/>
            <w:rtl w:val="0"/>
          </w:rPr>
          <w:t xml:space="preserve">PMC</w:t>
        </w:r>
      </w:hyperlink>
      <w:r w:rsidDel="00000000" w:rsidR="00000000" w:rsidRPr="00000000">
        <w:rPr>
          <w:rFonts w:ascii="Lora" w:cs="Lora" w:eastAsia="Lora" w:hAnsi="Lora"/>
          <w:highlight w:val="white"/>
          <w:rtl w:val="0"/>
        </w:rPr>
        <w:t xml:space="preserve"> </w:t>
      </w:r>
      <w:hyperlink r:id="rId47">
        <w:r w:rsidDel="00000000" w:rsidR="00000000" w:rsidRPr="00000000">
          <w:rPr>
            <w:rFonts w:ascii="Lora" w:cs="Lora" w:eastAsia="Lora" w:hAnsi="Lora"/>
            <w:highlight w:val="white"/>
            <w:rtl w:val="0"/>
          </w:rPr>
          <w:t xml:space="preserve">177656</w:t>
        </w:r>
      </w:hyperlink>
      <w:r w:rsidDel="00000000" w:rsidR="00000000" w:rsidRPr="00000000">
        <w:rPr>
          <w:rFonts w:ascii="Lora" w:cs="Lora" w:eastAsia="Lora" w:hAnsi="Lora"/>
          <w:highlight w:val="white"/>
          <w:rtl w:val="0"/>
        </w:rPr>
        <w:t xml:space="preserve">. </w:t>
      </w:r>
      <w:hyperlink r:id="rId48">
        <w:r w:rsidDel="00000000" w:rsidR="00000000" w:rsidRPr="00000000">
          <w:rPr>
            <w:rFonts w:ascii="Lora" w:cs="Lora" w:eastAsia="Lora" w:hAnsi="Lora"/>
            <w:highlight w:val="white"/>
            <w:rtl w:val="0"/>
          </w:rPr>
          <w:t xml:space="preserve">PMID</w:t>
        </w:r>
      </w:hyperlink>
      <w:r w:rsidDel="00000000" w:rsidR="00000000" w:rsidRPr="00000000">
        <w:rPr>
          <w:rFonts w:ascii="Lora" w:cs="Lora" w:eastAsia="Lora" w:hAnsi="Lora"/>
          <w:highlight w:val="white"/>
          <w:rtl w:val="0"/>
        </w:rPr>
        <w:t xml:space="preserve"> </w:t>
      </w:r>
      <w:hyperlink r:id="rId49">
        <w:r w:rsidDel="00000000" w:rsidR="00000000" w:rsidRPr="00000000">
          <w:rPr>
            <w:rFonts w:ascii="Lora" w:cs="Lora" w:eastAsia="Lora" w:hAnsi="Lora"/>
            <w:highlight w:val="white"/>
            <w:rtl w:val="0"/>
          </w:rPr>
          <w:t xml:space="preserve">8550435</w:t>
        </w:r>
      </w:hyperlink>
      <w:r w:rsidDel="00000000" w:rsidR="00000000" w:rsidRPr="00000000">
        <w:rPr>
          <w:rtl w:val="0"/>
        </w:rPr>
      </w:r>
    </w:p>
    <w:p w:rsidR="00000000" w:rsidDel="00000000" w:rsidP="00000000" w:rsidRDefault="00000000" w:rsidRPr="00000000" w14:paraId="00000095">
      <w:pPr>
        <w:pageBreakBefore w:val="0"/>
        <w:numPr>
          <w:ilvl w:val="0"/>
          <w:numId w:val="1"/>
        </w:numPr>
        <w:spacing w:line="240"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UniProt: </w:t>
      </w:r>
      <w:hyperlink r:id="rId50">
        <w:r w:rsidDel="00000000" w:rsidR="00000000" w:rsidRPr="00000000">
          <w:rPr>
            <w:rFonts w:ascii="Lora" w:cs="Lora" w:eastAsia="Lora" w:hAnsi="Lora"/>
            <w:color w:val="1155cc"/>
            <w:highlight w:val="white"/>
            <w:u w:val="single"/>
            <w:rtl w:val="0"/>
          </w:rPr>
          <w:t xml:space="preserve">https://www.uniprot.org/uniprot</w:t>
        </w:r>
      </w:hyperlink>
      <w:r w:rsidDel="00000000" w:rsidR="00000000" w:rsidRPr="00000000">
        <w:rPr>
          <w:rFonts w:ascii="Lora" w:cs="Lora" w:eastAsia="Lora" w:hAnsi="Lora"/>
          <w:highlight w:val="white"/>
          <w:rtl w:val="0"/>
        </w:rPr>
        <w:t xml:space="preserve"> </w:t>
      </w:r>
    </w:p>
    <w:p w:rsidR="00000000" w:rsidDel="00000000" w:rsidP="00000000" w:rsidRDefault="00000000" w:rsidRPr="00000000" w14:paraId="00000096">
      <w:pPr>
        <w:pageBreakBefore w:val="0"/>
        <w:numPr>
          <w:ilvl w:val="0"/>
          <w:numId w:val="1"/>
        </w:numPr>
        <w:spacing w:line="240"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EcoCyc: </w:t>
      </w:r>
      <w:hyperlink r:id="rId51">
        <w:r w:rsidDel="00000000" w:rsidR="00000000" w:rsidRPr="00000000">
          <w:rPr>
            <w:rFonts w:ascii="Lora" w:cs="Lora" w:eastAsia="Lora" w:hAnsi="Lora"/>
            <w:color w:val="1155cc"/>
            <w:highlight w:val="white"/>
            <w:u w:val="single"/>
            <w:rtl w:val="0"/>
          </w:rPr>
          <w:t xml:space="preserve">https://ecocyc.org/</w:t>
        </w:r>
      </w:hyperlink>
      <w:r w:rsidDel="00000000" w:rsidR="00000000" w:rsidRPr="00000000">
        <w:rPr>
          <w:rFonts w:ascii="Lora" w:cs="Lora" w:eastAsia="Lora" w:hAnsi="Lora"/>
          <w:highlight w:val="white"/>
          <w:rtl w:val="0"/>
        </w:rPr>
        <w:t xml:space="preserve"> </w:t>
      </w:r>
    </w:p>
    <w:p w:rsidR="00000000" w:rsidDel="00000000" w:rsidP="00000000" w:rsidRDefault="00000000" w:rsidRPr="00000000" w14:paraId="00000097">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98">
      <w:pPr>
        <w:pageBreakBefore w:val="0"/>
        <w:rPr>
          <w:rFonts w:ascii="Lora" w:cs="Lora" w:eastAsia="Lora" w:hAnsi="Lora"/>
        </w:rPr>
      </w:pPr>
      <w:r w:rsidDel="00000000" w:rsidR="00000000" w:rsidRPr="00000000">
        <w:rPr>
          <w:rtl w:val="0"/>
        </w:rPr>
      </w:r>
    </w:p>
    <w:p w:rsidR="00000000" w:rsidDel="00000000" w:rsidP="00000000" w:rsidRDefault="00000000" w:rsidRPr="00000000" w14:paraId="00000099">
      <w:pPr>
        <w:pageBreakBefore w:val="0"/>
        <w:rPr>
          <w:rFonts w:ascii="Lora" w:cs="Lora" w:eastAsia="Lora" w:hAnsi="Lora"/>
          <w:sz w:val="23"/>
          <w:szCs w:val="23"/>
        </w:rPr>
      </w:pPr>
      <w:r w:rsidDel="00000000" w:rsidR="00000000" w:rsidRPr="00000000">
        <w:rPr>
          <w:rtl w:val="0"/>
        </w:rPr>
      </w:r>
    </w:p>
    <w:p w:rsidR="00000000" w:rsidDel="00000000" w:rsidP="00000000" w:rsidRDefault="00000000" w:rsidRPr="00000000" w14:paraId="0000009A">
      <w:pPr>
        <w:pageBreakBefore w:val="0"/>
        <w:rPr>
          <w:rFonts w:ascii="Lora" w:cs="Lora" w:eastAsia="Lora" w:hAnsi="Lora"/>
          <w:sz w:val="23"/>
          <w:szCs w:val="23"/>
        </w:rPr>
      </w:pPr>
      <w:r w:rsidDel="00000000" w:rsidR="00000000" w:rsidRPr="00000000">
        <w:rPr>
          <w:rtl w:val="0"/>
        </w:rPr>
      </w:r>
    </w:p>
    <w:p w:rsidR="00000000" w:rsidDel="00000000" w:rsidP="00000000" w:rsidRDefault="00000000" w:rsidRPr="00000000" w14:paraId="0000009B">
      <w:pPr>
        <w:pageBreakBefore w:val="0"/>
        <w:rPr>
          <w:rFonts w:ascii="Lora" w:cs="Lora" w:eastAsia="Lora" w:hAnsi="Lora"/>
          <w:sz w:val="23"/>
          <w:szCs w:val="23"/>
        </w:rPr>
      </w:pPr>
      <w:r w:rsidDel="00000000" w:rsidR="00000000" w:rsidRPr="00000000">
        <w:rPr>
          <w:rtl w:val="0"/>
        </w:rPr>
      </w:r>
    </w:p>
    <w:p w:rsidR="00000000" w:rsidDel="00000000" w:rsidP="00000000" w:rsidRDefault="00000000" w:rsidRPr="00000000" w14:paraId="0000009C">
      <w:pPr>
        <w:pageBreakBefore w:val="0"/>
        <w:rPr>
          <w:rFonts w:ascii="Lora" w:cs="Lora" w:eastAsia="Lora" w:hAnsi="Lora"/>
          <w:sz w:val="23"/>
          <w:szCs w:val="23"/>
        </w:rPr>
      </w:pPr>
      <w:r w:rsidDel="00000000" w:rsidR="00000000" w:rsidRPr="00000000">
        <w:rPr>
          <w:rtl w:val="0"/>
        </w:rPr>
      </w:r>
    </w:p>
    <w:p w:rsidR="00000000" w:rsidDel="00000000" w:rsidP="00000000" w:rsidRDefault="00000000" w:rsidRPr="00000000" w14:paraId="0000009D">
      <w:pPr>
        <w:pageBreakBefore w:val="0"/>
        <w:rPr>
          <w:rFonts w:ascii="Lora" w:cs="Lora" w:eastAsia="Lora" w:hAnsi="Lora"/>
          <w:sz w:val="23"/>
          <w:szCs w:val="23"/>
        </w:rPr>
      </w:pPr>
      <w:r w:rsidDel="00000000" w:rsidR="00000000" w:rsidRPr="00000000">
        <w:rPr>
          <w:rtl w:val="0"/>
        </w:rPr>
      </w:r>
    </w:p>
    <w:p w:rsidR="00000000" w:rsidDel="00000000" w:rsidP="00000000" w:rsidRDefault="00000000" w:rsidRPr="00000000" w14:paraId="0000009E">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9F">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0">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1">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2">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3">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4">
      <w:pPr>
        <w:pageBreakBefore w:val="0"/>
        <w:rPr>
          <w:rFonts w:ascii="Lora" w:cs="Lora" w:eastAsia="Lora" w:hAnsi="Lora"/>
          <w:sz w:val="24"/>
          <w:szCs w:val="24"/>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sa Morshneva" w:id="1" w:date="2020-11-05T17:04:25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Таблицу и ее описание все-таки лучше было поместить в результаты. В статьях классически констатация фактов без особого пояснения идет в результатах (таблицы, перечисление находок и т.д), а уже трактовка и всякие предположения делаются в discussion.</w:t>
      </w:r>
    </w:p>
  </w:comment>
  <w:comment w:author="Alisa Morshneva" w:id="0" w:date="2020-11-05T17:00:30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Абстракт в классическом варианте строится так: постановка проблемы - задача и методы решения - результаты кратко. Не хватило последнего предложения с результатами, что-то вроде: мы обнаружили несколько генов, потенциально вовлеченных в формирование резистентности -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4968164/" TargetMode="External"/><Relationship Id="rId42" Type="http://schemas.openxmlformats.org/officeDocument/2006/relationships/hyperlink" Target="https://doi.org/10.1016%2Fj.bbrc.2014.05.090" TargetMode="External"/><Relationship Id="rId41" Type="http://schemas.openxmlformats.org/officeDocument/2006/relationships/hyperlink" Target="http://dx.doi.org/10.1128/aac.00787-09" TargetMode="External"/><Relationship Id="rId44" Type="http://schemas.openxmlformats.org/officeDocument/2006/relationships/hyperlink" Target="https://en.wikipedia.org/wiki/Doi_(identifier)" TargetMode="External"/><Relationship Id="rId43" Type="http://schemas.openxmlformats.org/officeDocument/2006/relationships/hyperlink" Target="https://www.ncbi.nlm.nih.gov/pmc/articles/PMC177656" TargetMode="External"/><Relationship Id="rId46" Type="http://schemas.openxmlformats.org/officeDocument/2006/relationships/hyperlink" Target="https://en.wikipedia.org/wiki/PMC_(identifier)" TargetMode="External"/><Relationship Id="rId45" Type="http://schemas.openxmlformats.org/officeDocument/2006/relationships/hyperlink" Target="https://doi.org/10.1128%2Fjb.178.1.306-308.199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bioinformatics.babraham.ac.uk/projects/fastqc/" TargetMode="External"/><Relationship Id="rId48" Type="http://schemas.openxmlformats.org/officeDocument/2006/relationships/hyperlink" Target="https://en.wikipedia.org/wiki/PMID_(identifier)" TargetMode="External"/><Relationship Id="rId47" Type="http://schemas.openxmlformats.org/officeDocument/2006/relationships/hyperlink" Target="https://www.ncbi.nlm.nih.gov/pmc/articles/PMC177656" TargetMode="External"/><Relationship Id="rId49" Type="http://schemas.openxmlformats.org/officeDocument/2006/relationships/hyperlink" Target="https://pubmed.ncbi.nlm.nih.gov/855043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public.dobzhanskycenter.ru/mrayko/" TargetMode="External"/><Relationship Id="rId8" Type="http://schemas.openxmlformats.org/officeDocument/2006/relationships/hyperlink" Target="ftp://ftp.ncbi.nlm.nih.gov/genomes/genbank/bacteria/Escherichia_coli/all_assembly_versions/GCA_000005845.2_ASM584v2/" TargetMode="External"/><Relationship Id="rId31" Type="http://schemas.openxmlformats.org/officeDocument/2006/relationships/hyperlink" Target="http://bio-bwa.sourceforge.net/bwa.shtml" TargetMode="External"/><Relationship Id="rId30" Type="http://schemas.openxmlformats.org/officeDocument/2006/relationships/hyperlink" Target="http://www.usadellab.org/cms/?page=trimmomatic" TargetMode="External"/><Relationship Id="rId33" Type="http://schemas.openxmlformats.org/officeDocument/2006/relationships/hyperlink" Target="http://dkoboldt.github.io/varscan/" TargetMode="External"/><Relationship Id="rId32" Type="http://schemas.openxmlformats.org/officeDocument/2006/relationships/hyperlink" Target="https://www.htslib.org/" TargetMode="External"/><Relationship Id="rId35" Type="http://schemas.openxmlformats.org/officeDocument/2006/relationships/hyperlink" Target="https://en.wikipedia.org/wiki/DNA_codon_table" TargetMode="External"/><Relationship Id="rId34" Type="http://schemas.openxmlformats.org/officeDocument/2006/relationships/hyperlink" Target="https://igv.org/" TargetMode="External"/><Relationship Id="rId37" Type="http://schemas.openxmlformats.org/officeDocument/2006/relationships/hyperlink" Target="https://www.ncbi.nlm.nih.gov/pmc/articles/PMC4968164/" TargetMode="External"/><Relationship Id="rId36" Type="http://schemas.openxmlformats.org/officeDocument/2006/relationships/hyperlink" Target="https://www.ncbi.nlm.nih.gov/pmc/articles/PMC4968164/" TargetMode="External"/><Relationship Id="rId39" Type="http://schemas.openxmlformats.org/officeDocument/2006/relationships/hyperlink" Target="https://www.ncbi.nlm.nih.gov/pmc/articles/PMC4968164/" TargetMode="External"/><Relationship Id="rId38" Type="http://schemas.openxmlformats.org/officeDocument/2006/relationships/hyperlink" Target="https://www.ncbi.nlm.nih.gov/pmc/articles/PMC4968164/" TargetMode="External"/><Relationship Id="rId20" Type="http://schemas.openxmlformats.org/officeDocument/2006/relationships/hyperlink" Target="https://www.ncbi.nlm.nih.gov/pmc/articles/PMC177656/pdf/1780306.pdf" TargetMode="External"/><Relationship Id="rId22" Type="http://schemas.openxmlformats.org/officeDocument/2006/relationships/hyperlink" Target="https://ecocyc.org/gene?orgid=ECOLI&amp;id=EG11704" TargetMode="External"/><Relationship Id="rId21" Type="http://schemas.openxmlformats.org/officeDocument/2006/relationships/hyperlink" Target="https://ecocyc.org/gene?orgid=ECOLI&amp;id=EG10341" TargetMode="External"/><Relationship Id="rId24" Type="http://schemas.openxmlformats.org/officeDocument/2006/relationships/hyperlink" Target="https://ecocyc.org/gene?orgid=ECOLI&amp;id=G6999" TargetMode="External"/><Relationship Id="rId23" Type="http://schemas.openxmlformats.org/officeDocument/2006/relationships/hyperlink" Target="https://ecocyc.org/gene?orgid=ECOLI&amp;id=G0-8881" TargetMode="External"/><Relationship Id="rId26" Type="http://schemas.openxmlformats.org/officeDocument/2006/relationships/hyperlink" Target="https://en.wikipedia.org/wiki/DNA_codon_table" TargetMode="External"/><Relationship Id="rId25" Type="http://schemas.openxmlformats.org/officeDocument/2006/relationships/hyperlink" Target="https://ecocyc.org/gene?orgid=ECOLI&amp;id=EG10269" TargetMode="External"/><Relationship Id="rId28" Type="http://schemas.openxmlformats.org/officeDocument/2006/relationships/hyperlink" Target="ftp://ftp.ncbi.nlm.nih.gov/genomes/all/GCF/000/005/845/GCF_000005845.2_ASM584v2/" TargetMode="External"/><Relationship Id="rId27" Type="http://schemas.openxmlformats.org/officeDocument/2006/relationships/hyperlink" Target="http://public.dobzhanskycenter.ru/mrayko/" TargetMode="External"/><Relationship Id="rId29" Type="http://schemas.openxmlformats.org/officeDocument/2006/relationships/hyperlink" Target="https://www.bioinformatics.babraham.ac.uk/projects/fastqc/" TargetMode="External"/><Relationship Id="rId51" Type="http://schemas.openxmlformats.org/officeDocument/2006/relationships/hyperlink" Target="https://ecocyc.org/" TargetMode="External"/><Relationship Id="rId50" Type="http://schemas.openxmlformats.org/officeDocument/2006/relationships/hyperlink" Target="https://www.uniprot.org/uniprot" TargetMode="External"/><Relationship Id="rId11" Type="http://schemas.openxmlformats.org/officeDocument/2006/relationships/hyperlink" Target="http://bio-bwa.sourceforge.net/bwa.shtml" TargetMode="External"/><Relationship Id="rId10" Type="http://schemas.openxmlformats.org/officeDocument/2006/relationships/hyperlink" Target="http://www.usadellab.org/cms/?page=trimmomatic" TargetMode="External"/><Relationship Id="rId13" Type="http://schemas.openxmlformats.org/officeDocument/2006/relationships/hyperlink" Target="http://dkoboldt.github.io/varscan/" TargetMode="External"/><Relationship Id="rId12" Type="http://schemas.openxmlformats.org/officeDocument/2006/relationships/hyperlink" Target="https://www.htslib.org/" TargetMode="External"/><Relationship Id="rId15" Type="http://schemas.openxmlformats.org/officeDocument/2006/relationships/image" Target="media/image2.png"/><Relationship Id="rId14" Type="http://schemas.openxmlformats.org/officeDocument/2006/relationships/hyperlink" Target="https://igv.org/" TargetMode="External"/><Relationship Id="rId17" Type="http://schemas.openxmlformats.org/officeDocument/2006/relationships/hyperlink" Target="https://www.ncbi.nlm.nih.gov/pmc/articles/PMC4968164/" TargetMode="External"/><Relationship Id="rId16" Type="http://schemas.openxmlformats.org/officeDocument/2006/relationships/image" Target="media/image1.png"/><Relationship Id="rId19" Type="http://schemas.openxmlformats.org/officeDocument/2006/relationships/hyperlink" Target="https://www.sciencedirect.com/science/article/pii/S0006291X14009711?via%3Dihub#b0010" TargetMode="External"/><Relationship Id="rId18" Type="http://schemas.openxmlformats.org/officeDocument/2006/relationships/hyperlink" Target="https://aac.asm.org/content/53/11/494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