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05B7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AI辅助的游戏2D资源智能切割与精灵图生成工具 需求分析报告</w:t>
      </w:r>
    </w:p>
    <w:p w14:paraId="6E32F8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文档编号：</w:t>
      </w:r>
      <w:r>
        <w:rPr>
          <w:rFonts w:ascii="Arial" w:hAnsi="Arial" w:eastAsia="等线" w:cs="Arial"/>
          <w:sz w:val="22"/>
        </w:rPr>
        <w:t>SRS-AI2D-20260416-001</w:t>
      </w:r>
    </w:p>
    <w:p w14:paraId="4D9D3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项目名称：</w:t>
      </w:r>
      <w:r>
        <w:rPr>
          <w:rFonts w:ascii="Arial" w:hAnsi="Arial" w:eastAsia="等线" w:cs="Arial"/>
          <w:sz w:val="22"/>
        </w:rPr>
        <w:t>AI辅助的游戏2D资源智能切割与精灵图生成工具</w:t>
      </w:r>
    </w:p>
    <w:p w14:paraId="074EAD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撰写人：</w:t>
      </w:r>
      <w:r>
        <w:rPr>
          <w:rFonts w:ascii="Arial" w:hAnsi="Arial" w:eastAsia="等线" w:cs="Arial"/>
          <w:sz w:val="22"/>
        </w:rPr>
        <w:t>曾熙婷（数字媒体技术专业）学号2408090601008</w:t>
      </w:r>
    </w:p>
    <w:p w14:paraId="1AB887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撰写日期：</w:t>
      </w:r>
      <w:r>
        <w:rPr>
          <w:rFonts w:ascii="Arial" w:hAnsi="Arial" w:eastAsia="等线" w:cs="Arial"/>
          <w:sz w:val="22"/>
        </w:rPr>
        <w:t>2026年4月16日</w:t>
      </w:r>
    </w:p>
    <w:p w14:paraId="29D86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版本号：</w:t>
      </w:r>
      <w:r>
        <w:rPr>
          <w:rFonts w:ascii="Arial" w:hAnsi="Arial" w:eastAsia="等线" w:cs="Arial"/>
          <w:sz w:val="22"/>
        </w:rPr>
        <w:t>V3.0</w:t>
      </w:r>
    </w:p>
    <w:p w14:paraId="3FDA7A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编制依据：</w:t>
      </w: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0BE5580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7ACBF71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编写目的</w:t>
      </w:r>
      <w:bookmarkEnd w:id="1"/>
    </w:p>
    <w:p w14:paraId="14B26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需求分析报告旨在全面、详细阐述“AI辅助的游戏2D资源智能切割与精灵图生成工具”的功能需求、非功能需求、运行环境及相关约束条件，为后续系统架构设计、代码开发、软件测试及验收工作提供明确、权威的基准依据，确保开发工作围绕用户核心需求展开，规避需求偏差，保障项目有序推进。</w:t>
      </w:r>
    </w:p>
    <w:p w14:paraId="3CE7956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项目背景</w:t>
      </w:r>
      <w:bookmarkEnd w:id="2"/>
    </w:p>
    <w:p w14:paraId="1C3E8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当前AIGC技术（如Midjourney、Stable Diffusion等工具）在游戏2D美术资源生成领域的应用已日趋普及，极大提升了2D游戏资产的创作效率。但现有文生图工具缺乏针对游戏开发管线的专项优化，生成的2D资产（如角色序列帧、场景概念图、道具集合图等）无法直接应用于游戏引擎，需经过美术人员手动抠图、边缘修整、逐帧切割、精灵图排版等繁琐流程，不仅耗时耗力，且易出现切割精度不均、排版浪费、适配性差等问题，严重影响游戏开发效率。</w:t>
      </w:r>
    </w:p>
    <w:p w14:paraId="2644D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这一行业痛点，本项目依托深度学习与计算机视觉技术，开发一款AI辅助的专用工具，打通AIGC生成资产与游戏引擎使用之间的壁垒，实现2D美术资源从导入到精灵图导出的全流程自动化处理，助力游戏开发者、美术设计师及相关专业学生摆脱重复性劳动，聚焦创意创作。</w:t>
      </w:r>
    </w:p>
    <w:p w14:paraId="15CDAC8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核心定义</w:t>
      </w:r>
      <w:bookmarkEnd w:id="3"/>
    </w:p>
    <w:p w14:paraId="58EE186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精灵图</w:t>
      </w:r>
      <w:r>
        <w:rPr>
          <w:rFonts w:ascii="Arial" w:hAnsi="Arial" w:eastAsia="等线" w:cs="Arial"/>
          <w:sz w:val="22"/>
        </w:rPr>
        <w:t>：将多个独立2D游戏资源（如图标、角色帧、道具图）合并为单张大图的技术，核心作用是减少游戏运行时的Draw Call次数，降低渲染压力，提升游戏运行流畅度。</w:t>
      </w:r>
    </w:p>
    <w:p w14:paraId="4ACE1D9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AIGC</w:t>
      </w:r>
      <w:r>
        <w:rPr>
          <w:rFonts w:ascii="Arial" w:hAnsi="Arial" w:eastAsia="等线" w:cs="Arial"/>
          <w:sz w:val="22"/>
        </w:rPr>
        <w:t>：人工智能生成内容，特指通过深度学习算法自动生成的2D图像、文本等内容，本项目中主要指各类AI文生图工具生成的游戏2D美术资产。</w:t>
      </w:r>
    </w:p>
    <w:p w14:paraId="1B22F9F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深度图构建</w:t>
      </w:r>
      <w:r>
        <w:rPr>
          <w:rFonts w:ascii="Arial" w:hAnsi="Arial" w:eastAsia="等线" w:cs="Arial"/>
          <w:sz w:val="22"/>
        </w:rPr>
        <w:t>：通过AI算法从2D图像中推算出像素级深度信息，用于辅助区分图像层级（前景、中景、远景），提升切割的精准度和合理性。</w:t>
      </w:r>
    </w:p>
    <w:p w14:paraId="488F31B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CV切割</w:t>
      </w:r>
      <w:r>
        <w:rPr>
          <w:rFonts w:ascii="Arial" w:hAnsi="Arial" w:eastAsia="等线" w:cs="Arial"/>
          <w:sz w:val="22"/>
        </w:rPr>
        <w:t>：基于计算机视觉技术，通过边缘检测、轮廓识别等算法，自动识别图像中独立元素的边界，实现无人工干预的自动裁剪。</w:t>
      </w:r>
    </w:p>
    <w:p w14:paraId="2BB729D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序列帧</w:t>
      </w:r>
      <w:r>
        <w:rPr>
          <w:rFonts w:ascii="Arial" w:hAnsi="Arial" w:eastAsia="等线" w:cs="Arial"/>
          <w:sz w:val="22"/>
        </w:rPr>
        <w:t>：用于实现游戏角色动画、特效动画的连续图像帧，通常以网格或不规则形式排列在单张图片中，需切割为独立帧后才能用于动画制作。</w:t>
      </w:r>
    </w:p>
    <w:p w14:paraId="061564C7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2. 任务概述</w:t>
      </w:r>
      <w:bookmarkEnd w:id="4"/>
    </w:p>
    <w:p w14:paraId="60057E1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项目目标</w:t>
      </w:r>
      <w:bookmarkEnd w:id="5"/>
    </w:p>
    <w:p w14:paraId="2764B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本项目核心目标是开发一款适配游戏开发管线的AI辅助工具，实现2D游戏美术资源的全流程自动化处理，具体目标如下：</w:t>
      </w:r>
    </w:p>
    <w:p w14:paraId="7B55C0D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功能目标：实现2D资源导入、AI智能切割、序列帧提取、精灵图自动排版、多格式导出及游戏引擎适配的全流程自动化，替代传统手动操作。</w:t>
      </w:r>
    </w:p>
    <w:p w14:paraId="68AA8AF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效率目标：将单张2D资源的处理时间缩短至3秒内，批量处理效率较手动操作提升80%以上，大幅降低美术人员的重复性劳动成本。</w:t>
      </w:r>
    </w:p>
    <w:p w14:paraId="4D243DC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精度目标：AI切割边缘像素级准确率达到95%以上，精灵图排版空间利用率达到85%以上，满足游戏开发的美术规范要求。</w:t>
      </w:r>
    </w:p>
    <w:p w14:paraId="5716093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适配目标：支持主流2D图像格式、游戏引擎，兼顾专业开发者与学生用户的使用需求，实现低门槛、高适配的操作体验。</w:t>
      </w:r>
    </w:p>
    <w:p w14:paraId="3C19D39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用户特点</w:t>
      </w:r>
      <w:bookmarkEnd w:id="6"/>
    </w:p>
    <w:p w14:paraId="33868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本工具的目标用户群体明确，核心特点如下，所有需求设计均围绕用户群体特征展开：</w:t>
      </w:r>
    </w:p>
    <w:p w14:paraId="7F26B5A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2D游戏开发者与独立开发者</w:t>
      </w:r>
      <w:r>
        <w:rPr>
          <w:rFonts w:ascii="Arial" w:hAnsi="Arial" w:eastAsia="等线" w:cs="Arial"/>
          <w:sz w:val="22"/>
        </w:rPr>
        <w:t>：核心需求是高效处理AI生成资产，缺乏专业美术团队支持，对工具的自动化程度、操作便捷性要求较高，需快速将素材转化为游戏可用资源。</w:t>
      </w:r>
    </w:p>
    <w:p w14:paraId="3C931DB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游戏美术设计师</w:t>
      </w:r>
      <w:r>
        <w:rPr>
          <w:rFonts w:ascii="Arial" w:hAnsi="Arial" w:eastAsia="等线" w:cs="Arial"/>
          <w:sz w:val="22"/>
        </w:rPr>
        <w:t>：核心需求是摆脱抠图、切割、排版等重复性劳动，聚焦创意设计，对切割精度、精灵图排版合理性要求较高，需支持手动微调功能。</w:t>
      </w:r>
    </w:p>
    <w:p w14:paraId="6201776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数字媒体技术专业学生</w:t>
      </w:r>
      <w:r>
        <w:rPr>
          <w:rFonts w:ascii="Arial" w:hAnsi="Arial" w:eastAsia="等线" w:cs="Arial"/>
          <w:sz w:val="22"/>
        </w:rPr>
        <w:t>：核心需求是低门槛上手，用于课程项目、独立游戏开发，对工具的易用性、功能完整性要求适中，需适配学生的技术储备水平。</w:t>
      </w:r>
    </w:p>
    <w:p w14:paraId="10A2DC3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2.3 假定与约束</w:t>
      </w:r>
      <w:bookmarkEnd w:id="7"/>
    </w:p>
    <w:p w14:paraId="22BC274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2.3.1 假定条件</w:t>
      </w:r>
      <w:bookmarkEnd w:id="8"/>
    </w:p>
    <w:p w14:paraId="48659FC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用户已具备基本的2D游戏开发概念，了解精灵图、序列帧等核心术语的含义。</w:t>
      </w:r>
    </w:p>
    <w:p w14:paraId="3294C46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用户导入的2D资源（AI生成或手动绘制）具备清晰的前景与背景区分，无严重模糊、噪点过多等问题。</w:t>
      </w:r>
    </w:p>
    <w:p w14:paraId="098F220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用户使用设备满足本报告规定的硬件、软件环境要求，可正常运行AI推理相关功能。</w:t>
      </w:r>
    </w:p>
    <w:p w14:paraId="1465BFC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2.3.2 约束条件</w:t>
      </w:r>
      <w:bookmarkEnd w:id="9"/>
    </w:p>
    <w:p w14:paraId="17D5E19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技术约束：AI边缘检测与分割精度受源图质量（分辨率、对比度、噪点）影响，需设定最低置信度阈值（85%），低于该阈值的切割结果需人工确认。</w:t>
      </w:r>
    </w:p>
    <w:p w14:paraId="4F8B524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资源约束：批量处理时，单批次导入资源数量不超过100张，单张资源分辨率不超过4096×4096，避免内存溢出。</w:t>
      </w:r>
    </w:p>
    <w:p w14:paraId="36DACD8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开发约束：工具开发需基于Python、OpenCV等主流技术栈，遵循GB/T 8567-2006规范，确保代码可维护、可扩展。</w:t>
      </w:r>
    </w:p>
    <w:p w14:paraId="49D65A24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3. 需求规定</w:t>
      </w:r>
      <w:bookmarkEnd w:id="10"/>
    </w:p>
    <w:p w14:paraId="265ED70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3.1 功能需求</w:t>
      </w:r>
      <w:bookmarkEnd w:id="11"/>
    </w:p>
    <w:p w14:paraId="1B6BE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功能需求分为4个核心模块，覆盖2D资源处理全流程，各模块功能独立且相互衔接，确保流程闭环。</w:t>
      </w:r>
    </w:p>
    <w:p w14:paraId="06A8D7E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3.1.1 资产导入与预处理模块</w:t>
      </w:r>
      <w:bookmarkEnd w:id="12"/>
    </w:p>
    <w:p w14:paraId="78E954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核心作用是实现2D资源的便捷导入，并通过预处理优化切割效果，具体需求如下：</w:t>
      </w:r>
    </w:p>
    <w:p w14:paraId="2C2563B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F-IMP-01 多格式批量导入</w:t>
      </w:r>
      <w:r>
        <w:rPr>
          <w:rFonts w:ascii="Arial" w:hAnsi="Arial" w:eastAsia="等线" w:cs="Arial"/>
          <w:sz w:val="22"/>
        </w:rPr>
        <w:t>：支持PNG、JPG、PSD、TIFF四种主流2D美术格式的单张导入与批量导入；支持拖拽导入，可直接将本地文件或文件夹拖拽至工具界面完成导入；导入后自动显示资源缩略图、文件名、分辨率等基础信息，支持资源重命名、删除、分组管理。</w:t>
      </w:r>
    </w:p>
    <w:p w14:paraId="57342E7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F-IMP-02 AI智能背景移除</w:t>
      </w:r>
      <w:r>
        <w:rPr>
          <w:rFonts w:ascii="Arial" w:hAnsi="Arial" w:eastAsia="等线" w:cs="Arial"/>
          <w:sz w:val="22"/>
        </w:rPr>
        <w:t>：集成轻量级AI抠图算法，支持透明背景、纯色背景、复杂纹理背景的一键移除，可自动识别前景主体（如角色、道具），保留主体细节（如毛发、边缘纹理），避免边缘毛边、像素丢失；支持手动调整抠图阈值，优化抠图效果。</w:t>
      </w:r>
    </w:p>
    <w:p w14:paraId="2AD99D1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F-IMP-03 深度图辅助分层</w:t>
      </w:r>
      <w:r>
        <w:rPr>
          <w:rFonts w:ascii="Arial" w:hAnsi="Arial" w:eastAsia="等线" w:cs="Arial"/>
          <w:sz w:val="22"/>
        </w:rPr>
        <w:t>：针对场景类2D资源（如场景概念图、分层素材），自动生成深度图，依据深度信息将图像智能分割为前景、中景、远景三个层级，支持层级单独导出、单独切割，适配游戏视差滚动场景的开发需求。</w:t>
      </w:r>
    </w:p>
    <w:p w14:paraId="058956D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F-IMP-04 预处理优化</w:t>
      </w:r>
      <w:r>
        <w:rPr>
          <w:rFonts w:ascii="Arial" w:hAnsi="Arial" w:eastAsia="等线" w:cs="Arial"/>
          <w:sz w:val="22"/>
        </w:rPr>
        <w:t>：自动对导入资源进行去噪、锐化处理，优化图像边缘清晰度；支持手动调整图像亮度、对比度，确保切割精度；针对模糊、低分辨率资源，提供基础修复功能，提升切割效果。</w:t>
      </w:r>
    </w:p>
    <w:p w14:paraId="0B977E8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3.1.2 智能切割与提取模块</w:t>
      </w:r>
      <w:bookmarkEnd w:id="13"/>
    </w:p>
    <w:p w14:paraId="7F124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核心作用是实现2D资源的自动切割与序列帧提取，替代手动操作，具体需求如下：</w:t>
      </w:r>
    </w:p>
    <w:p w14:paraId="4F65483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F-CUT-01 元素实例分割</w:t>
      </w:r>
      <w:r>
        <w:rPr>
          <w:rFonts w:ascii="Arial" w:hAnsi="Arial" w:eastAsia="等线" w:cs="Arial"/>
          <w:sz w:val="22"/>
        </w:rPr>
        <w:t>：基于实例分割算法，自动识别同一画布上的多个独立元素（如道具集合、图标组、散落角色），为每个元素自动添加精准包围盒，支持批量切割；可手动调整包围盒大小、位置，实现精准切割；支持排除微小噪点元素，避免误切割。</w:t>
      </w:r>
    </w:p>
    <w:p w14:paraId="4988755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F-CUT-02 序列帧自动提取</w:t>
      </w:r>
      <w:r>
        <w:rPr>
          <w:rFonts w:ascii="Arial" w:hAnsi="Arial" w:eastAsia="等线" w:cs="Arial"/>
          <w:sz w:val="22"/>
        </w:rPr>
        <w:t>：支持两种序列帧提取模式：① 网格排列帧：自动识别网格规格（行列数、帧大小），批量提取独立帧，保留帧顺序，支持帧重命名、帧排序；② 不规则排列帧：通过CV边缘检测与轮廓匹配，自动识别连续帧的轮廓特征，提取独立帧，适配手绘序列帧、非标准网格帧的提取需求。</w:t>
      </w:r>
    </w:p>
    <w:p w14:paraId="00640E7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F-CUT-03 相似图裂变与聚类</w:t>
      </w:r>
      <w:r>
        <w:rPr>
          <w:rFonts w:ascii="Arial" w:hAnsi="Arial" w:eastAsia="等线" w:cs="Arial"/>
          <w:sz w:val="22"/>
        </w:rPr>
        <w:t>：针对批量导入的相似素材（如AI生成的同类型道具、角色不同角度图），自动计算图像特征哈希，进行相似度聚类（相似度阈值可调整）；支持剔除重复素材，保留多样化切片；支持将相似素材归为一组，便于后续精灵图排版与管理。</w:t>
      </w:r>
    </w:p>
    <w:p w14:paraId="55FB253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F-CUT-04 切割历史回溯</w:t>
      </w:r>
      <w:r>
        <w:rPr>
          <w:rFonts w:ascii="Arial" w:hAnsi="Arial" w:eastAsia="等线" w:cs="Arial"/>
          <w:sz w:val="22"/>
        </w:rPr>
        <w:t>：记录每一次切割操作的参数（切割范围、阈值、层级），支持撤销、重做操作；支持保存切割模板，后续处理同类素材时可直接调用，提升处理效率。</w:t>
      </w:r>
    </w:p>
    <w:p w14:paraId="590F0012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3.1.3 精灵图生成与排版模块</w:t>
      </w:r>
      <w:bookmarkEnd w:id="14"/>
    </w:p>
    <w:p w14:paraId="4327A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核心作用是将切割后的独立资源自动排版为精灵图，优化渲染性能，具体需求如下：</w:t>
      </w:r>
    </w:p>
    <w:p w14:paraId="5322523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F-PACK-01 智能装箱算法</w:t>
      </w:r>
      <w:r>
        <w:rPr>
          <w:rFonts w:ascii="Arial" w:hAnsi="Arial" w:eastAsia="等线" w:cs="Arial"/>
          <w:sz w:val="22"/>
        </w:rPr>
        <w:t>：采用MaxRects高级装箱算法，结合资源尺寸、比例，自动计算最优排版方案，最大化利用纹理空间，减少精灵图空白区域，空间利用率不低于85%；支持手动调整排版间距、内边距，避免资源重叠、边缘溢出。</w:t>
      </w:r>
    </w:p>
    <w:p w14:paraId="74638A1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F-PACK-02 多图集合并与分类</w:t>
      </w:r>
      <w:r>
        <w:rPr>
          <w:rFonts w:ascii="Arial" w:hAnsi="Arial" w:eastAsia="等线" w:cs="Arial"/>
          <w:sz w:val="22"/>
        </w:rPr>
        <w:t>：支持按项目、角色、场景、道具等逻辑标签对切割资源进行分类，按分类合并生成精灵图；支持设置精灵图最大尺寸（如1024×1024、2048×2048），超过最大尺寸时自动拆分生成多个精灵图，适配游戏引擎纹理规格要求。</w:t>
      </w:r>
    </w:p>
    <w:p w14:paraId="187EEEE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F-PACK-03 参数化输出设置</w:t>
      </w:r>
      <w:r>
        <w:rPr>
          <w:rFonts w:ascii="Arial" w:hAnsi="Arial" w:eastAsia="等线" w:cs="Arial"/>
          <w:sz w:val="22"/>
        </w:rPr>
        <w:t>：支持自定义精灵图输出参数，包括纹理尺寸（需符合2的幂次方约束）、内边距（0-10像素可调整）、间距（0-5像素可调整）、背景颜色（透明、纯色可选）；支持预览精灵图排版效果，手动调整资源位置，优化排版合理性。</w:t>
      </w:r>
    </w:p>
    <w:p w14:paraId="1350809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F-PACK-04 精灵图优化</w:t>
      </w:r>
      <w:r>
        <w:rPr>
          <w:rFonts w:ascii="Arial" w:hAnsi="Arial" w:eastAsia="等线" w:cs="Arial"/>
          <w:sz w:val="22"/>
        </w:rPr>
        <w:t>：自动对生成的精灵图进行压缩处理，在不影响图像质量的前提下，减小文件体积；支持生成精灵图缩略图，便于快速预览与管理。</w:t>
      </w:r>
    </w:p>
    <w:p w14:paraId="67FECB03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3.1.4 引擎数据交互与对接模块</w:t>
      </w:r>
      <w:bookmarkEnd w:id="15"/>
    </w:p>
    <w:p w14:paraId="540675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核心作用是实现精灵图与游戏引擎的无缝对接，减少二次调整工作，具体需求如下：</w:t>
      </w:r>
    </w:p>
    <w:p w14:paraId="4C7BEBA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F-EXP-01 多格式索引文件导出</w:t>
      </w:r>
      <w:r>
        <w:rPr>
          <w:rFonts w:ascii="Arial" w:hAnsi="Arial" w:eastAsia="等线" w:cs="Arial"/>
          <w:sz w:val="22"/>
        </w:rPr>
        <w:t>：导出精灵图的同时，自动生成对应的索引数据文件，支持JSON、XML、TXT三种格式，准确记录每个切片的名称（可自定义）、坐标（Frame）、锚点（Pivot）、边框（Border）等核心属性，确保导入游戏引擎后可直接识别。</w:t>
      </w:r>
    </w:p>
    <w:p w14:paraId="0076CC2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F-EXP-02 主流引擎预设一键发布</w:t>
      </w:r>
      <w:r>
        <w:rPr>
          <w:rFonts w:ascii="Arial" w:hAnsi="Arial" w:eastAsia="等线" w:cs="Arial"/>
          <w:sz w:val="22"/>
        </w:rPr>
        <w:t>：提供Unity 2D、Godot、Cocos Creator三种主流游戏引擎的预设模板，导出时选择对应引擎模板，自动匹配引擎的资源格式与参数要求，导出的精灵图与索引文件可直接拖入引擎使用，无需二次调整锚点、坐标等参数。</w:t>
      </w:r>
    </w:p>
    <w:p w14:paraId="1501B76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F-EXP-03 批量导出与路径设置</w:t>
      </w:r>
      <w:r>
        <w:rPr>
          <w:rFonts w:ascii="Arial" w:hAnsi="Arial" w:eastAsia="等线" w:cs="Arial"/>
          <w:sz w:val="22"/>
        </w:rPr>
        <w:t>：支持精灵图、独立切割资源、索引文件的批量导出；支持自定义导出路径，可设置导出文件夹名称、文件命名规则（如前缀+序号）；导出完成后自动提示，并支持一键打开导出文件夹。</w:t>
      </w:r>
    </w:p>
    <w:p w14:paraId="152CD7AB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3.2 非功能需求</w:t>
      </w:r>
      <w:bookmarkEnd w:id="16"/>
    </w:p>
    <w:p w14:paraId="502AAEA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3.2.1 性能需求</w:t>
      </w:r>
      <w:bookmarkEnd w:id="17"/>
    </w:p>
    <w:p w14:paraId="5963B1F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N-PER-01 处理时效</w:t>
      </w:r>
      <w:r>
        <w:rPr>
          <w:rFonts w:ascii="Arial" w:hAnsi="Arial" w:eastAsia="等线" w:cs="Arial"/>
          <w:sz w:val="22"/>
        </w:rPr>
        <w:t>：单张分辨率≤4096×4096的2D资源，从导入到完成AI切割的总耗时≤3秒；生成包含500个切片的精灵图，耗时≤2秒；批量处理100张≤2048×2048的资源，总耗时≤30秒，无明显卡顿。</w:t>
      </w:r>
    </w:p>
    <w:p w14:paraId="0F1A7C3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N-PER-02 资源占用</w:t>
      </w:r>
      <w:r>
        <w:rPr>
          <w:rFonts w:ascii="Arial" w:hAnsi="Arial" w:eastAsia="等线" w:cs="Arial"/>
          <w:sz w:val="22"/>
        </w:rPr>
        <w:t>：批量处理（≥100张资源）时，内存占用峰值≤4GB，CPU占用率稳定在85%以下，不导致系统卡死、无响应；AI推理过程中，GPU占用率合理分配，不影响其他软件正常运行。</w:t>
      </w:r>
    </w:p>
    <w:p w14:paraId="61C558A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N-PER-03 稳定性</w:t>
      </w:r>
      <w:r>
        <w:rPr>
          <w:rFonts w:ascii="Arial" w:hAnsi="Arial" w:eastAsia="等线" w:cs="Arial"/>
          <w:sz w:val="22"/>
        </w:rPr>
        <w:t>：工具连续运行8小时无崩溃、无闪退；批量处理过程中可正常暂停、继续，暂停后不丢失已处理数据；支持异常断电、程序崩溃后的断点恢复，无需重新处理。</w:t>
      </w:r>
    </w:p>
    <w:p w14:paraId="496526C0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3.2.2 精度需求</w:t>
      </w:r>
      <w:bookmarkEnd w:id="18"/>
    </w:p>
    <w:p w14:paraId="73CB86A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N-ACC-01 切割精度</w:t>
      </w:r>
      <w:r>
        <w:rPr>
          <w:rFonts w:ascii="Arial" w:hAnsi="Arial" w:eastAsia="等线" w:cs="Arial"/>
          <w:sz w:val="22"/>
        </w:rPr>
        <w:t>：AI切割边缘的像素级准确率≥95%，能够精准识别资源边缘细节（如毛发、细线），无明显毛边、前景像素丢失、背景残留等问题；手动调整切割框时，精度可达到1像素级。</w:t>
      </w:r>
    </w:p>
    <w:p w14:paraId="25DD9A8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N-ACC-02 排版精度</w:t>
      </w:r>
      <w:r>
        <w:rPr>
          <w:rFonts w:ascii="Arial" w:hAnsi="Arial" w:eastAsia="等线" w:cs="Arial"/>
          <w:sz w:val="22"/>
        </w:rPr>
        <w:t>：精灵图排版中，资源无重叠、无边缘溢出，内边距、间距误差≤1像素；索引文件中，切片坐标、锚点参数误差≤1像素，确保导入引擎后位置精准。</w:t>
      </w:r>
    </w:p>
    <w:p w14:paraId="573DA01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N-ACC-03 置信度要求</w:t>
      </w:r>
      <w:r>
        <w:rPr>
          <w:rFonts w:ascii="Arial" w:hAnsi="Arial" w:eastAsia="等线" w:cs="Arial"/>
          <w:sz w:val="22"/>
        </w:rPr>
        <w:t>：AI切割、抠图的置信度≥85%时，自动输出结果；置信度＜85%时，标记为“待人工确认”，避免错误输出。</w:t>
      </w:r>
    </w:p>
    <w:p w14:paraId="38C957C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3.2.3 易用性需求</w:t>
      </w:r>
      <w:bookmarkEnd w:id="19"/>
    </w:p>
    <w:p w14:paraId="619FBD48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界面设计：采用简洁直观的GUI界面，功能分区明确（导入区、预处理区、切割区、排版区、导出区），支持拖拽操作，操作流程清晰，新用户可在10分钟内熟悉核心操作。</w:t>
      </w:r>
    </w:p>
    <w:p w14:paraId="4F8B425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交互反馈：每一步操作均有明确提示（如导入成功、切割完成、导出失败）；错误操作时，弹出简洁易懂的错误提示，告知问题原因及解决方法，无需专业技术知识即可理解。</w:t>
      </w:r>
    </w:p>
    <w:p w14:paraId="7E3C7B0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帮助支持：内置简单操作指南，涵盖核心功能的使用步骤；支持快捷键操作（如导入、切割、导出），提升操作效率。</w:t>
      </w:r>
    </w:p>
    <w:p w14:paraId="15498A03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3.2.4 故障处理需求</w:t>
      </w:r>
      <w:bookmarkEnd w:id="20"/>
    </w:p>
    <w:p w14:paraId="20FAA72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N-ERR-01 异常中断恢复</w:t>
      </w:r>
      <w:r>
        <w:rPr>
          <w:rFonts w:ascii="Arial" w:hAnsi="Arial" w:eastAsia="等线" w:cs="Arial"/>
          <w:sz w:val="22"/>
        </w:rPr>
        <w:t>：批量处理、AI推理过程中，若发生程序崩溃、断电等异常，系统自动记录断点信息（已处理资源、当前操作步骤），重启工具后可从断点处继续执行，无需重新处理所有资源。</w:t>
      </w:r>
    </w:p>
    <w:p w14:paraId="123F6E8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N-ERR-02 置信度预警</w:t>
      </w:r>
      <w:r>
        <w:rPr>
          <w:rFonts w:ascii="Arial" w:hAnsi="Arial" w:eastAsia="等线" w:cs="Arial"/>
          <w:sz w:val="22"/>
        </w:rPr>
        <w:t>：当AI切割、抠图的置信度＜85%时，系统自动标记该资源，弹出预警提示，引导用户手动确认或调整参数，避免错误结果输出。</w:t>
      </w:r>
    </w:p>
    <w:p w14:paraId="505A9FB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N-ERR-03 异常文件处理</w:t>
      </w:r>
      <w:r>
        <w:rPr>
          <w:rFonts w:ascii="Arial" w:hAnsi="Arial" w:eastAsia="等线" w:cs="Arial"/>
          <w:sz w:val="22"/>
        </w:rPr>
        <w:t>：导入损坏、无法识别的文件时，系统自动跳过该文件，弹出提示并记录异常文件名称，不影响其他文件的导入与处理；导出失败（如路径不可写、磁盘空间不足）时，弹出提示并引导用户解决。</w:t>
      </w:r>
    </w:p>
    <w:p w14:paraId="2DA5FB6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3.3 运行环境需求</w:t>
      </w:r>
      <w:bookmarkEnd w:id="21"/>
    </w:p>
    <w:p w14:paraId="5D7DCB34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3.3.1 硬件环境</w:t>
      </w:r>
      <w:bookmarkEnd w:id="22"/>
    </w:p>
    <w:p w14:paraId="0721595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处理器：Intel Core i5 10代及以上 或 AMD Ryzen 5 4000系列及以上（需支持AVX指令集，确保AI推理效率）。</w:t>
      </w:r>
    </w:p>
    <w:p w14:paraId="11F59C0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内存：≥16 GB RAM（推荐32 GB，提升批量处理与AI推理速度）。</w:t>
      </w:r>
    </w:p>
    <w:p w14:paraId="542E72F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图形处理器：NVIDIA GTX 1060 6GB及以上（推荐RTX系列，支持CUDA加速，提升AI切割与深度图生成速度）；无独立显卡时，可使用CPU推理（处理速度会适当降低）。</w:t>
      </w:r>
    </w:p>
    <w:p w14:paraId="6BF9569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存储：≥10 GB空闲磁盘空间（用于安装工具、存储临时文件与导出资源）。</w:t>
      </w:r>
    </w:p>
    <w:p w14:paraId="5A265FEA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3.3.2 软件环境</w:t>
      </w:r>
      <w:bookmarkEnd w:id="23"/>
    </w:p>
    <w:p w14:paraId="0354686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操作系统：Windows 10/11（64-bit）、macOS 12.0及以上，支持主流桌面操作系统。</w:t>
      </w:r>
    </w:p>
    <w:p w14:paraId="713CD18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运行时依赖：.NET 8.0、Python 3.10+、CUDA 11.8+（NVIDIA显卡用户，用于GPU加速）、ONNX Runtime（提升AI推理效率）。</w:t>
      </w:r>
    </w:p>
    <w:p w14:paraId="01F0693A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辅助软件：无需安装额外设计软件，工具内置所有核心处理功能；若需手动优化素材，可兼容Photoshop、Figma等软件的导出格式。</w:t>
      </w:r>
    </w:p>
    <w:p w14:paraId="7E1FC7A7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3.3.3 接口需求</w:t>
      </w:r>
      <w:bookmarkEnd w:id="24"/>
    </w:p>
    <w:p w14:paraId="2CC39FDD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用户界面接口：基于Electron或WPF开发GUI界面，支持拖拽操作、实时预览、参数调整，界面响应时间≤0.5秒。</w:t>
      </w:r>
    </w:p>
    <w:p w14:paraId="310D3E3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外部系统接口：提供CLI命令行接口，支持集成至CI/CD自动化管线，实现批量处理的自动化调用；提供RESTful API接口，支持远程调用工具核心功能，适配团队协作场景。</w:t>
      </w:r>
    </w:p>
    <w:p w14:paraId="73A5304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文件接口：支持读取PNG、JPG、PSD、TIFF格式文件，支持写入PNG（精灵图、独立切片）、JSON、XML、TXT格式文件，确保文件兼容性。</w:t>
      </w:r>
    </w:p>
    <w:p w14:paraId="5F85FABF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4. 验收标准</w:t>
      </w:r>
      <w:bookmarkEnd w:id="25"/>
    </w:p>
    <w:p w14:paraId="72075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本需求分析报告所述所有功能需求、非功能需求及运行环境需求，均作为项目验收的核心标准，具体验收要求如下：</w:t>
      </w:r>
    </w:p>
    <w:p w14:paraId="2A69ECF2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功能验收：所有功能需求均需实现，无功能缺失、功能异常等问题，操作流程符合需求描述。</w:t>
      </w:r>
    </w:p>
    <w:p w14:paraId="60D7C0C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性能验收：处理时效、资源占用、稳定性等指标需达到3.2.1条规定的要求，无明显卡顿、崩溃等问题。</w:t>
      </w:r>
    </w:p>
    <w:p w14:paraId="72EA28E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精度验收：切割精度、排版精度、置信度等指标需达到3.2.2条规定的要求，无明显误差、错误输出。</w:t>
      </w:r>
    </w:p>
    <w:p w14:paraId="06E1BFA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环境验收：工具需在3.3条规定的硬件、软件环境中正常运行，无兼容性问题。</w:t>
      </w:r>
    </w:p>
    <w:p w14:paraId="7BD08D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注：</w:t>
      </w:r>
      <w:r>
        <w:rPr>
          <w:rFonts w:ascii="Arial" w:hAnsi="Arial" w:eastAsia="等线" w:cs="Arial"/>
          <w:sz w:val="22"/>
        </w:rPr>
        <w:t>本文档自撰写之日起生效，任何对本文档的修改、补充，均需经过项目组评审确认，并更新版本号，修改后的文档作为项目开发与验收的新基准。</w:t>
      </w:r>
    </w:p>
    <w:p w14:paraId="70065B27">
      <w:pPr>
        <w:spacing w:before="120" w:after="120" w:line="288" w:lineRule="auto"/>
        <w:ind w:left="0"/>
        <w:jc w:val="left"/>
      </w:pPr>
      <w:bookmarkStart w:id="26" w:name="_GoBack"/>
      <w:bookmarkEnd w:id="2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9D2D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122B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74C28B35"/>
    <w:multiLevelType w:val="singleLevel"/>
    <w:tmpl w:val="74C28B3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3"/>
  </w:num>
  <w:num w:numId="2">
    <w:abstractNumId w:val="15"/>
  </w:num>
  <w:num w:numId="3">
    <w:abstractNumId w:val="46"/>
  </w:num>
  <w:num w:numId="4">
    <w:abstractNumId w:val="13"/>
  </w:num>
  <w:num w:numId="5">
    <w:abstractNumId w:val="9"/>
  </w:num>
  <w:num w:numId="6">
    <w:abstractNumId w:val="25"/>
  </w:num>
  <w:num w:numId="7">
    <w:abstractNumId w:val="34"/>
  </w:num>
  <w:num w:numId="8">
    <w:abstractNumId w:val="53"/>
  </w:num>
  <w:num w:numId="9">
    <w:abstractNumId w:val="24"/>
  </w:num>
  <w:num w:numId="10">
    <w:abstractNumId w:val="5"/>
  </w:num>
  <w:num w:numId="11">
    <w:abstractNumId w:val="35"/>
  </w:num>
  <w:num w:numId="12">
    <w:abstractNumId w:val="47"/>
  </w:num>
  <w:num w:numId="13">
    <w:abstractNumId w:val="14"/>
  </w:num>
  <w:num w:numId="14">
    <w:abstractNumId w:val="43"/>
  </w:num>
  <w:num w:numId="15">
    <w:abstractNumId w:val="21"/>
  </w:num>
  <w:num w:numId="16">
    <w:abstractNumId w:val="33"/>
  </w:num>
  <w:num w:numId="17">
    <w:abstractNumId w:val="18"/>
  </w:num>
  <w:num w:numId="18">
    <w:abstractNumId w:val="17"/>
  </w:num>
  <w:num w:numId="19">
    <w:abstractNumId w:val="7"/>
  </w:num>
  <w:num w:numId="20">
    <w:abstractNumId w:val="41"/>
  </w:num>
  <w:num w:numId="21">
    <w:abstractNumId w:val="50"/>
  </w:num>
  <w:num w:numId="22">
    <w:abstractNumId w:val="28"/>
  </w:num>
  <w:num w:numId="23">
    <w:abstractNumId w:val="40"/>
  </w:num>
  <w:num w:numId="24">
    <w:abstractNumId w:val="8"/>
  </w:num>
  <w:num w:numId="25">
    <w:abstractNumId w:val="57"/>
  </w:num>
  <w:num w:numId="26">
    <w:abstractNumId w:val="55"/>
  </w:num>
  <w:num w:numId="27">
    <w:abstractNumId w:val="12"/>
  </w:num>
  <w:num w:numId="28">
    <w:abstractNumId w:val="51"/>
  </w:num>
  <w:num w:numId="29">
    <w:abstractNumId w:val="6"/>
  </w:num>
  <w:num w:numId="30">
    <w:abstractNumId w:val="39"/>
  </w:num>
  <w:num w:numId="31">
    <w:abstractNumId w:val="2"/>
  </w:num>
  <w:num w:numId="32">
    <w:abstractNumId w:val="45"/>
  </w:num>
  <w:num w:numId="33">
    <w:abstractNumId w:val="58"/>
  </w:num>
  <w:num w:numId="34">
    <w:abstractNumId w:val="0"/>
  </w:num>
  <w:num w:numId="35">
    <w:abstractNumId w:val="32"/>
  </w:num>
  <w:num w:numId="36">
    <w:abstractNumId w:val="44"/>
  </w:num>
  <w:num w:numId="37">
    <w:abstractNumId w:val="22"/>
  </w:num>
  <w:num w:numId="38">
    <w:abstractNumId w:val="19"/>
  </w:num>
  <w:num w:numId="39">
    <w:abstractNumId w:val="36"/>
  </w:num>
  <w:num w:numId="40">
    <w:abstractNumId w:val="56"/>
  </w:num>
  <w:num w:numId="41">
    <w:abstractNumId w:val="11"/>
  </w:num>
  <w:num w:numId="42">
    <w:abstractNumId w:val="4"/>
  </w:num>
  <w:num w:numId="43">
    <w:abstractNumId w:val="10"/>
  </w:num>
  <w:num w:numId="44">
    <w:abstractNumId w:val="48"/>
  </w:num>
  <w:num w:numId="45">
    <w:abstractNumId w:val="1"/>
  </w:num>
  <w:num w:numId="46">
    <w:abstractNumId w:val="29"/>
  </w:num>
  <w:num w:numId="47">
    <w:abstractNumId w:val="3"/>
  </w:num>
  <w:num w:numId="48">
    <w:abstractNumId w:val="49"/>
  </w:num>
  <w:num w:numId="49">
    <w:abstractNumId w:val="54"/>
  </w:num>
  <w:num w:numId="50">
    <w:abstractNumId w:val="42"/>
  </w:num>
  <w:num w:numId="51">
    <w:abstractNumId w:val="37"/>
  </w:num>
  <w:num w:numId="52">
    <w:abstractNumId w:val="52"/>
  </w:num>
  <w:num w:numId="53">
    <w:abstractNumId w:val="26"/>
  </w:num>
  <w:num w:numId="54">
    <w:abstractNumId w:val="27"/>
  </w:num>
  <w:num w:numId="55">
    <w:abstractNumId w:val="16"/>
  </w:num>
  <w:num w:numId="56">
    <w:abstractNumId w:val="38"/>
  </w:num>
  <w:num w:numId="57">
    <w:abstractNumId w:val="30"/>
  </w:num>
  <w:num w:numId="58">
    <w:abstractNumId w:val="20"/>
  </w:num>
  <w:num w:numId="5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9A313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5124</Words>
  <Characters>5857</Characters>
  <TotalTime>2</TotalTime>
  <ScaleCrop>false</ScaleCrop>
  <LinksUpToDate>false</LinksUpToDate>
  <CharactersWithSpaces>5940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2026-06-24T01:54:00Z</dcterms:created>
  <dc:creator>Apache POI</dc:creator>
  <cp:lastModifiedBy>WPS_1732193354</cp:lastModifiedBy>
  <dcterms:modified xsi:type="dcterms:W3CDTF">2026-06-24T02:48:51Z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{"Label":"1","ContentProducer":"001191110102MACQD9K64010000","ProduceID":"7654774393889230059","ReservedCode1":"","ContentPropagator":"","PropagateID":"","ReservedCode2":""}</vt:lpwstr>
  </property>
  <property fmtid="{D5CDD505-2E9C-101B-9397-08002B2CF9AE}" pid="3" name="KSOTemplateDocerSaveRecord">
    <vt:lpwstr>eyJoZGlkIjoiM2QyMjVlZGI4NTQ5ZWEzNGE2ZjBiZTk2Mzk3ODliN2EiLCJ1c2VySWQiOiIxNjYwMTE3NzgzIn0=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D710B01460EF4C34915DA0FADA18E7C0_12</vt:lpwstr>
  </property>
</Properties>
</file>