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rtl w:val="0"/>
        </w:rPr>
        <w:t xml:space="preserve">Репин в ГРМ.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ГРМ достаточно большая коллекция картин Репина (ок. 150), но основная часть находится в фонде. В качестве картинок приложила те, которые висят в основной экспозиции. Работы Репина можно найти на первом этаже Михайловского дворца, в левом крыле.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Наиболее полная коллекция художника в последний раз была представлена в 2019 году в ходе большой монографической выставки "Илья Репин", проходившей в корпусе Бенуа.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первом, посвященном этому художнику, зале (№33) представлен ранний период творчества художника. Это выпускнаяя работа, за которую он получил Золотую медаль и пенсионрскую поездку - Воскрешение дочери Иаира. Детализация максимальная, классическая композиция и сочетания цветов, но уже видно личное отношение и интерпретация классического сюжета.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После выпуска он отправляется в пенсионерскую поездку в Париж, где пишет картину "Садко", крайне холодно встреченную критиками, а также некоторое кол-во портретов, среди которых "Негритянка", которая представлена в зале. К этому же залу относятся все картины до №9 на диске (не включительно). Здесь - первые поиски в сфере критического реализма, знаменательные "Бурлаки на Волге" и небольшие сюжеты, где очень угадывается еще раннее влияние Перова, которое уйдет позднее (картина "Приготовление к экзамену", например)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Следующий зал (№34) охватывает период с 1870 по 1900 гг. Самая знаменательная работа - Николай Мирликийский избавляет от смерти трех невинно осужденных. Репин этого периода снова ударяется в поиски на религиозную тему, живопись уже более свободная, мазок резкий, интерпретация темы далека от классической.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Здесь же запорожцы, которые пишут письмо султану. Работу критиковали за излишний карикатуризм, но именно здесь в полной мере раскрывается некоторая театральность репинской живописи, и вместе с тем - ее подлинная живость. Лица утрированы. В этот же период Илья Ефимович путешествует по Украине, вдохновляясь на написание, собственно, этого полотна и других - так, украинский костюм появляется в портрете Драгомировой (также представен в зале).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Проводы новобранца - наименее примечательное полотно в зале, но, видимо, призвано напомнить, что всё-таки Репин - член Товарищества, и живопись, говорящую об актуальных проблемах общества, он не забывает.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Важные портреты: Портрет графини Наталии Петровны Головиной, во втором браке Голощаповой; и Л. Н. Толстой босой. Толстой вообще будет играть важную роль в жизни уже стареющего Репина, которому был нужен своеобразный духовный лидер (подробнее в билете про портреты Репина).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последнем - 54-ом - зале всё, что связано с картиной "Торжественное заседание Госсовета". А именно - само заседание, подготовительные портреты членов Госсовета, а также написанный чуть ранее Портрет Николая 2. Долгое время совветское искусствоведение считало, что эта картина - последняя значительная в творчестве Репина (во всяком случае, так писал Грабарь, дальнейшее творчества художника называвший "Под гору", а Грабарь долгое время был главным голосом науки), несмотря на то, что дожил он почти до 1930х. Видимо, именно поэтому более поздние работы художника в основной экспозиции не представлены.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qFormat w:val="1"/>
    <w:pPr>
      <w:spacing w:after="200" w:line="276" w:lineRule="auto"/>
    </w:pPr>
    <w:rPr>
      <w:rFonts w:cs="Arial"/>
      <w:sz w:val="22"/>
      <w:szCs w:val="22"/>
      <w:lang w:val="ru-RU"/>
    </w:rPr>
  </w:style>
  <w:style w:type="character" w:styleId="style65" w:default="1">
    <w:name w:val="Default Paragraph Font"/>
    <w:next w:val="style65"/>
    <w:rPr>
      <w:rFonts w:ascii="Calibri" w:cs="Arial" w:eastAsia="宋体" w:hAnsi="Calibri"/>
    </w:rPr>
  </w:style>
  <w:style w:type="table" w:styleId="style105" w:default="1">
    <w:name w:val="Normal Table"/>
    <w:next w:val="style105"/>
    <w:pPr/>
    <w:rPr>
      <w:rFonts w:cs="Arial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R9r0IHJusBINNJenXrlMblSFQ==">CgMxLjAyCGguZ2pkZ3hzOAByITFzaVNDNVZwbW1SRjRVX0VMS3FERHd5VXVpRkhfV2ZGTQ==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2023-01-06T12:35:51Z</dcterms:created>
  <dc:creator>MRX-W09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584889a4bfdb4573b87220d4b89ed56c</vt:lpwstr>
  </property>
</Properties>
</file>