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  <w:shd w:fill="ffd966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d966" w:val="clear"/>
          <w:rtl w:val="0"/>
        </w:rPr>
        <w:t xml:space="preserve">Предпосылки. Жанровая живопись 70-х годов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Критический пафос был исчерпан в 1860-х годах, к моменту организации ТПХВ жанр менялся в сторону утверждения положительного начала в жизни человека.  Переход к более позитивному видению мира, вместо обличительства – добрая насмешка, либо обличительство становится не столь явным, вместо отвращения – интерес, даже любование. Так, Перов в 70-е выставляет “Охотников на привале”, “Птицелова”, “Рыболова”, “Ботаника”.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Однако в 70-е годы члены ТПХВ писали немного жанровых картин. Это переходный период. Многие тенденции 80-х зародились уже в этом десятилетии, поэтому в следующем пункте картины из 70-х будут встречаться.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4"/>
          <w:szCs w:val="24"/>
          <w:shd w:fill="ffd966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d966" w:val="clear"/>
          <w:rtl w:val="0"/>
        </w:rPr>
        <w:t xml:space="preserve">Жанровая живопись 80-х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Общие тенденции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Основной принцип – изображать правду жизненных явлений.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Пропадает категоричность и оценочность 60-х. Если картина изображает социальное неравенство, то лишь намёком, без нажима. Жалость 60-х сменяет некая наблюдательность, интерес к жизни и быту маленьких людей (Мясоедов. “Земство обедает” 1872), даже восхищение силой и стойкостью человека из народа (Репин “Бурлаки на Волге”, Савицкий “Ремонтные работы”)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ревращение жанровой картины в полотно-эпопею. Появление т. н. “хоровой картины” (выражение Стасова), где действует масса народа (Савицкий “На войну”, “Ремонтные работы”, “Встреча иконы”). Такие картины многоголосы, в них несколько эмоциональных центров. Частая тема “хоровой” картины – народные праздники, ритуалы (Репин “Крестный ход в Курской губернии”, Прянишников “Спасов день на Севере”, “Крестный ход“, Бодаревский “Первый Спас в Малороссии”, Л. В. Попов “К святым местам”).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Жанровая картина по масштабу художественных задач приближалась к исторической.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Усложнение жанровой живописи, чему способствовало усиление в картине портретной и пейзажной составляющей. Типажи сменяются портретными характерами. Например Крамской трактовал жанровую картину в “портретном” ключе, передавая через индивидуальный образ общечеловеческую трагедию (Неутешное горе. 1884). “Хоровые” картины Репина представляют множество индивидуальностей с особой судьбой в толпе (Крестный ход в Курской губернии)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Расширение круга сюжетов. Одной из неисчерпаемых тем был крестьянский мир. Новые важные темы – жизнь заключённых (Репин “Не ждали”, Ярошенко “Заключённый” 1878, “Всюду жизнь” 1888), переселенчество (Мясоедов “Через степь. Переселенцы”, С. В. Иванов “Смерть переселенца”, “Обратные переселенцы”)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Спектр эмоций, которые вызывают сюжеты, расширяется – создаются и мажорные картины, где художник любуется бытом, поэтизирует его (Мясоедов. “Страдная пора. Косцы”) и драматичные, пронзительные полотна, освещающие человеческое несчастье (тема переселенчества, заключённых). Сентиментальную, салонную линию представляло творчество К. В. Лемоха, который изображал различные сцены с крестьянскими детьми (Новое знакомство, 1885). В таком же направлении творчество А. А. Харламова (Дети с цветами). Туда же девушки и девочки Н. К. Бодаревского.</w:t>
      </w:r>
    </w:p>
    <w:p w:rsidR="00000000" w:rsidDel="00000000" w:rsidP="00000000" w:rsidRDefault="00000000" w:rsidRPr="00000000" w14:paraId="0000000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1880-е существовали две линии развития жанровой картины, диктуемые двумя лидерами – </w:t>
      </w:r>
      <w:r w:rsidDel="00000000" w:rsidR="00000000" w:rsidRPr="00000000">
        <w:rPr>
          <w:rFonts w:ascii="Montserrat" w:cs="Montserrat" w:eastAsia="Montserrat" w:hAnsi="Montserrat"/>
          <w:color w:val="ff9900"/>
          <w:sz w:val="24"/>
          <w:szCs w:val="24"/>
          <w:rtl w:val="0"/>
        </w:rPr>
        <w:t xml:space="preserve">Репиным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color w:val="ff9900"/>
          <w:sz w:val="24"/>
          <w:szCs w:val="24"/>
          <w:rtl w:val="0"/>
        </w:rPr>
        <w:t xml:space="preserve">Владимиром Маковским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(не путать с Константином Маковским, который был придворным художником Александра II) 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Montserrat" w:cs="Montserrat" w:eastAsia="Montserrat" w:hAnsi="Montserrat"/>
          <w:color w:val="ff9900"/>
          <w:sz w:val="24"/>
          <w:szCs w:val="24"/>
          <w:rtl w:val="0"/>
        </w:rPr>
        <w:t xml:space="preserve">Репина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тенденция приближения жанровой картины к исторической, внесения в неё эпического начала. Поднимал наиболее насущные проблемы времени. Превышение традиционного формата жанровой картины, эксперименты с композицией, раскрытие её на зрителя (Бурлаки, Крестный ход). 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Montserrat" w:cs="Montserrat" w:eastAsia="Montserrat" w:hAnsi="Montserrat"/>
          <w:color w:val="ff9900"/>
          <w:sz w:val="24"/>
          <w:szCs w:val="24"/>
          <w:rtl w:val="0"/>
        </w:rPr>
        <w:t xml:space="preserve">В. Маковского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сохранение бытовизма, акцент на частностях, предметном мире. Художник с талантом новеллиста и карикатуриста. Картина как короткий психологический рассказ. Интерес к отображению типажей. Один типаж может организовать вокруг себя всю картину, в то же время олицетворяя важные стороны национального характера. В его картинах конфликт между двумя героями, который строится на непонимании, глухоте друг к другу, совместном одиночестве.  Близкие к Маковскому – Прянишников (“Жестокие романсы” 1881), Максимов (“Всё в прошлом” 1889), Бакшеев (“Житейская проза” 1892-93).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4"/>
          <w:szCs w:val="24"/>
          <w:shd w:fill="ffd966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d966" w:val="clear"/>
          <w:rtl w:val="0"/>
        </w:rPr>
        <w:t xml:space="preserve">Иные тенденции у нового поколения художников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9900"/>
          <w:sz w:val="24"/>
          <w:szCs w:val="24"/>
          <w:rtl w:val="0"/>
        </w:rPr>
        <w:t xml:space="preserve">“Младшие” передвижники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(А. Е. Архипов, С. В. Иванов, Н. А. Касаткин, Л. В. Попов, С. А. Коровин) – поиск не в  области содержания, а в области формы, желание её осовременить. Выразительность достигается путём передачи эмоционального состояния. Из жанровой картины исчезает сюжет, формируется т. н. “бессобытийный жанр”, где художника интересует в основном форма.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целом в жанровой картине растёт субъективность восприятия. 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Montserrat" w:cs="Montserrat" w:eastAsia="Montserrat" w:hAnsi="Montserrat"/>
          <w:color w:val="e69138"/>
          <w:sz w:val="24"/>
          <w:szCs w:val="24"/>
          <w:rtl w:val="0"/>
        </w:rPr>
        <w:t xml:space="preserve">Васнецова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сказочные мотивы перекликаются с реальными (Алёнушка) – движение живописи к национальному, что поощрялось при А III.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Montserrat" w:cs="Montserrat" w:eastAsia="Montserrat" w:hAnsi="Montserrat"/>
          <w:color w:val="e69138"/>
          <w:sz w:val="24"/>
          <w:szCs w:val="24"/>
          <w:rtl w:val="0"/>
        </w:rPr>
        <w:t xml:space="preserve">Нестерова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в ранних картинах, как и у Васнецова, смесь сказочного, даже иконного и реального (Пустынник). Уже образ, а не характер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