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85F67" w14:textId="15F66DE7" w:rsidR="00D82C40" w:rsidRDefault="00D82C40" w:rsidP="00D82C40">
      <w:pPr>
        <w:jc w:val="center"/>
      </w:pPr>
      <w:r>
        <w:t>Macroéconomie</w:t>
      </w:r>
    </w:p>
    <w:p w14:paraId="03F5F775" w14:textId="325CEFA0" w:rsidR="00D82C40" w:rsidRDefault="00D82C40" w:rsidP="00D82C40">
      <w:pPr>
        <w:jc w:val="center"/>
        <w:rPr>
          <w:rFonts w:ascii="Aptos" w:hAnsi="Aptos"/>
          <w:b/>
          <w:bCs/>
          <w:color w:val="212121"/>
        </w:rPr>
      </w:pPr>
      <w:proofErr w:type="spellStart"/>
      <w:r w:rsidRPr="00D82C40">
        <w:rPr>
          <w:rFonts w:ascii="Aptos" w:hAnsi="Aptos"/>
          <w:b/>
          <w:bCs/>
          <w:color w:val="212121"/>
        </w:rPr>
        <w:t>What</w:t>
      </w:r>
      <w:proofErr w:type="spellEnd"/>
      <w:r w:rsidRPr="00D82C40">
        <w:rPr>
          <w:rFonts w:ascii="Aptos" w:hAnsi="Aptos"/>
          <w:b/>
          <w:bCs/>
          <w:color w:val="212121"/>
        </w:rPr>
        <w:t xml:space="preserve"> </w:t>
      </w:r>
      <w:proofErr w:type="spellStart"/>
      <w:r w:rsidRPr="00D82C40">
        <w:rPr>
          <w:rFonts w:ascii="Aptos" w:hAnsi="Aptos"/>
          <w:b/>
          <w:bCs/>
          <w:color w:val="212121"/>
        </w:rPr>
        <w:t>is</w:t>
      </w:r>
      <w:proofErr w:type="spellEnd"/>
      <w:r w:rsidRPr="00D82C40">
        <w:rPr>
          <w:rFonts w:ascii="Aptos" w:hAnsi="Aptos"/>
          <w:b/>
          <w:bCs/>
          <w:color w:val="212121"/>
        </w:rPr>
        <w:t xml:space="preserve"> the impact of the EU Emissions Trading System on unemployment in France ?</w:t>
      </w:r>
    </w:p>
    <w:p w14:paraId="5412375B" w14:textId="77777777" w:rsidR="00D82C40" w:rsidRDefault="00D82C40" w:rsidP="00D82C40">
      <w:pPr>
        <w:rPr>
          <w:rFonts w:ascii="Aptos" w:hAnsi="Aptos"/>
          <w:b/>
          <w:bCs/>
          <w:color w:val="212121"/>
        </w:rPr>
      </w:pPr>
    </w:p>
    <w:p w14:paraId="66B6A256" w14:textId="3398ED5B" w:rsidR="00D82C40" w:rsidRDefault="00D82C40" w:rsidP="00D82C40">
      <w:pPr>
        <w:rPr>
          <w:rFonts w:ascii="Aptos" w:hAnsi="Aptos"/>
          <w:b/>
          <w:bCs/>
          <w:color w:val="212121"/>
        </w:rPr>
      </w:pPr>
      <w:r>
        <w:rPr>
          <w:rFonts w:ascii="Aptos" w:hAnsi="Aptos"/>
          <w:b/>
          <w:bCs/>
          <w:color w:val="212121"/>
        </w:rPr>
        <w:t xml:space="preserve">Lectures : </w:t>
      </w:r>
    </w:p>
    <w:p w14:paraId="4D47CA52" w14:textId="77777777" w:rsidR="00D82C40" w:rsidRDefault="00D82C40" w:rsidP="00D82C40">
      <w:pPr>
        <w:jc w:val="both"/>
        <w:rPr>
          <w:rFonts w:ascii="Aptos" w:hAnsi="Aptos"/>
          <w:color w:val="212121"/>
        </w:rPr>
      </w:pPr>
    </w:p>
    <w:p w14:paraId="11882835" w14:textId="3AAFD56A" w:rsidR="00D82C40" w:rsidRDefault="00D82C40" w:rsidP="00D82C40">
      <w:pPr>
        <w:jc w:val="both"/>
        <w:rPr>
          <w:rFonts w:ascii="Aptos" w:hAnsi="Aptos"/>
          <w:color w:val="212121"/>
        </w:rPr>
      </w:pPr>
      <w:r>
        <w:rPr>
          <w:rFonts w:ascii="Aptos" w:hAnsi="Aptos"/>
          <w:color w:val="212121"/>
        </w:rPr>
        <w:t xml:space="preserve">À faire : </w:t>
      </w:r>
    </w:p>
    <w:p w14:paraId="0737B737" w14:textId="73F460F9" w:rsidR="00D82C40" w:rsidRDefault="00D82C40" w:rsidP="00D82C40">
      <w:pPr>
        <w:pStyle w:val="Paragraphedeliste"/>
        <w:numPr>
          <w:ilvl w:val="0"/>
          <w:numId w:val="1"/>
        </w:numPr>
        <w:jc w:val="both"/>
      </w:pPr>
      <w:r>
        <w:t>Définir the EU emissions trading system</w:t>
      </w:r>
    </w:p>
    <w:p w14:paraId="09491DF0" w14:textId="2769AAA7" w:rsidR="00D82C40" w:rsidRDefault="00D82C40" w:rsidP="00D82C40">
      <w:pPr>
        <w:pStyle w:val="Paragraphedeliste"/>
        <w:numPr>
          <w:ilvl w:val="0"/>
          <w:numId w:val="1"/>
        </w:numPr>
        <w:jc w:val="both"/>
      </w:pPr>
      <w:r>
        <w:t xml:space="preserve">Le différencier de la taxe carbone ? </w:t>
      </w:r>
    </w:p>
    <w:p w14:paraId="5D961532" w14:textId="1D7813A0" w:rsidR="00D82C40" w:rsidRDefault="00D82C40" w:rsidP="00D82C40">
      <w:pPr>
        <w:pStyle w:val="Paragraphedeliste"/>
        <w:numPr>
          <w:ilvl w:val="0"/>
          <w:numId w:val="1"/>
        </w:numPr>
        <w:jc w:val="both"/>
      </w:pPr>
      <w:r>
        <w:t>Trouver les bonnes données dont on a besoin</w:t>
      </w:r>
    </w:p>
    <w:p w14:paraId="0D27D888" w14:textId="77777777" w:rsidR="00D82C40" w:rsidRPr="001B25D4" w:rsidRDefault="00D82C40" w:rsidP="00D82C40">
      <w:pPr>
        <w:jc w:val="both"/>
        <w:rPr>
          <w:rFonts w:asciiTheme="minorHAnsi" w:hAnsiTheme="minorHAnsi"/>
        </w:rPr>
      </w:pPr>
    </w:p>
    <w:p w14:paraId="15DFE3C9" w14:textId="123844B0" w:rsidR="00D82C40" w:rsidRPr="001B25D4" w:rsidRDefault="00D82C40" w:rsidP="00D82C40">
      <w:pPr>
        <w:jc w:val="both"/>
        <w:rPr>
          <w:rFonts w:asciiTheme="minorHAnsi" w:hAnsiTheme="minorHAnsi"/>
          <w:b/>
          <w:bCs/>
        </w:rPr>
      </w:pPr>
      <w:r w:rsidRPr="001B25D4">
        <w:rPr>
          <w:rFonts w:asciiTheme="minorHAnsi" w:hAnsiTheme="minorHAnsi"/>
          <w:b/>
          <w:bCs/>
        </w:rPr>
        <w:t xml:space="preserve">The EU emissions trading system : </w:t>
      </w:r>
    </w:p>
    <w:p w14:paraId="65347AB1" w14:textId="05832AC6" w:rsidR="00D82C40" w:rsidRPr="001B25D4" w:rsidRDefault="00287383" w:rsidP="00D82C40">
      <w:pPr>
        <w:jc w:val="both"/>
        <w:rPr>
          <w:rFonts w:asciiTheme="minorHAnsi" w:hAnsiTheme="minorHAnsi"/>
          <w:color w:val="272626"/>
          <w:shd w:val="clear" w:color="auto" w:fill="FFFFFF"/>
        </w:rPr>
      </w:pPr>
      <w:r w:rsidRPr="001B25D4">
        <w:rPr>
          <w:rFonts w:asciiTheme="minorHAnsi" w:hAnsiTheme="minorHAnsi"/>
          <w:color w:val="272626"/>
          <w:shd w:val="clear" w:color="auto" w:fill="FFFFFF"/>
        </w:rPr>
        <w:t>« </w:t>
      </w:r>
      <w:r w:rsidR="00D82C40" w:rsidRPr="001B25D4">
        <w:rPr>
          <w:rFonts w:asciiTheme="minorHAnsi" w:hAnsiTheme="minorHAnsi"/>
          <w:color w:val="272626"/>
          <w:shd w:val="clear" w:color="auto" w:fill="FFFFFF"/>
        </w:rPr>
        <w:t>La France met actuellement en œuvre deux principaux mécanismes de tarification du carbone afin d’inciter les acteurs économiques à réduire leurs émissions. </w:t>
      </w:r>
      <w:hyperlink r:id="rId5" w:history="1">
        <w:r w:rsidR="00D82C40" w:rsidRPr="001B25D4">
          <w:rPr>
            <w:rStyle w:val="Lienhypertexte"/>
            <w:rFonts w:asciiTheme="minorHAnsi" w:eastAsiaTheme="majorEastAsia" w:hAnsiTheme="minorHAnsi"/>
            <w:shd w:val="clear" w:color="auto" w:fill="FFFFFF"/>
          </w:rPr>
          <w:t>Le système européen d’échange de quotas d’émission (SEQE-UE)</w:t>
        </w:r>
      </w:hyperlink>
      <w:r w:rsidR="00D82C40" w:rsidRPr="001B25D4">
        <w:rPr>
          <w:rFonts w:asciiTheme="minorHAnsi" w:hAnsiTheme="minorHAnsi"/>
          <w:color w:val="272626"/>
          <w:shd w:val="clear" w:color="auto" w:fill="FFFFFF"/>
        </w:rPr>
        <w:t xml:space="preserve">, en place depuis 2005, couvre 75 % des émissions industrielles françaises. En 2014, la France a également introduit une taxe carbone sur la consommation de combustibles fossiles, qui a débuté à 7 euros par tonne de CO2 et s’élève désormais à </w:t>
      </w:r>
      <w:r w:rsidR="00D82C40" w:rsidRPr="001B25D4">
        <w:rPr>
          <w:rFonts w:asciiTheme="minorHAnsi" w:hAnsiTheme="minorHAnsi" w:cstheme="minorBidi"/>
          <w:color w:val="272626"/>
          <w:shd w:val="clear" w:color="auto" w:fill="FFFFFF"/>
        </w:rPr>
        <w:t>44,6 € pour une tonne de CO2. Dans l'objectif de la loi de transition énergétique pour la croissance verte, la taxe carbone doit atteindre 100 € par tonne de CO2 en 2030. Seulement, depuis 2019, la taxe reste stabilisée à 44,6 €.</w:t>
      </w:r>
      <w:r w:rsidRPr="001B25D4">
        <w:rPr>
          <w:rFonts w:asciiTheme="minorHAnsi" w:hAnsiTheme="minorHAnsi" w:cstheme="minorBidi"/>
          <w:color w:val="272626"/>
          <w:shd w:val="clear" w:color="auto" w:fill="FFFFFF"/>
        </w:rPr>
        <w:t> »</w:t>
      </w:r>
    </w:p>
    <w:p w14:paraId="722EEE6D" w14:textId="77777777" w:rsidR="00D82C40" w:rsidRPr="001B25D4" w:rsidRDefault="00D82C40" w:rsidP="005E3D94">
      <w:pPr>
        <w:numPr>
          <w:ilvl w:val="0"/>
          <w:numId w:val="3"/>
        </w:numPr>
        <w:spacing w:before="100" w:beforeAutospacing="1" w:after="100" w:afterAutospacing="1"/>
        <w:jc w:val="both"/>
        <w:rPr>
          <w:rFonts w:asciiTheme="minorHAnsi" w:hAnsiTheme="minorHAnsi" w:cs="Arial"/>
          <w:color w:val="26324B"/>
        </w:rPr>
      </w:pPr>
      <w:r w:rsidRPr="001B25D4">
        <w:rPr>
          <w:rFonts w:asciiTheme="minorHAnsi" w:hAnsiTheme="minorHAnsi"/>
          <w:color w:val="272626"/>
          <w:shd w:val="clear" w:color="auto" w:fill="FFFFFF"/>
        </w:rPr>
        <w:t xml:space="preserve">The EU ETS </w:t>
      </w:r>
      <w:proofErr w:type="spellStart"/>
      <w:r w:rsidRPr="001B25D4">
        <w:rPr>
          <w:rFonts w:asciiTheme="minorHAnsi" w:hAnsiTheme="minorHAnsi" w:cs="Arial"/>
          <w:color w:val="26324B"/>
        </w:rPr>
        <w:t>covers</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emissions</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from</w:t>
      </w:r>
      <w:proofErr w:type="spellEnd"/>
      <w:r w:rsidRPr="001B25D4">
        <w:rPr>
          <w:rFonts w:asciiTheme="minorHAnsi" w:hAnsiTheme="minorHAnsi" w:cs="Arial"/>
          <w:color w:val="26324B"/>
        </w:rPr>
        <w:t xml:space="preserve"> the </w:t>
      </w:r>
      <w:proofErr w:type="spellStart"/>
      <w:r w:rsidRPr="001B25D4">
        <w:rPr>
          <w:rFonts w:asciiTheme="minorHAnsi" w:hAnsiTheme="minorHAnsi" w:cs="Arial"/>
          <w:color w:val="26324B"/>
        </w:rPr>
        <w:t>electricity</w:t>
      </w:r>
      <w:proofErr w:type="spellEnd"/>
      <w:r w:rsidRPr="001B25D4">
        <w:rPr>
          <w:rFonts w:asciiTheme="minorHAnsi" w:hAnsiTheme="minorHAnsi" w:cs="Arial"/>
          <w:color w:val="26324B"/>
        </w:rPr>
        <w:t xml:space="preserve"> and </w:t>
      </w:r>
      <w:proofErr w:type="spellStart"/>
      <w:r w:rsidRPr="001B25D4">
        <w:rPr>
          <w:rFonts w:asciiTheme="minorHAnsi" w:hAnsiTheme="minorHAnsi" w:cs="Arial"/>
          <w:color w:val="26324B"/>
        </w:rPr>
        <w:t>heat</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generation</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industrial</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manufacturing</w:t>
      </w:r>
      <w:proofErr w:type="spellEnd"/>
      <w:r w:rsidRPr="001B25D4">
        <w:rPr>
          <w:rFonts w:asciiTheme="minorHAnsi" w:hAnsiTheme="minorHAnsi" w:cs="Arial"/>
          <w:color w:val="26324B"/>
        </w:rPr>
        <w:t xml:space="preserve"> and aviation </w:t>
      </w:r>
      <w:proofErr w:type="spellStart"/>
      <w:r w:rsidRPr="001B25D4">
        <w:rPr>
          <w:rFonts w:asciiTheme="minorHAnsi" w:hAnsiTheme="minorHAnsi" w:cs="Arial"/>
          <w:color w:val="26324B"/>
        </w:rPr>
        <w:t>sectors</w:t>
      </w:r>
      <w:proofErr w:type="spellEnd"/>
      <w:r w:rsidRPr="001B25D4">
        <w:rPr>
          <w:rFonts w:asciiTheme="minorHAnsi" w:hAnsiTheme="minorHAnsi" w:cs="Arial"/>
          <w:color w:val="26324B"/>
        </w:rPr>
        <w:t xml:space="preserve"> - </w:t>
      </w:r>
      <w:proofErr w:type="spellStart"/>
      <w:r w:rsidRPr="001B25D4">
        <w:rPr>
          <w:rFonts w:asciiTheme="minorHAnsi" w:hAnsiTheme="minorHAnsi" w:cs="Arial"/>
          <w:color w:val="26324B"/>
        </w:rPr>
        <w:t>which</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account</w:t>
      </w:r>
      <w:proofErr w:type="spellEnd"/>
      <w:r w:rsidRPr="001B25D4">
        <w:rPr>
          <w:rFonts w:asciiTheme="minorHAnsi" w:hAnsiTheme="minorHAnsi" w:cs="Arial"/>
          <w:color w:val="26324B"/>
        </w:rPr>
        <w:t xml:space="preserve"> for </w:t>
      </w:r>
      <w:proofErr w:type="spellStart"/>
      <w:r w:rsidRPr="001B25D4">
        <w:rPr>
          <w:rFonts w:asciiTheme="minorHAnsi" w:hAnsiTheme="minorHAnsi" w:cs="Arial"/>
          <w:color w:val="26324B"/>
        </w:rPr>
        <w:t>roughly</w:t>
      </w:r>
      <w:proofErr w:type="spellEnd"/>
      <w:r w:rsidRPr="001B25D4">
        <w:rPr>
          <w:rFonts w:asciiTheme="minorHAnsi" w:hAnsiTheme="minorHAnsi" w:cs="Arial"/>
          <w:color w:val="26324B"/>
        </w:rPr>
        <w:t xml:space="preserve"> 40% of total GHG emissions in the </w:t>
      </w:r>
      <w:proofErr w:type="gramStart"/>
      <w:r w:rsidRPr="001B25D4">
        <w:rPr>
          <w:rFonts w:asciiTheme="minorHAnsi" w:hAnsiTheme="minorHAnsi" w:cs="Arial"/>
          <w:color w:val="26324B"/>
        </w:rPr>
        <w:t>EU;</w:t>
      </w:r>
      <w:proofErr w:type="gramEnd"/>
      <w:r w:rsidRPr="001B25D4">
        <w:rPr>
          <w:rFonts w:asciiTheme="minorHAnsi" w:hAnsiTheme="minorHAnsi" w:cs="Arial"/>
          <w:color w:val="26324B"/>
        </w:rPr>
        <w:t xml:space="preserve"> </w:t>
      </w:r>
      <w:proofErr w:type="spellStart"/>
      <w:r w:rsidRPr="001B25D4">
        <w:rPr>
          <w:rFonts w:asciiTheme="minorHAnsi" w:hAnsiTheme="minorHAnsi" w:cs="Arial"/>
          <w:color w:val="26324B"/>
        </w:rPr>
        <w:t>started</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covering</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emissions</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from</w:t>
      </w:r>
      <w:proofErr w:type="spellEnd"/>
      <w:r w:rsidRPr="001B25D4">
        <w:rPr>
          <w:rFonts w:asciiTheme="minorHAnsi" w:hAnsiTheme="minorHAnsi" w:cs="Arial"/>
          <w:color w:val="26324B"/>
        </w:rPr>
        <w:t xml:space="preserve"> maritime transport in </w:t>
      </w:r>
      <w:proofErr w:type="gramStart"/>
      <w:r w:rsidRPr="001B25D4">
        <w:rPr>
          <w:rFonts w:asciiTheme="minorHAnsi" w:hAnsiTheme="minorHAnsi" w:cs="Arial"/>
          <w:color w:val="26324B"/>
        </w:rPr>
        <w:t>2024;</w:t>
      </w:r>
      <w:proofErr w:type="gramEnd"/>
    </w:p>
    <w:p w14:paraId="460B6A60" w14:textId="2CFA7ACB" w:rsidR="005E3D94" w:rsidRPr="001B25D4" w:rsidRDefault="005E3D94" w:rsidP="005E3D94">
      <w:pPr>
        <w:spacing w:before="100" w:beforeAutospacing="1" w:after="100" w:afterAutospacing="1"/>
        <w:jc w:val="both"/>
        <w:rPr>
          <w:rFonts w:asciiTheme="minorHAnsi" w:hAnsiTheme="minorHAnsi" w:cs="Arial"/>
          <w:b/>
          <w:bCs/>
          <w:color w:val="26324B"/>
          <w:u w:val="single"/>
        </w:rPr>
      </w:pPr>
      <w:r w:rsidRPr="001B25D4">
        <w:rPr>
          <w:rFonts w:asciiTheme="minorHAnsi" w:hAnsiTheme="minorHAnsi" w:cs="Arial"/>
          <w:b/>
          <w:bCs/>
          <w:color w:val="26324B"/>
          <w:u w:val="single"/>
        </w:rPr>
        <w:t>Fonctionnement </w:t>
      </w:r>
      <w:r w:rsidR="00287383" w:rsidRPr="001B25D4">
        <w:rPr>
          <w:rFonts w:asciiTheme="minorHAnsi" w:hAnsiTheme="minorHAnsi" w:cs="Arial"/>
          <w:b/>
          <w:bCs/>
          <w:color w:val="26324B"/>
          <w:u w:val="single"/>
        </w:rPr>
        <w:t xml:space="preserve">cap and </w:t>
      </w:r>
      <w:proofErr w:type="spellStart"/>
      <w:r w:rsidR="00287383" w:rsidRPr="001B25D4">
        <w:rPr>
          <w:rFonts w:asciiTheme="minorHAnsi" w:hAnsiTheme="minorHAnsi" w:cs="Arial"/>
          <w:b/>
          <w:bCs/>
          <w:color w:val="26324B"/>
          <w:u w:val="single"/>
        </w:rPr>
        <w:t>trade</w:t>
      </w:r>
      <w:proofErr w:type="spellEnd"/>
      <w:r w:rsidR="00287383" w:rsidRPr="001B25D4">
        <w:rPr>
          <w:rFonts w:asciiTheme="minorHAnsi" w:hAnsiTheme="minorHAnsi" w:cs="Arial"/>
          <w:b/>
          <w:bCs/>
          <w:color w:val="26324B"/>
          <w:u w:val="single"/>
        </w:rPr>
        <w:t xml:space="preserve"> </w:t>
      </w:r>
      <w:r w:rsidRPr="001B25D4">
        <w:rPr>
          <w:rFonts w:asciiTheme="minorHAnsi" w:hAnsiTheme="minorHAnsi" w:cs="Arial"/>
          <w:b/>
          <w:bCs/>
          <w:color w:val="26324B"/>
          <w:u w:val="single"/>
        </w:rPr>
        <w:t xml:space="preserve">: </w:t>
      </w:r>
    </w:p>
    <w:p w14:paraId="2A259623" w14:textId="77777777" w:rsidR="005E3D94" w:rsidRPr="001B25D4" w:rsidRDefault="005E3D94" w:rsidP="005E3D94">
      <w:pPr>
        <w:numPr>
          <w:ilvl w:val="0"/>
          <w:numId w:val="3"/>
        </w:numPr>
        <w:spacing w:before="100" w:beforeAutospacing="1" w:after="100" w:afterAutospacing="1"/>
        <w:jc w:val="both"/>
        <w:rPr>
          <w:rFonts w:asciiTheme="minorHAnsi" w:hAnsiTheme="minorHAnsi"/>
        </w:rPr>
      </w:pPr>
      <w:r w:rsidRPr="001B25D4">
        <w:rPr>
          <w:rStyle w:val="lev"/>
          <w:rFonts w:asciiTheme="minorHAnsi" w:eastAsiaTheme="majorEastAsia" w:hAnsiTheme="minorHAnsi"/>
        </w:rPr>
        <w:t>Plafonnement des émissions :</w:t>
      </w:r>
      <w:r w:rsidRPr="001B25D4">
        <w:rPr>
          <w:rFonts w:asciiTheme="minorHAnsi" w:hAnsiTheme="minorHAnsi"/>
        </w:rPr>
        <w:t xml:space="preserve"> Un plafond (cap) est fixé sur la quantité totale de GES que les installations couvertes par le système peuvent émettre. Ce plafond est exprimé en quotas d'émission, chaque quota donnant le droit d'émettre une tonne de CO₂ équivalent. Ce plafond est réduit chaque année pour aligner les émissions sur les objectifs climatiques de l'UE, garantissant ainsi une diminution progressive des émissions totales au fil du temps. </w:t>
      </w:r>
    </w:p>
    <w:p w14:paraId="7EFD7F8C" w14:textId="77777777" w:rsidR="005E3D94" w:rsidRPr="001B25D4" w:rsidRDefault="005E3D94" w:rsidP="005E3D94">
      <w:pPr>
        <w:numPr>
          <w:ilvl w:val="0"/>
          <w:numId w:val="3"/>
        </w:numPr>
        <w:spacing w:before="100" w:beforeAutospacing="1" w:after="100" w:afterAutospacing="1"/>
        <w:jc w:val="both"/>
        <w:rPr>
          <w:rFonts w:asciiTheme="minorHAnsi" w:hAnsiTheme="minorHAnsi"/>
        </w:rPr>
      </w:pPr>
      <w:r w:rsidRPr="001B25D4">
        <w:rPr>
          <w:rStyle w:val="lev"/>
          <w:rFonts w:asciiTheme="minorHAnsi" w:eastAsiaTheme="majorEastAsia" w:hAnsiTheme="minorHAnsi"/>
        </w:rPr>
        <w:t>Allocation des quotas :</w:t>
      </w:r>
    </w:p>
    <w:p w14:paraId="5E131EF6" w14:textId="77777777" w:rsidR="005E3D94" w:rsidRPr="001B25D4" w:rsidRDefault="005E3D94" w:rsidP="005E3D94">
      <w:pPr>
        <w:numPr>
          <w:ilvl w:val="1"/>
          <w:numId w:val="3"/>
        </w:numPr>
        <w:spacing w:before="100" w:beforeAutospacing="1" w:after="100" w:afterAutospacing="1"/>
        <w:jc w:val="both"/>
        <w:rPr>
          <w:rFonts w:asciiTheme="minorHAnsi" w:hAnsiTheme="minorHAnsi"/>
        </w:rPr>
      </w:pPr>
      <w:r w:rsidRPr="001B25D4">
        <w:rPr>
          <w:rStyle w:val="lev"/>
          <w:rFonts w:asciiTheme="minorHAnsi" w:eastAsiaTheme="majorEastAsia" w:hAnsiTheme="minorHAnsi"/>
        </w:rPr>
        <w:t>Mise aux enchères :</w:t>
      </w:r>
      <w:r w:rsidRPr="001B25D4">
        <w:rPr>
          <w:rFonts w:asciiTheme="minorHAnsi" w:hAnsiTheme="minorHAnsi"/>
        </w:rPr>
        <w:t xml:space="preserve"> </w:t>
      </w:r>
      <w:r w:rsidRPr="001B25D4">
        <w:rPr>
          <w:rStyle w:val="relative"/>
          <w:rFonts w:asciiTheme="minorHAnsi" w:eastAsiaTheme="majorEastAsia" w:hAnsiTheme="minorHAnsi"/>
        </w:rPr>
        <w:t>Depuis 2013, la méthode principale d'allocation des quotas est la mise aux enchères, appliquant le principe du « pollueur-payeur ».</w:t>
      </w:r>
      <w:r w:rsidRPr="001B25D4">
        <w:rPr>
          <w:rFonts w:asciiTheme="minorHAnsi" w:hAnsiTheme="minorHAnsi"/>
        </w:rPr>
        <w:t xml:space="preserve"> </w:t>
      </w:r>
      <w:r w:rsidRPr="001B25D4">
        <w:rPr>
          <w:rFonts w:ascii="Arial" w:hAnsi="Arial" w:cs="Arial"/>
        </w:rPr>
        <w:t>​</w:t>
      </w:r>
      <w:proofErr w:type="spellStart"/>
      <w:r w:rsidRPr="001B25D4">
        <w:rPr>
          <w:rStyle w:val="ms-1"/>
          <w:rFonts w:asciiTheme="minorHAnsi" w:eastAsiaTheme="majorEastAsia" w:hAnsiTheme="minorHAnsi"/>
        </w:rPr>
        <w:fldChar w:fldCharType="begin"/>
      </w:r>
      <w:r w:rsidRPr="001B25D4">
        <w:rPr>
          <w:rStyle w:val="ms-1"/>
          <w:rFonts w:asciiTheme="minorHAnsi" w:eastAsiaTheme="majorEastAsia" w:hAnsiTheme="minorHAnsi"/>
        </w:rPr>
        <w:instrText>HYPERLINK "https://climate.ec.europa.eu/eu-action/eu-emissions-trading-system-eu-ets/auctioning-allowances_en?utm_source=chatgpt.com" \t "_blank"</w:instrText>
      </w:r>
      <w:r w:rsidRPr="001B25D4">
        <w:rPr>
          <w:rStyle w:val="ms-1"/>
          <w:rFonts w:asciiTheme="minorHAnsi" w:eastAsiaTheme="majorEastAsia" w:hAnsiTheme="minorHAnsi"/>
        </w:rPr>
      </w:r>
      <w:r w:rsidRPr="001B25D4">
        <w:rPr>
          <w:rStyle w:val="ms-1"/>
          <w:rFonts w:asciiTheme="minorHAnsi" w:eastAsiaTheme="majorEastAsia" w:hAnsiTheme="minorHAnsi"/>
        </w:rPr>
        <w:fldChar w:fldCharType="separate"/>
      </w:r>
      <w:r w:rsidRPr="001B25D4">
        <w:rPr>
          <w:rStyle w:val="max-w-full"/>
          <w:rFonts w:asciiTheme="minorHAnsi" w:eastAsiaTheme="majorEastAsia" w:hAnsiTheme="minorHAnsi"/>
          <w:color w:val="0000FF"/>
          <w:u w:val="single"/>
        </w:rPr>
        <w:t>Climate</w:t>
      </w:r>
      <w:proofErr w:type="spellEnd"/>
      <w:r w:rsidRPr="001B25D4">
        <w:rPr>
          <w:rStyle w:val="max-w-full"/>
          <w:rFonts w:asciiTheme="minorHAnsi" w:eastAsiaTheme="majorEastAsia" w:hAnsiTheme="minorHAnsi"/>
          <w:color w:val="0000FF"/>
          <w:u w:val="single"/>
        </w:rPr>
        <w:t xml:space="preserve"> Action</w:t>
      </w:r>
      <w:r w:rsidRPr="001B25D4">
        <w:rPr>
          <w:rStyle w:val="ms-1"/>
          <w:rFonts w:asciiTheme="minorHAnsi" w:eastAsiaTheme="majorEastAsia" w:hAnsiTheme="minorHAnsi"/>
        </w:rPr>
        <w:fldChar w:fldCharType="end"/>
      </w:r>
    </w:p>
    <w:p w14:paraId="1E979C02" w14:textId="5F036F5D" w:rsidR="005E3D94" w:rsidRPr="001B25D4" w:rsidRDefault="005E3D94" w:rsidP="005E3D94">
      <w:pPr>
        <w:numPr>
          <w:ilvl w:val="1"/>
          <w:numId w:val="3"/>
        </w:numPr>
        <w:spacing w:before="100" w:beforeAutospacing="1" w:after="100" w:afterAutospacing="1"/>
        <w:jc w:val="both"/>
        <w:rPr>
          <w:rFonts w:asciiTheme="minorHAnsi" w:hAnsiTheme="minorHAnsi"/>
        </w:rPr>
      </w:pPr>
      <w:r w:rsidRPr="001B25D4">
        <w:rPr>
          <w:rStyle w:val="lev"/>
          <w:rFonts w:asciiTheme="minorHAnsi" w:eastAsiaTheme="majorEastAsia" w:hAnsiTheme="minorHAnsi"/>
        </w:rPr>
        <w:t>Attribution gratuite :</w:t>
      </w:r>
      <w:r w:rsidRPr="001B25D4">
        <w:rPr>
          <w:rFonts w:asciiTheme="minorHAnsi" w:hAnsiTheme="minorHAnsi"/>
        </w:rPr>
        <w:t xml:space="preserve"> </w:t>
      </w:r>
      <w:r w:rsidRPr="001B25D4">
        <w:rPr>
          <w:rStyle w:val="relative"/>
          <w:rFonts w:asciiTheme="minorHAnsi" w:eastAsiaTheme="majorEastAsia" w:hAnsiTheme="minorHAnsi"/>
        </w:rPr>
        <w:t>Certaines industries reçoivent encore des quotas gratuits pour prévenir les risques de « fuite de carbone », où les entreprises déplaceraient leur production vers des régions avec des réglementations environnementales moins strictes.</w:t>
      </w:r>
      <w:r w:rsidRPr="001B25D4">
        <w:rPr>
          <w:rFonts w:ascii="Arial" w:hAnsi="Arial" w:cs="Arial"/>
        </w:rPr>
        <w:t>​</w:t>
      </w:r>
      <w:r w:rsidR="001B25D4" w:rsidRPr="001B25D4">
        <w:rPr>
          <w:rFonts w:asciiTheme="minorHAnsi" w:hAnsiTheme="minorHAnsi"/>
        </w:rPr>
        <w:t xml:space="preserve"> </w:t>
      </w:r>
    </w:p>
    <w:p w14:paraId="3948CDFF" w14:textId="40A436E1" w:rsidR="005E3D94" w:rsidRPr="001B25D4" w:rsidRDefault="005E3D94" w:rsidP="005E3D94">
      <w:pPr>
        <w:numPr>
          <w:ilvl w:val="0"/>
          <w:numId w:val="3"/>
        </w:numPr>
        <w:spacing w:before="100" w:beforeAutospacing="1" w:after="100" w:afterAutospacing="1"/>
        <w:jc w:val="both"/>
        <w:rPr>
          <w:rFonts w:asciiTheme="minorHAnsi" w:hAnsiTheme="minorHAnsi"/>
        </w:rPr>
      </w:pPr>
      <w:r w:rsidRPr="001B25D4">
        <w:rPr>
          <w:rStyle w:val="lev"/>
          <w:rFonts w:asciiTheme="minorHAnsi" w:eastAsiaTheme="majorEastAsia" w:hAnsiTheme="minorHAnsi"/>
        </w:rPr>
        <w:t>Échange de quotas :</w:t>
      </w:r>
      <w:r w:rsidRPr="001B25D4">
        <w:rPr>
          <w:rFonts w:asciiTheme="minorHAnsi" w:hAnsiTheme="minorHAnsi"/>
        </w:rPr>
        <w:t xml:space="preserve"> Les entreprises peuvent acheter ou vendre des quotas en fonction de leurs besoins. Si une entreprise réduit ses émissions, elle peut vendre les quotas excédentaires à d'autres entreprises qui ont du mal à respecter leurs limites d'émission. Ce mécanisme incite économiquement les entreprises à réduire leurs émissions de manière rentable. </w:t>
      </w:r>
      <w:r w:rsidR="00D35BFF" w:rsidRPr="001B25D4">
        <w:rPr>
          <w:rFonts w:asciiTheme="minorHAnsi" w:hAnsiTheme="minorHAnsi"/>
        </w:rPr>
        <w:t xml:space="preserve">Tous ces échanges sont </w:t>
      </w:r>
      <w:proofErr w:type="spellStart"/>
      <w:r w:rsidR="00D35BFF" w:rsidRPr="001B25D4">
        <w:rPr>
          <w:rFonts w:asciiTheme="minorHAnsi" w:hAnsiTheme="minorHAnsi"/>
        </w:rPr>
        <w:t>repertoriés</w:t>
      </w:r>
      <w:proofErr w:type="spellEnd"/>
      <w:r w:rsidR="00D35BFF" w:rsidRPr="001B25D4">
        <w:rPr>
          <w:rFonts w:asciiTheme="minorHAnsi" w:hAnsiTheme="minorHAnsi"/>
        </w:rPr>
        <w:t xml:space="preserve"> dans le </w:t>
      </w:r>
      <w:hyperlink r:id="rId6" w:history="1">
        <w:r w:rsidR="00D35BFF" w:rsidRPr="001B25D4">
          <w:rPr>
            <w:rStyle w:val="Lienhypertexte"/>
            <w:rFonts w:asciiTheme="minorHAnsi" w:eastAsiaTheme="majorEastAsia" w:hAnsiTheme="minorHAnsi" w:cs="Arial"/>
          </w:rPr>
          <w:t xml:space="preserve">Union </w:t>
        </w:r>
        <w:proofErr w:type="spellStart"/>
        <w:r w:rsidR="00D35BFF" w:rsidRPr="001B25D4">
          <w:rPr>
            <w:rStyle w:val="Lienhypertexte"/>
            <w:rFonts w:asciiTheme="minorHAnsi" w:eastAsiaTheme="majorEastAsia" w:hAnsiTheme="minorHAnsi" w:cs="Arial"/>
          </w:rPr>
          <w:t>Registry</w:t>
        </w:r>
        <w:proofErr w:type="spellEnd"/>
      </w:hyperlink>
      <w:r w:rsidR="00D35BFF" w:rsidRPr="001B25D4">
        <w:rPr>
          <w:rFonts w:asciiTheme="minorHAnsi" w:hAnsiTheme="minorHAnsi" w:cs="Arial"/>
          <w:color w:val="26324B"/>
        </w:rPr>
        <w:t>.</w:t>
      </w:r>
    </w:p>
    <w:p w14:paraId="415107EC" w14:textId="4D477FE7" w:rsidR="00D35BFF" w:rsidRPr="001B25D4" w:rsidRDefault="00D35BFF" w:rsidP="005E3D94">
      <w:pPr>
        <w:numPr>
          <w:ilvl w:val="0"/>
          <w:numId w:val="3"/>
        </w:numPr>
        <w:spacing w:before="100" w:beforeAutospacing="1" w:after="100" w:afterAutospacing="1"/>
        <w:jc w:val="both"/>
        <w:rPr>
          <w:rFonts w:asciiTheme="minorHAnsi" w:hAnsiTheme="minorHAnsi"/>
        </w:rPr>
      </w:pPr>
      <w:r w:rsidRPr="001B25D4">
        <w:rPr>
          <w:rStyle w:val="lev"/>
          <w:rFonts w:asciiTheme="minorHAnsi" w:eastAsiaTheme="majorEastAsia" w:hAnsiTheme="minorHAnsi"/>
        </w:rPr>
        <w:lastRenderedPageBreak/>
        <w:t>Prix </w:t>
      </w:r>
      <w:r w:rsidRPr="001B25D4">
        <w:rPr>
          <w:rFonts w:asciiTheme="minorHAnsi" w:hAnsiTheme="minorHAnsi"/>
        </w:rPr>
        <w:t xml:space="preserve">: </w:t>
      </w:r>
      <w:r w:rsidRPr="001B25D4">
        <w:rPr>
          <w:rFonts w:asciiTheme="minorHAnsi" w:hAnsiTheme="minorHAnsi" w:cs="Arial"/>
          <w:color w:val="26324B"/>
        </w:rPr>
        <w:t xml:space="preserve">The </w:t>
      </w:r>
      <w:proofErr w:type="spellStart"/>
      <w:r w:rsidRPr="001B25D4">
        <w:rPr>
          <w:rFonts w:asciiTheme="minorHAnsi" w:hAnsiTheme="minorHAnsi" w:cs="Arial"/>
          <w:color w:val="26324B"/>
        </w:rPr>
        <w:t>price</w:t>
      </w:r>
      <w:proofErr w:type="spellEnd"/>
      <w:r w:rsidRPr="001B25D4">
        <w:rPr>
          <w:rFonts w:asciiTheme="minorHAnsi" w:hAnsiTheme="minorHAnsi" w:cs="Arial"/>
          <w:color w:val="26324B"/>
        </w:rPr>
        <w:t xml:space="preserve"> of </w:t>
      </w:r>
      <w:proofErr w:type="spellStart"/>
      <w:r w:rsidRPr="001B25D4">
        <w:rPr>
          <w:rFonts w:asciiTheme="minorHAnsi" w:hAnsiTheme="minorHAnsi" w:cs="Arial"/>
          <w:color w:val="26324B"/>
        </w:rPr>
        <w:t>allowances</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is</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determined</w:t>
      </w:r>
      <w:proofErr w:type="spellEnd"/>
      <w:r w:rsidRPr="001B25D4">
        <w:rPr>
          <w:rFonts w:asciiTheme="minorHAnsi" w:hAnsiTheme="minorHAnsi" w:cs="Arial"/>
          <w:color w:val="26324B"/>
        </w:rPr>
        <w:t xml:space="preserve"> by the EU </w:t>
      </w:r>
      <w:proofErr w:type="spellStart"/>
      <w:r w:rsidRPr="001B25D4">
        <w:rPr>
          <w:rFonts w:asciiTheme="minorHAnsi" w:hAnsiTheme="minorHAnsi" w:cs="Arial"/>
          <w:color w:val="26324B"/>
        </w:rPr>
        <w:t>carbon</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market</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which</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is</w:t>
      </w:r>
      <w:proofErr w:type="spellEnd"/>
      <w:r w:rsidRPr="001B25D4">
        <w:rPr>
          <w:rFonts w:asciiTheme="minorHAnsi" w:hAnsiTheme="minorHAnsi" w:cs="Arial"/>
          <w:color w:val="26324B"/>
        </w:rPr>
        <w:t xml:space="preserve"> </w:t>
      </w:r>
      <w:proofErr w:type="spellStart"/>
      <w:r w:rsidRPr="001B25D4">
        <w:rPr>
          <w:rFonts w:asciiTheme="minorHAnsi" w:hAnsiTheme="minorHAnsi" w:cs="Arial"/>
          <w:color w:val="26324B"/>
        </w:rPr>
        <w:t>subject</w:t>
      </w:r>
      <w:proofErr w:type="spellEnd"/>
      <w:r w:rsidRPr="001B25D4">
        <w:rPr>
          <w:rFonts w:asciiTheme="minorHAnsi" w:hAnsiTheme="minorHAnsi" w:cs="Arial"/>
          <w:color w:val="26324B"/>
        </w:rPr>
        <w:t xml:space="preserve"> to a </w:t>
      </w:r>
      <w:proofErr w:type="spellStart"/>
      <w:r w:rsidRPr="001B25D4">
        <w:rPr>
          <w:rFonts w:asciiTheme="minorHAnsi" w:hAnsiTheme="minorHAnsi" w:cs="Arial"/>
          <w:color w:val="26324B"/>
        </w:rPr>
        <w:t>robust</w:t>
      </w:r>
      <w:proofErr w:type="spellEnd"/>
      <w:r w:rsidRPr="001B25D4">
        <w:rPr>
          <w:rFonts w:asciiTheme="minorHAnsi" w:hAnsiTheme="minorHAnsi" w:cs="Arial"/>
          <w:color w:val="26324B"/>
        </w:rPr>
        <w:t xml:space="preserve"> set of </w:t>
      </w:r>
      <w:proofErr w:type="spellStart"/>
      <w:r w:rsidRPr="001B25D4">
        <w:rPr>
          <w:rFonts w:asciiTheme="minorHAnsi" w:hAnsiTheme="minorHAnsi"/>
        </w:rPr>
        <w:fldChar w:fldCharType="begin"/>
      </w:r>
      <w:r w:rsidRPr="001B25D4">
        <w:rPr>
          <w:rFonts w:asciiTheme="minorHAnsi" w:hAnsiTheme="minorHAnsi"/>
        </w:rPr>
        <w:instrText>HYPERLINK "https://climate.ec.europa.eu/eu-action/eu-emissions-trading-system-eu-ets/ensuring-integrity-european-carbon-market_en?prefLang=fr"</w:instrText>
      </w:r>
      <w:r w:rsidRPr="001B25D4">
        <w:rPr>
          <w:rFonts w:asciiTheme="minorHAnsi" w:hAnsiTheme="minorHAnsi"/>
        </w:rPr>
      </w:r>
      <w:r w:rsidRPr="001B25D4">
        <w:rPr>
          <w:rFonts w:asciiTheme="minorHAnsi" w:hAnsiTheme="minorHAnsi"/>
        </w:rPr>
        <w:fldChar w:fldCharType="separate"/>
      </w:r>
      <w:r w:rsidRPr="001B25D4">
        <w:rPr>
          <w:rStyle w:val="Lienhypertexte"/>
          <w:rFonts w:asciiTheme="minorHAnsi" w:eastAsiaTheme="majorEastAsia" w:hAnsiTheme="minorHAnsi" w:cs="Arial"/>
        </w:rPr>
        <w:t>oversight</w:t>
      </w:r>
      <w:proofErr w:type="spellEnd"/>
      <w:r w:rsidRPr="001B25D4">
        <w:rPr>
          <w:rStyle w:val="Lienhypertexte"/>
          <w:rFonts w:asciiTheme="minorHAnsi" w:eastAsiaTheme="majorEastAsia" w:hAnsiTheme="minorHAnsi" w:cs="Arial"/>
        </w:rPr>
        <w:t xml:space="preserve"> </w:t>
      </w:r>
      <w:proofErr w:type="spellStart"/>
      <w:r w:rsidRPr="001B25D4">
        <w:rPr>
          <w:rStyle w:val="Lienhypertexte"/>
          <w:rFonts w:asciiTheme="minorHAnsi" w:eastAsiaTheme="majorEastAsia" w:hAnsiTheme="minorHAnsi" w:cs="Arial"/>
        </w:rPr>
        <w:t>rules</w:t>
      </w:r>
      <w:proofErr w:type="spellEnd"/>
      <w:r w:rsidRPr="001B25D4">
        <w:rPr>
          <w:rFonts w:asciiTheme="minorHAnsi" w:hAnsiTheme="minorHAnsi"/>
        </w:rPr>
        <w:fldChar w:fldCharType="end"/>
      </w:r>
    </w:p>
    <w:p w14:paraId="39137E3D" w14:textId="77777777" w:rsidR="005E3D94" w:rsidRPr="001B25D4" w:rsidRDefault="005E3D94" w:rsidP="005E3D94">
      <w:pPr>
        <w:numPr>
          <w:ilvl w:val="0"/>
          <w:numId w:val="3"/>
        </w:numPr>
        <w:spacing w:before="100" w:beforeAutospacing="1" w:after="100" w:afterAutospacing="1"/>
        <w:jc w:val="both"/>
        <w:rPr>
          <w:rFonts w:asciiTheme="minorHAnsi" w:hAnsiTheme="minorHAnsi"/>
        </w:rPr>
      </w:pPr>
      <w:r w:rsidRPr="001B25D4">
        <w:rPr>
          <w:rStyle w:val="lev"/>
          <w:rFonts w:asciiTheme="minorHAnsi" w:eastAsiaTheme="majorEastAsia" w:hAnsiTheme="minorHAnsi"/>
        </w:rPr>
        <w:t>Surveillance et conformité :</w:t>
      </w:r>
      <w:r w:rsidRPr="001B25D4">
        <w:rPr>
          <w:rFonts w:asciiTheme="minorHAnsi" w:hAnsiTheme="minorHAnsi"/>
        </w:rPr>
        <w:t xml:space="preserve"> Les entreprises doivent surveiller et déclarer annuellement leurs émissions. Elles doivent restituer suffisamment de quotas pour couvrir l'intégralité de leurs émissions annuelles. En cas de non-respect, des amendes sévères sont imposées, garantissant ainsi le respect du système. </w:t>
      </w:r>
    </w:p>
    <w:p w14:paraId="5EA49F48" w14:textId="16D6C69D" w:rsidR="002A7143" w:rsidRPr="001B25D4" w:rsidRDefault="002A7143" w:rsidP="005E3D94">
      <w:pPr>
        <w:numPr>
          <w:ilvl w:val="0"/>
          <w:numId w:val="3"/>
        </w:numPr>
        <w:spacing w:before="100" w:beforeAutospacing="1" w:after="100" w:afterAutospacing="1"/>
        <w:jc w:val="both"/>
        <w:rPr>
          <w:rFonts w:asciiTheme="minorHAnsi" w:hAnsiTheme="minorHAnsi"/>
        </w:rPr>
      </w:pPr>
      <w:r w:rsidRPr="001B25D4">
        <w:rPr>
          <w:rStyle w:val="lev"/>
          <w:rFonts w:asciiTheme="minorHAnsi" w:eastAsiaTheme="majorEastAsia" w:hAnsiTheme="minorHAnsi"/>
        </w:rPr>
        <w:t>Phases :</w:t>
      </w:r>
      <w:r w:rsidRPr="001B25D4">
        <w:rPr>
          <w:rFonts w:asciiTheme="minorHAnsi" w:hAnsiTheme="minorHAnsi"/>
        </w:rPr>
        <w:t xml:space="preserve"> Nous sommes à la quatrième phase du système (2021-2030). </w:t>
      </w:r>
      <w:r w:rsidR="008D7F0C" w:rsidRPr="001B25D4">
        <w:rPr>
          <w:rFonts w:asciiTheme="minorHAnsi" w:hAnsiTheme="minorHAnsi"/>
        </w:rPr>
        <w:t xml:space="preserve">Le </w:t>
      </w:r>
      <w:proofErr w:type="spellStart"/>
      <w:r w:rsidR="008D7F0C" w:rsidRPr="001B25D4">
        <w:rPr>
          <w:rFonts w:asciiTheme="minorHAnsi" w:hAnsiTheme="minorHAnsi"/>
        </w:rPr>
        <w:t>framework</w:t>
      </w:r>
      <w:proofErr w:type="spellEnd"/>
      <w:r w:rsidR="008D7F0C" w:rsidRPr="001B25D4">
        <w:rPr>
          <w:rFonts w:asciiTheme="minorHAnsi" w:hAnsiTheme="minorHAnsi"/>
        </w:rPr>
        <w:t xml:space="preserve"> législatif est dicté par la </w:t>
      </w:r>
      <w:hyperlink r:id="rId7" w:history="1">
        <w:r w:rsidR="008D7F0C" w:rsidRPr="001B25D4">
          <w:rPr>
            <w:rStyle w:val="Lienhypertexte"/>
            <w:rFonts w:asciiTheme="minorHAnsi" w:eastAsiaTheme="majorEastAsia" w:hAnsiTheme="minorHAnsi" w:cs="Arial"/>
          </w:rPr>
          <w:t>ETS Directive</w:t>
        </w:r>
      </w:hyperlink>
      <w:r w:rsidR="008D7F0C" w:rsidRPr="001B25D4">
        <w:rPr>
          <w:rFonts w:asciiTheme="minorHAnsi" w:hAnsiTheme="minorHAnsi"/>
        </w:rPr>
        <w:t xml:space="preserve">, qui a subi beaucoup de révisions depuis quelques années. </w:t>
      </w:r>
    </w:p>
    <w:p w14:paraId="686F3457" w14:textId="77777777" w:rsidR="00D82C40" w:rsidRDefault="00D82C40" w:rsidP="00D35BFF">
      <w:pPr>
        <w:spacing w:before="100" w:beforeAutospacing="1" w:after="100" w:afterAutospacing="1"/>
        <w:ind w:left="360"/>
        <w:jc w:val="both"/>
        <w:rPr>
          <w:rFonts w:ascii="Arial" w:hAnsi="Arial" w:cs="Arial"/>
          <w:color w:val="26324B"/>
        </w:rPr>
      </w:pPr>
    </w:p>
    <w:p w14:paraId="5BA9E2BF" w14:textId="33454092" w:rsidR="00D82C40" w:rsidRDefault="008D7F0C" w:rsidP="005E3D94">
      <w:pPr>
        <w:jc w:val="both"/>
        <w:rPr>
          <w:rFonts w:ascii="Aptos" w:hAnsi="Aptos"/>
          <w:color w:val="212121"/>
        </w:rPr>
      </w:pPr>
      <w:r>
        <w:rPr>
          <w:rFonts w:ascii="Aptos" w:hAnsi="Aptos"/>
          <w:noProof/>
          <w:color w:val="212121"/>
          <w14:ligatures w14:val="standardContextual"/>
        </w:rPr>
        <w:drawing>
          <wp:inline distT="0" distB="0" distL="0" distR="0" wp14:anchorId="02CAEA19" wp14:editId="3103CDC3">
            <wp:extent cx="5760720" cy="3405505"/>
            <wp:effectExtent l="0" t="0" r="5080" b="0"/>
            <wp:docPr id="126324402"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4402" name="Image 1" descr="Une image contenant texte, capture d’écran, Police, lign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405505"/>
                    </a:xfrm>
                    <a:prstGeom prst="rect">
                      <a:avLst/>
                    </a:prstGeom>
                  </pic:spPr>
                </pic:pic>
              </a:graphicData>
            </a:graphic>
          </wp:inline>
        </w:drawing>
      </w:r>
    </w:p>
    <w:p w14:paraId="59C13C55" w14:textId="77777777" w:rsidR="00D82C40" w:rsidRDefault="00D82C40" w:rsidP="005E3D94">
      <w:pPr>
        <w:jc w:val="both"/>
      </w:pPr>
    </w:p>
    <w:p w14:paraId="61CE4E75" w14:textId="77777777" w:rsidR="00D82C40" w:rsidRDefault="00D82C40" w:rsidP="005E3D94">
      <w:pPr>
        <w:jc w:val="both"/>
      </w:pPr>
    </w:p>
    <w:p w14:paraId="0951D744" w14:textId="77777777" w:rsidR="00D82C40" w:rsidRPr="00D82C40" w:rsidRDefault="00D82C40" w:rsidP="005E3D94">
      <w:pPr>
        <w:jc w:val="both"/>
      </w:pPr>
    </w:p>
    <w:sectPr w:rsidR="00D82C40" w:rsidRPr="00D82C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00C3"/>
    <w:multiLevelType w:val="multilevel"/>
    <w:tmpl w:val="B75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7F6C04"/>
    <w:multiLevelType w:val="multilevel"/>
    <w:tmpl w:val="50229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D47029"/>
    <w:multiLevelType w:val="hybridMultilevel"/>
    <w:tmpl w:val="82429ADC"/>
    <w:lvl w:ilvl="0" w:tplc="73283DDC">
      <w:start w:val="3"/>
      <w:numFmt w:val="bullet"/>
      <w:lvlText w:val="-"/>
      <w:lvlJc w:val="left"/>
      <w:pPr>
        <w:ind w:left="720" w:hanging="360"/>
      </w:pPr>
      <w:rPr>
        <w:rFonts w:ascii="Aptos" w:eastAsiaTheme="minorHAnsi" w:hAnsi="Aptos" w:cstheme="minorBidi" w:hint="default"/>
        <w:color w:val="212121"/>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A57CCB"/>
    <w:multiLevelType w:val="multilevel"/>
    <w:tmpl w:val="8E12E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806549">
    <w:abstractNumId w:val="2"/>
  </w:num>
  <w:num w:numId="2" w16cid:durableId="241112896">
    <w:abstractNumId w:val="0"/>
  </w:num>
  <w:num w:numId="3" w16cid:durableId="530651779">
    <w:abstractNumId w:val="1"/>
  </w:num>
  <w:num w:numId="4" w16cid:durableId="92924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40"/>
    <w:rsid w:val="001B25D4"/>
    <w:rsid w:val="00244322"/>
    <w:rsid w:val="00287383"/>
    <w:rsid w:val="002A7143"/>
    <w:rsid w:val="005E3D94"/>
    <w:rsid w:val="00616B34"/>
    <w:rsid w:val="008D7F0C"/>
    <w:rsid w:val="00D33019"/>
    <w:rsid w:val="00D35BFF"/>
    <w:rsid w:val="00D82C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3CED3260"/>
  <w15:chartTrackingRefBased/>
  <w15:docId w15:val="{8B19F7C5-F33C-AE46-AF14-6F4C1773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C40"/>
    <w:pPr>
      <w:spacing w:after="0" w:line="240" w:lineRule="auto"/>
    </w:pPr>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D82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82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82C4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82C4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82C4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2C4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2C4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2C4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2C40"/>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2C4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82C4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82C4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82C4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82C4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2C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2C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2C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2C40"/>
    <w:rPr>
      <w:rFonts w:eastAsiaTheme="majorEastAsia" w:cstheme="majorBidi"/>
      <w:color w:val="272727" w:themeColor="text1" w:themeTint="D8"/>
    </w:rPr>
  </w:style>
  <w:style w:type="paragraph" w:styleId="Titre">
    <w:name w:val="Title"/>
    <w:basedOn w:val="Normal"/>
    <w:next w:val="Normal"/>
    <w:link w:val="TitreCar"/>
    <w:uiPriority w:val="10"/>
    <w:qFormat/>
    <w:rsid w:val="00D82C4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2C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2C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2C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2C40"/>
    <w:pPr>
      <w:spacing w:before="160"/>
      <w:jc w:val="center"/>
    </w:pPr>
    <w:rPr>
      <w:i/>
      <w:iCs/>
      <w:color w:val="404040" w:themeColor="text1" w:themeTint="BF"/>
    </w:rPr>
  </w:style>
  <w:style w:type="character" w:customStyle="1" w:styleId="CitationCar">
    <w:name w:val="Citation Car"/>
    <w:basedOn w:val="Policepardfaut"/>
    <w:link w:val="Citation"/>
    <w:uiPriority w:val="29"/>
    <w:rsid w:val="00D82C40"/>
    <w:rPr>
      <w:i/>
      <w:iCs/>
      <w:color w:val="404040" w:themeColor="text1" w:themeTint="BF"/>
    </w:rPr>
  </w:style>
  <w:style w:type="paragraph" w:styleId="Paragraphedeliste">
    <w:name w:val="List Paragraph"/>
    <w:basedOn w:val="Normal"/>
    <w:uiPriority w:val="34"/>
    <w:qFormat/>
    <w:rsid w:val="00D82C40"/>
    <w:pPr>
      <w:ind w:left="720"/>
      <w:contextualSpacing/>
    </w:pPr>
  </w:style>
  <w:style w:type="character" w:styleId="Accentuationintense">
    <w:name w:val="Intense Emphasis"/>
    <w:basedOn w:val="Policepardfaut"/>
    <w:uiPriority w:val="21"/>
    <w:qFormat/>
    <w:rsid w:val="00D82C40"/>
    <w:rPr>
      <w:i/>
      <w:iCs/>
      <w:color w:val="0F4761" w:themeColor="accent1" w:themeShade="BF"/>
    </w:rPr>
  </w:style>
  <w:style w:type="paragraph" w:styleId="Citationintense">
    <w:name w:val="Intense Quote"/>
    <w:basedOn w:val="Normal"/>
    <w:next w:val="Normal"/>
    <w:link w:val="CitationintenseCar"/>
    <w:uiPriority w:val="30"/>
    <w:qFormat/>
    <w:rsid w:val="00D82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2C40"/>
    <w:rPr>
      <w:i/>
      <w:iCs/>
      <w:color w:val="0F4761" w:themeColor="accent1" w:themeShade="BF"/>
    </w:rPr>
  </w:style>
  <w:style w:type="character" w:styleId="Rfrenceintense">
    <w:name w:val="Intense Reference"/>
    <w:basedOn w:val="Policepardfaut"/>
    <w:uiPriority w:val="32"/>
    <w:qFormat/>
    <w:rsid w:val="00D82C40"/>
    <w:rPr>
      <w:b/>
      <w:bCs/>
      <w:smallCaps/>
      <w:color w:val="0F4761" w:themeColor="accent1" w:themeShade="BF"/>
      <w:spacing w:val="5"/>
    </w:rPr>
  </w:style>
  <w:style w:type="character" w:styleId="Lienhypertexte">
    <w:name w:val="Hyperlink"/>
    <w:basedOn w:val="Policepardfaut"/>
    <w:uiPriority w:val="99"/>
    <w:semiHidden/>
    <w:unhideWhenUsed/>
    <w:rsid w:val="00D82C40"/>
    <w:rPr>
      <w:color w:val="0000FF"/>
      <w:u w:val="single"/>
    </w:rPr>
  </w:style>
  <w:style w:type="character" w:styleId="lev">
    <w:name w:val="Strong"/>
    <w:basedOn w:val="Policepardfaut"/>
    <w:uiPriority w:val="22"/>
    <w:qFormat/>
    <w:rsid w:val="005E3D94"/>
    <w:rPr>
      <w:b/>
      <w:bCs/>
    </w:rPr>
  </w:style>
  <w:style w:type="character" w:customStyle="1" w:styleId="relative">
    <w:name w:val="relative"/>
    <w:basedOn w:val="Policepardfaut"/>
    <w:rsid w:val="005E3D94"/>
  </w:style>
  <w:style w:type="character" w:customStyle="1" w:styleId="ms-1">
    <w:name w:val="ms-1"/>
    <w:basedOn w:val="Policepardfaut"/>
    <w:rsid w:val="005E3D94"/>
  </w:style>
  <w:style w:type="character" w:customStyle="1" w:styleId="max-w-full">
    <w:name w:val="max-w-full"/>
    <w:basedOn w:val="Policepardfaut"/>
    <w:rsid w:val="005E3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81378">
      <w:bodyDiv w:val="1"/>
      <w:marLeft w:val="0"/>
      <w:marRight w:val="0"/>
      <w:marTop w:val="0"/>
      <w:marBottom w:val="0"/>
      <w:divBdr>
        <w:top w:val="none" w:sz="0" w:space="0" w:color="auto"/>
        <w:left w:val="none" w:sz="0" w:space="0" w:color="auto"/>
        <w:bottom w:val="none" w:sz="0" w:space="0" w:color="auto"/>
        <w:right w:val="none" w:sz="0" w:space="0" w:color="auto"/>
      </w:divBdr>
    </w:div>
    <w:div w:id="496773242">
      <w:bodyDiv w:val="1"/>
      <w:marLeft w:val="0"/>
      <w:marRight w:val="0"/>
      <w:marTop w:val="0"/>
      <w:marBottom w:val="0"/>
      <w:divBdr>
        <w:top w:val="none" w:sz="0" w:space="0" w:color="auto"/>
        <w:left w:val="none" w:sz="0" w:space="0" w:color="auto"/>
        <w:bottom w:val="none" w:sz="0" w:space="0" w:color="auto"/>
        <w:right w:val="none" w:sz="0" w:space="0" w:color="auto"/>
      </w:divBdr>
    </w:div>
    <w:div w:id="111093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ur-lex.europa.eu/legal-content/EN/TXT/?uri=CELEX%3A02003L0087-202403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mate.ec.europa.eu/eu-action/eu-emissions-trading-system-eu-ets/union-registry_en?prefLang=fr" TargetMode="External"/><Relationship Id="rId5" Type="http://schemas.openxmlformats.org/officeDocument/2006/relationships/hyperlink" Target="https://ec.europa.eu/clima/policies/ets_f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577</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HANOUNE</dc:creator>
  <cp:keywords/>
  <dc:description/>
  <cp:lastModifiedBy>Eve HANOUNE</cp:lastModifiedBy>
  <cp:revision>5</cp:revision>
  <dcterms:created xsi:type="dcterms:W3CDTF">2025-04-03T13:50:00Z</dcterms:created>
  <dcterms:modified xsi:type="dcterms:W3CDTF">2025-04-19T08:16:00Z</dcterms:modified>
</cp:coreProperties>
</file>