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C6A90" w14:textId="0C99D253" w:rsidR="00A971EA" w:rsidRDefault="00534263">
      <w:hyperlink r:id="rId4" w:history="1">
        <w:r w:rsidRPr="00374534">
          <w:rPr>
            <w:rStyle w:val="Hyperlink"/>
          </w:rPr>
          <w:t>https://www.sciencedirect.com/science/article/pii/S1532046425000450?via%3Dihub</w:t>
        </w:r>
      </w:hyperlink>
      <w:r>
        <w:t xml:space="preserve"> </w:t>
      </w:r>
    </w:p>
    <w:p w14:paraId="6548D09E" w14:textId="77777777" w:rsidR="00534263" w:rsidRPr="00534263" w:rsidRDefault="00534263" w:rsidP="00534263">
      <w:r w:rsidRPr="00534263">
        <w:t>PLAGCA: Predicting protein–ligand binding affinity with the graph cross-attention mechanism</w:t>
      </w:r>
    </w:p>
    <w:p w14:paraId="4FE41B32" w14:textId="3B1027E2" w:rsidR="00534263" w:rsidRDefault="00534263">
      <w:pPr>
        <w:rPr>
          <w:sz w:val="22"/>
          <w:szCs w:val="22"/>
        </w:rPr>
      </w:pPr>
      <w:r>
        <w:rPr>
          <w:sz w:val="22"/>
          <w:szCs w:val="22"/>
        </w:rPr>
        <w:t>PLAGCA: deep-learning method for predicting protein-ligand binding affinity. Capturing local 3D pocket interactions between protein and ligand, also using string and sequence features.</w:t>
      </w:r>
    </w:p>
    <w:p w14:paraId="07269685" w14:textId="7AC0EA4D" w:rsidR="00534263" w:rsidRDefault="00534263">
      <w:pPr>
        <w:rPr>
          <w:sz w:val="22"/>
          <w:szCs w:val="22"/>
        </w:rPr>
      </w:pPr>
      <w:r>
        <w:rPr>
          <w:sz w:val="22"/>
          <w:szCs w:val="22"/>
        </w:rPr>
        <w:t>Datasets: PDBbind database, CAPLA and Pafnucy. PDBbind has affinity of protein-ligand values. Source 21 splits these values in core, refined and general. Source 22 has an algorithm where you could select the right complex in the core set, by using similarity.</w:t>
      </w:r>
      <w:r w:rsidR="00934425">
        <w:rPr>
          <w:sz w:val="22"/>
          <w:szCs w:val="22"/>
        </w:rPr>
        <w:t xml:space="preserve"> </w:t>
      </w:r>
    </w:p>
    <w:p w14:paraId="3DFA3897" w14:textId="77777777" w:rsidR="00934425" w:rsidRDefault="00934425">
      <w:pPr>
        <w:rPr>
          <w:sz w:val="22"/>
          <w:szCs w:val="22"/>
        </w:rPr>
      </w:pPr>
      <w:r>
        <w:rPr>
          <w:sz w:val="22"/>
          <w:szCs w:val="22"/>
        </w:rPr>
        <w:t xml:space="preserve">PLAGCA: using graph cross-attention mechanisms, uses multilayer perceptron. </w:t>
      </w:r>
    </w:p>
    <w:p w14:paraId="4233D5A6" w14:textId="77777777" w:rsidR="00934425" w:rsidRDefault="00934425">
      <w:pPr>
        <w:rPr>
          <w:sz w:val="22"/>
          <w:szCs w:val="22"/>
        </w:rPr>
      </w:pPr>
      <w:r>
        <w:rPr>
          <w:noProof/>
        </w:rPr>
        <w:drawing>
          <wp:inline distT="0" distB="0" distL="0" distR="0" wp14:anchorId="3066325D" wp14:editId="7CC3E901">
            <wp:extent cx="5037667" cy="3079753"/>
            <wp:effectExtent l="0" t="0" r="0" b="6350"/>
            <wp:docPr id="51470731" name="Picture 1"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731" name="Picture 1" descr="A diagram of a software flowchar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5229" cy="3084376"/>
                    </a:xfrm>
                    <a:prstGeom prst="rect">
                      <a:avLst/>
                    </a:prstGeom>
                    <a:noFill/>
                    <a:ln>
                      <a:noFill/>
                    </a:ln>
                  </pic:spPr>
                </pic:pic>
              </a:graphicData>
            </a:graphic>
          </wp:inline>
        </w:drawing>
      </w:r>
    </w:p>
    <w:p w14:paraId="0A989F88" w14:textId="77777777" w:rsidR="00934425" w:rsidRDefault="00934425">
      <w:pPr>
        <w:rPr>
          <w:sz w:val="22"/>
          <w:szCs w:val="22"/>
        </w:rPr>
      </w:pPr>
      <w:r>
        <w:rPr>
          <w:sz w:val="22"/>
          <w:szCs w:val="22"/>
        </w:rPr>
        <w:t>Also mentioned the math behind protein-ligand binding complex representation</w:t>
      </w:r>
    </w:p>
    <w:p w14:paraId="7D9F7F13" w14:textId="77777777" w:rsidR="00934425" w:rsidRDefault="00934425">
      <w:pPr>
        <w:rPr>
          <w:sz w:val="22"/>
          <w:szCs w:val="22"/>
        </w:rPr>
      </w:pPr>
    </w:p>
    <w:p w14:paraId="7120C9A1" w14:textId="01627F01" w:rsidR="00934425" w:rsidRPr="00934425" w:rsidRDefault="00934425">
      <w:hyperlink r:id="rId6" w:history="1">
        <w:r w:rsidRPr="00934425">
          <w:rPr>
            <w:rStyle w:val="Hyperlink"/>
          </w:rPr>
          <w:t>https://pmc.ncbi.nlm.nih.gov/articles/PMC2671234/</w:t>
        </w:r>
      </w:hyperlink>
    </w:p>
    <w:p w14:paraId="6FC2413E" w14:textId="77777777" w:rsidR="00934425" w:rsidRPr="00934425" w:rsidRDefault="00934425" w:rsidP="00934425">
      <w:r w:rsidRPr="00934425">
        <w:t>Computational evaluation of protein – small molecule binding</w:t>
      </w:r>
    </w:p>
    <w:p w14:paraId="7A68DAE4" w14:textId="72C36FB3" w:rsidR="00934425" w:rsidRDefault="00934425">
      <w:pPr>
        <w:rPr>
          <w:sz w:val="22"/>
          <w:szCs w:val="22"/>
        </w:rPr>
      </w:pPr>
      <w:r>
        <w:rPr>
          <w:sz w:val="22"/>
          <w:szCs w:val="22"/>
        </w:rPr>
        <w:t xml:space="preserve"> </w:t>
      </w:r>
      <w:r w:rsidR="005369E8">
        <w:rPr>
          <w:sz w:val="22"/>
          <w:szCs w:val="22"/>
        </w:rPr>
        <w:t xml:space="preserve">Class 1: accurate but slow, uses molecular dynamics stimulations. Are in these stimulations represented using a force field. Annihilation, 2 systems are simultaneously simulated using MD. System 1 uses protein and small complex in water and system 2 initially only water molecules. Then it uncouples the small molecule from system 1 and puts it into 2 and measures the free energy change. Seperation, single system of protein and small complex in water. Gradually unbinds the small molecule and then just measures the free energy change. </w:t>
      </w:r>
    </w:p>
    <w:p w14:paraId="148FB66D" w14:textId="345C4E82" w:rsidR="005369E8" w:rsidRDefault="005369E8">
      <w:pPr>
        <w:rPr>
          <w:sz w:val="22"/>
          <w:szCs w:val="22"/>
        </w:rPr>
      </w:pPr>
      <w:r>
        <w:rPr>
          <w:sz w:val="22"/>
          <w:szCs w:val="22"/>
        </w:rPr>
        <w:t xml:space="preserve">Class 2: fast but approximate, treats the protein as rigid and replace the water molecules with a continuum description of solvation. Only the ligand degrees of freedom need to be sampled. </w:t>
      </w:r>
    </w:p>
    <w:p w14:paraId="7BEEF802" w14:textId="02CED53D" w:rsidR="00995F33" w:rsidRDefault="00995F33">
      <w:pPr>
        <w:rPr>
          <w:sz w:val="22"/>
          <w:szCs w:val="22"/>
        </w:rPr>
      </w:pPr>
      <w:r>
        <w:rPr>
          <w:sz w:val="22"/>
          <w:szCs w:val="22"/>
        </w:rPr>
        <w:t xml:space="preserve">I don’t know how much this study is useful. </w:t>
      </w:r>
    </w:p>
    <w:p w14:paraId="2C4DACE7" w14:textId="39C9E9DD" w:rsidR="00995F33" w:rsidRPr="00995F33" w:rsidRDefault="00995F33">
      <w:hyperlink r:id="rId7" w:history="1">
        <w:r w:rsidRPr="00995F33">
          <w:rPr>
            <w:rStyle w:val="Hyperlink"/>
          </w:rPr>
          <w:t>http://nature.com/articles/s41467-024-54440-6</w:t>
        </w:r>
      </w:hyperlink>
    </w:p>
    <w:p w14:paraId="50D864AE" w14:textId="2EAF515C" w:rsidR="00995F33" w:rsidRDefault="00995F33">
      <w:r w:rsidRPr="00995F33">
        <w:t>Interformer: an interaction-aware model for protein-ligand docking and affinity prediction</w:t>
      </w:r>
    </w:p>
    <w:p w14:paraId="02BD147C" w14:textId="77777777" w:rsidR="00995F33" w:rsidRDefault="00995F33">
      <w:pPr>
        <w:rPr>
          <w:sz w:val="22"/>
          <w:szCs w:val="22"/>
        </w:rPr>
      </w:pPr>
      <w:r>
        <w:rPr>
          <w:sz w:val="22"/>
          <w:szCs w:val="22"/>
        </w:rPr>
        <w:t>Interformer: unified graph-transformer model that explicitly models non-covalent interactions.</w:t>
      </w:r>
    </w:p>
    <w:p w14:paraId="6DD40739" w14:textId="2010B7C4" w:rsidR="00995F33" w:rsidRDefault="00051D67">
      <w:pPr>
        <w:rPr>
          <w:sz w:val="22"/>
          <w:szCs w:val="22"/>
        </w:rPr>
      </w:pPr>
      <w:r>
        <w:rPr>
          <w:sz w:val="22"/>
          <w:szCs w:val="22"/>
        </w:rPr>
        <w:t>Proteins and ligand are represented as graphs (atoms=nodes, edges encode proximity/distance). Nodes</w:t>
      </w:r>
      <w:r w:rsidR="00995F33">
        <w:rPr>
          <w:sz w:val="22"/>
          <w:szCs w:val="22"/>
        </w:rPr>
        <w:t xml:space="preserve"> </w:t>
      </w:r>
      <w:r>
        <w:rPr>
          <w:sz w:val="22"/>
          <w:szCs w:val="22"/>
        </w:rPr>
        <w:t xml:space="preserve">use pharmacophore atom types as features; edges use Euclidian distance. </w:t>
      </w:r>
    </w:p>
    <w:p w14:paraId="4DFB2A20" w14:textId="38817B20" w:rsidR="00051D67" w:rsidRDefault="00051D67">
      <w:pPr>
        <w:rPr>
          <w:sz w:val="22"/>
          <w:szCs w:val="22"/>
        </w:rPr>
      </w:pPr>
      <w:r>
        <w:rPr>
          <w:sz w:val="22"/>
          <w:szCs w:val="22"/>
        </w:rPr>
        <w:t xml:space="preserve">Uses mixture-density network (MDN). For each protein-ligand atom pair the model predicts parameters for four gaussian components. The MDN models interaction-specific distance preferences rather than a single generic distance loss. </w:t>
      </w:r>
    </w:p>
    <w:p w14:paraId="46D7C96C" w14:textId="75932D07" w:rsidR="00051D67" w:rsidRDefault="00051D67">
      <w:pPr>
        <w:rPr>
          <w:sz w:val="22"/>
          <w:szCs w:val="22"/>
        </w:rPr>
      </w:pPr>
      <w:r>
        <w:rPr>
          <w:sz w:val="22"/>
          <w:szCs w:val="22"/>
        </w:rPr>
        <w:t>Generates a pose score and an affinity value, model then produces pose-sensitive affinity predictions.</w:t>
      </w:r>
    </w:p>
    <w:p w14:paraId="10D32223" w14:textId="5A3F8C7B" w:rsidR="00E70D71" w:rsidRDefault="00051D67">
      <w:pPr>
        <w:rPr>
          <w:sz w:val="22"/>
          <w:szCs w:val="22"/>
        </w:rPr>
      </w:pPr>
      <w:r>
        <w:rPr>
          <w:sz w:val="22"/>
          <w:szCs w:val="22"/>
        </w:rPr>
        <w:t>Uses databases PDBBind and others</w:t>
      </w:r>
    </w:p>
    <w:p w14:paraId="621E9F60" w14:textId="77777777" w:rsidR="00844851" w:rsidRDefault="00844851">
      <w:pPr>
        <w:rPr>
          <w:sz w:val="22"/>
          <w:szCs w:val="22"/>
        </w:rPr>
      </w:pPr>
    </w:p>
    <w:p w14:paraId="46659583" w14:textId="73D6E156" w:rsidR="00844851" w:rsidRDefault="00084D56">
      <w:pPr>
        <w:rPr>
          <w:sz w:val="22"/>
          <w:szCs w:val="22"/>
        </w:rPr>
      </w:pPr>
      <w:r>
        <w:rPr>
          <w:sz w:val="22"/>
          <w:szCs w:val="22"/>
        </w:rPr>
        <w:t>Protein embedding: compact way to describe features</w:t>
      </w:r>
    </w:p>
    <w:p w14:paraId="52FD2D83" w14:textId="77777777" w:rsidR="00E70D71" w:rsidRDefault="00E70D71">
      <w:pPr>
        <w:rPr>
          <w:sz w:val="22"/>
          <w:szCs w:val="22"/>
        </w:rPr>
      </w:pPr>
      <w:r>
        <w:rPr>
          <w:sz w:val="22"/>
          <w:szCs w:val="22"/>
        </w:rPr>
        <w:br w:type="page"/>
      </w:r>
    </w:p>
    <w:p w14:paraId="01CBA9E4" w14:textId="409EE32F" w:rsidR="00E70D71" w:rsidRPr="00630B82" w:rsidRDefault="00E70D71">
      <w:r w:rsidRPr="00630B82">
        <w:lastRenderedPageBreak/>
        <w:t xml:space="preserve">Model </w:t>
      </w:r>
      <w:r w:rsidR="00EE3755">
        <w:t>building</w:t>
      </w:r>
      <w:r w:rsidRPr="00630B82">
        <w:t>:</w:t>
      </w:r>
    </w:p>
    <w:p w14:paraId="3015826B" w14:textId="070BEF75" w:rsidR="00E70D71" w:rsidRDefault="00E70D71">
      <w:pPr>
        <w:rPr>
          <w:sz w:val="22"/>
          <w:szCs w:val="22"/>
        </w:rPr>
      </w:pPr>
      <w:r>
        <w:rPr>
          <w:sz w:val="22"/>
          <w:szCs w:val="22"/>
        </w:rPr>
        <w:t>Features:</w:t>
      </w:r>
      <w:r w:rsidR="00617BD1">
        <w:rPr>
          <w:sz w:val="22"/>
          <w:szCs w:val="22"/>
        </w:rPr>
        <w:t xml:space="preserve"> </w:t>
      </w:r>
      <w:r w:rsidR="003E204A">
        <w:rPr>
          <w:sz w:val="22"/>
          <w:szCs w:val="22"/>
        </w:rPr>
        <w:t>de</w:t>
      </w:r>
      <w:r w:rsidR="00617BD1">
        <w:rPr>
          <w:sz w:val="22"/>
          <w:szCs w:val="22"/>
        </w:rPr>
        <w:t>script</w:t>
      </w:r>
      <w:r w:rsidR="00665AFD">
        <w:rPr>
          <w:sz w:val="22"/>
          <w:szCs w:val="22"/>
        </w:rPr>
        <w:t>o</w:t>
      </w:r>
      <w:r w:rsidR="00617BD1">
        <w:rPr>
          <w:sz w:val="22"/>
          <w:szCs w:val="22"/>
        </w:rPr>
        <w:t xml:space="preserve">rs, </w:t>
      </w:r>
      <w:r w:rsidR="00815EA0">
        <w:rPr>
          <w:sz w:val="22"/>
          <w:szCs w:val="22"/>
        </w:rPr>
        <w:t xml:space="preserve">if it works structure. </w:t>
      </w:r>
    </w:p>
    <w:p w14:paraId="57475058" w14:textId="75639935" w:rsidR="003E204A" w:rsidRDefault="003E204A">
      <w:pPr>
        <w:rPr>
          <w:sz w:val="22"/>
          <w:szCs w:val="22"/>
        </w:rPr>
      </w:pPr>
      <w:r>
        <w:rPr>
          <w:sz w:val="22"/>
          <w:szCs w:val="22"/>
        </w:rPr>
        <w:t xml:space="preserve">Protein descriptors: </w:t>
      </w:r>
      <w:r w:rsidR="008C3AE3">
        <w:rPr>
          <w:sz w:val="22"/>
          <w:szCs w:val="22"/>
        </w:rPr>
        <w:t xml:space="preserve">Peptidy </w:t>
      </w:r>
      <w:r w:rsidR="00857D7C">
        <w:rPr>
          <w:sz w:val="22"/>
          <w:szCs w:val="22"/>
        </w:rPr>
        <w:t>features</w:t>
      </w:r>
    </w:p>
    <w:p w14:paraId="3773DF4D" w14:textId="5490931C" w:rsidR="008C3AE3" w:rsidRDefault="008C3AE3">
      <w:pPr>
        <w:rPr>
          <w:sz w:val="22"/>
          <w:szCs w:val="22"/>
        </w:rPr>
      </w:pPr>
      <w:r>
        <w:rPr>
          <w:sz w:val="22"/>
          <w:szCs w:val="22"/>
        </w:rPr>
        <w:t xml:space="preserve">Ligand descriptors: RDkit features </w:t>
      </w:r>
    </w:p>
    <w:p w14:paraId="7C2CF7A8" w14:textId="185A0835" w:rsidR="00966E71" w:rsidRDefault="00E70D71">
      <w:pPr>
        <w:rPr>
          <w:sz w:val="22"/>
          <w:szCs w:val="22"/>
        </w:rPr>
      </w:pPr>
      <w:r>
        <w:rPr>
          <w:sz w:val="22"/>
          <w:szCs w:val="22"/>
        </w:rPr>
        <w:t>Features binding:</w:t>
      </w:r>
      <w:r w:rsidR="00A95B8F">
        <w:rPr>
          <w:sz w:val="22"/>
          <w:szCs w:val="22"/>
        </w:rPr>
        <w:t xml:space="preserve"> another round </w:t>
      </w:r>
      <w:r w:rsidR="00966E71">
        <w:rPr>
          <w:sz w:val="22"/>
          <w:szCs w:val="22"/>
        </w:rPr>
        <w:t>of literature search</w:t>
      </w:r>
    </w:p>
    <w:p w14:paraId="2A22B7D1" w14:textId="6A66C35F" w:rsidR="00E77F65" w:rsidRDefault="00E70D71">
      <w:pPr>
        <w:rPr>
          <w:sz w:val="22"/>
          <w:szCs w:val="22"/>
        </w:rPr>
      </w:pPr>
      <w:r>
        <w:rPr>
          <w:sz w:val="22"/>
          <w:szCs w:val="22"/>
        </w:rPr>
        <w:t xml:space="preserve">Model: </w:t>
      </w:r>
      <w:r w:rsidR="00617BD1">
        <w:rPr>
          <w:sz w:val="22"/>
          <w:szCs w:val="22"/>
        </w:rPr>
        <w:t>random forest, boosting forest</w:t>
      </w:r>
    </w:p>
    <w:p w14:paraId="6B841F1A" w14:textId="77777777" w:rsidR="00E70D71" w:rsidRDefault="00E70D71">
      <w:pPr>
        <w:rPr>
          <w:sz w:val="22"/>
          <w:szCs w:val="22"/>
        </w:rPr>
      </w:pPr>
    </w:p>
    <w:p w14:paraId="0FA17EBB" w14:textId="61297AA3" w:rsidR="00966E71" w:rsidRDefault="00966E71">
      <w:r w:rsidRPr="00EE3755">
        <w:t>Agreements:</w:t>
      </w:r>
    </w:p>
    <w:p w14:paraId="6FA97859" w14:textId="397F269F" w:rsidR="006A33D3" w:rsidRDefault="00857D7C">
      <w:pPr>
        <w:rPr>
          <w:sz w:val="22"/>
          <w:szCs w:val="22"/>
        </w:rPr>
      </w:pPr>
      <w:r>
        <w:rPr>
          <w:sz w:val="22"/>
          <w:szCs w:val="22"/>
        </w:rPr>
        <w:t xml:space="preserve">Next meeting: </w:t>
      </w:r>
      <w:r w:rsidR="00E165D5">
        <w:rPr>
          <w:sz w:val="22"/>
          <w:szCs w:val="22"/>
        </w:rPr>
        <w:t>09/12</w:t>
      </w:r>
      <w:r w:rsidR="000A1858">
        <w:rPr>
          <w:sz w:val="22"/>
          <w:szCs w:val="22"/>
        </w:rPr>
        <w:t xml:space="preserve"> at 11.00, Arya online.</w:t>
      </w:r>
    </w:p>
    <w:p w14:paraId="764112E7" w14:textId="755AAE01" w:rsidR="000A1858" w:rsidRDefault="000A1858">
      <w:pPr>
        <w:rPr>
          <w:sz w:val="22"/>
          <w:szCs w:val="22"/>
        </w:rPr>
      </w:pPr>
      <w:r>
        <w:rPr>
          <w:sz w:val="22"/>
          <w:szCs w:val="22"/>
        </w:rPr>
        <w:t xml:space="preserve">Evelien: </w:t>
      </w:r>
      <w:r w:rsidR="00665AFD">
        <w:rPr>
          <w:sz w:val="22"/>
          <w:szCs w:val="22"/>
        </w:rPr>
        <w:t>function for descriptors is done</w:t>
      </w:r>
      <w:r w:rsidR="004B42CB">
        <w:rPr>
          <w:sz w:val="22"/>
          <w:szCs w:val="22"/>
        </w:rPr>
        <w:t xml:space="preserve">, template </w:t>
      </w:r>
      <w:r w:rsidR="00F13907">
        <w:rPr>
          <w:sz w:val="22"/>
          <w:szCs w:val="22"/>
        </w:rPr>
        <w:t>proposal</w:t>
      </w:r>
    </w:p>
    <w:p w14:paraId="19DB8F34" w14:textId="358589DF" w:rsidR="00665AFD" w:rsidRDefault="00665AFD">
      <w:pPr>
        <w:rPr>
          <w:sz w:val="22"/>
          <w:szCs w:val="22"/>
        </w:rPr>
      </w:pPr>
      <w:r>
        <w:rPr>
          <w:sz w:val="22"/>
          <w:szCs w:val="22"/>
        </w:rPr>
        <w:t xml:space="preserve">Arya: </w:t>
      </w:r>
      <w:r w:rsidR="00BB15F9">
        <w:rPr>
          <w:sz w:val="22"/>
          <w:szCs w:val="22"/>
        </w:rPr>
        <w:t>function</w:t>
      </w:r>
      <w:r w:rsidR="00B962C2">
        <w:rPr>
          <w:sz w:val="22"/>
          <w:szCs w:val="22"/>
        </w:rPr>
        <w:t>, one-hot encoding</w:t>
      </w:r>
      <w:r w:rsidR="009A6ED9">
        <w:rPr>
          <w:sz w:val="22"/>
          <w:szCs w:val="22"/>
        </w:rPr>
        <w:t xml:space="preserve"> -&gt; descriptors, class protein</w:t>
      </w:r>
      <w:r w:rsidR="00F92584">
        <w:rPr>
          <w:sz w:val="22"/>
          <w:szCs w:val="22"/>
        </w:rPr>
        <w:t xml:space="preserve"> is done</w:t>
      </w:r>
    </w:p>
    <w:p w14:paraId="74CF1161" w14:textId="2B2CB534" w:rsidR="00CA2BEE" w:rsidRPr="00844851" w:rsidRDefault="00CA2BEE">
      <w:pPr>
        <w:rPr>
          <w:sz w:val="22"/>
          <w:szCs w:val="22"/>
        </w:rPr>
      </w:pPr>
      <w:r>
        <w:rPr>
          <w:sz w:val="22"/>
          <w:szCs w:val="22"/>
        </w:rPr>
        <w:t xml:space="preserve">Iris: </w:t>
      </w:r>
      <w:r w:rsidR="00810BCC">
        <w:rPr>
          <w:sz w:val="22"/>
          <w:szCs w:val="22"/>
        </w:rPr>
        <w:t>2 functions, uniprot-&gt;</w:t>
      </w:r>
      <w:r w:rsidR="00FF699D">
        <w:rPr>
          <w:sz w:val="22"/>
          <w:szCs w:val="22"/>
        </w:rPr>
        <w:t>sequence, sequence-&gt;one-hot encoding</w:t>
      </w:r>
      <w:r w:rsidR="00F92584">
        <w:rPr>
          <w:sz w:val="22"/>
          <w:szCs w:val="22"/>
        </w:rPr>
        <w:t xml:space="preserve"> are done</w:t>
      </w:r>
    </w:p>
    <w:p w14:paraId="7236182E" w14:textId="77777777" w:rsidR="00966E71" w:rsidRDefault="00966E71">
      <w:pPr>
        <w:rPr>
          <w:sz w:val="22"/>
          <w:szCs w:val="22"/>
        </w:rPr>
      </w:pPr>
    </w:p>
    <w:p w14:paraId="58658D0C" w14:textId="77777777" w:rsidR="00966E71" w:rsidRPr="00995F33" w:rsidRDefault="00966E71">
      <w:pPr>
        <w:rPr>
          <w:sz w:val="22"/>
          <w:szCs w:val="22"/>
        </w:rPr>
      </w:pPr>
    </w:p>
    <w:sectPr w:rsidR="00966E71" w:rsidRPr="00995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263"/>
    <w:rsid w:val="00051D67"/>
    <w:rsid w:val="00084D56"/>
    <w:rsid w:val="000A1858"/>
    <w:rsid w:val="003E204A"/>
    <w:rsid w:val="004A4ED4"/>
    <w:rsid w:val="004B42CB"/>
    <w:rsid w:val="00534263"/>
    <w:rsid w:val="005369E8"/>
    <w:rsid w:val="00617BD1"/>
    <w:rsid w:val="00630B82"/>
    <w:rsid w:val="00665AFD"/>
    <w:rsid w:val="006A33D3"/>
    <w:rsid w:val="006D3D81"/>
    <w:rsid w:val="00810BCC"/>
    <w:rsid w:val="00815EA0"/>
    <w:rsid w:val="00844851"/>
    <w:rsid w:val="00857D7C"/>
    <w:rsid w:val="008C3AE3"/>
    <w:rsid w:val="00934425"/>
    <w:rsid w:val="00966E71"/>
    <w:rsid w:val="00995F33"/>
    <w:rsid w:val="009A6ED9"/>
    <w:rsid w:val="00A95B8F"/>
    <w:rsid w:val="00A971EA"/>
    <w:rsid w:val="00B55182"/>
    <w:rsid w:val="00B962C2"/>
    <w:rsid w:val="00BB15F9"/>
    <w:rsid w:val="00CA2BEE"/>
    <w:rsid w:val="00E165D5"/>
    <w:rsid w:val="00E70D71"/>
    <w:rsid w:val="00E77F65"/>
    <w:rsid w:val="00EE3755"/>
    <w:rsid w:val="00F13907"/>
    <w:rsid w:val="00F82402"/>
    <w:rsid w:val="00F92584"/>
    <w:rsid w:val="00FA2AE8"/>
    <w:rsid w:val="00FB745C"/>
    <w:rsid w:val="00FF699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A92C"/>
  <w15:chartTrackingRefBased/>
  <w15:docId w15:val="{496654E1-D492-4678-AA3C-C45840A7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263"/>
    <w:rPr>
      <w:rFonts w:eastAsiaTheme="majorEastAsia" w:cstheme="majorBidi"/>
      <w:color w:val="272727" w:themeColor="text1" w:themeTint="D8"/>
    </w:rPr>
  </w:style>
  <w:style w:type="paragraph" w:styleId="Title">
    <w:name w:val="Title"/>
    <w:basedOn w:val="Normal"/>
    <w:next w:val="Normal"/>
    <w:link w:val="TitleChar"/>
    <w:uiPriority w:val="10"/>
    <w:qFormat/>
    <w:rsid w:val="00534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263"/>
    <w:pPr>
      <w:spacing w:before="160"/>
      <w:jc w:val="center"/>
    </w:pPr>
    <w:rPr>
      <w:i/>
      <w:iCs/>
      <w:color w:val="404040" w:themeColor="text1" w:themeTint="BF"/>
    </w:rPr>
  </w:style>
  <w:style w:type="character" w:customStyle="1" w:styleId="QuoteChar">
    <w:name w:val="Quote Char"/>
    <w:basedOn w:val="DefaultParagraphFont"/>
    <w:link w:val="Quote"/>
    <w:uiPriority w:val="29"/>
    <w:rsid w:val="00534263"/>
    <w:rPr>
      <w:i/>
      <w:iCs/>
      <w:color w:val="404040" w:themeColor="text1" w:themeTint="BF"/>
    </w:rPr>
  </w:style>
  <w:style w:type="paragraph" w:styleId="ListParagraph">
    <w:name w:val="List Paragraph"/>
    <w:basedOn w:val="Normal"/>
    <w:uiPriority w:val="34"/>
    <w:qFormat/>
    <w:rsid w:val="00534263"/>
    <w:pPr>
      <w:ind w:left="720"/>
      <w:contextualSpacing/>
    </w:pPr>
  </w:style>
  <w:style w:type="character" w:styleId="IntenseEmphasis">
    <w:name w:val="Intense Emphasis"/>
    <w:basedOn w:val="DefaultParagraphFont"/>
    <w:uiPriority w:val="21"/>
    <w:qFormat/>
    <w:rsid w:val="00534263"/>
    <w:rPr>
      <w:i/>
      <w:iCs/>
      <w:color w:val="0F4761" w:themeColor="accent1" w:themeShade="BF"/>
    </w:rPr>
  </w:style>
  <w:style w:type="paragraph" w:styleId="IntenseQuote">
    <w:name w:val="Intense Quote"/>
    <w:basedOn w:val="Normal"/>
    <w:next w:val="Normal"/>
    <w:link w:val="IntenseQuoteChar"/>
    <w:uiPriority w:val="30"/>
    <w:qFormat/>
    <w:rsid w:val="00534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263"/>
    <w:rPr>
      <w:i/>
      <w:iCs/>
      <w:color w:val="0F4761" w:themeColor="accent1" w:themeShade="BF"/>
    </w:rPr>
  </w:style>
  <w:style w:type="character" w:styleId="IntenseReference">
    <w:name w:val="Intense Reference"/>
    <w:basedOn w:val="DefaultParagraphFont"/>
    <w:uiPriority w:val="32"/>
    <w:qFormat/>
    <w:rsid w:val="00534263"/>
    <w:rPr>
      <w:b/>
      <w:bCs/>
      <w:smallCaps/>
      <w:color w:val="0F4761" w:themeColor="accent1" w:themeShade="BF"/>
      <w:spacing w:val="5"/>
    </w:rPr>
  </w:style>
  <w:style w:type="character" w:styleId="Hyperlink">
    <w:name w:val="Hyperlink"/>
    <w:basedOn w:val="DefaultParagraphFont"/>
    <w:uiPriority w:val="99"/>
    <w:unhideWhenUsed/>
    <w:rsid w:val="00534263"/>
    <w:rPr>
      <w:color w:val="467886" w:themeColor="hyperlink"/>
      <w:u w:val="single"/>
    </w:rPr>
  </w:style>
  <w:style w:type="character" w:styleId="UnresolvedMention">
    <w:name w:val="Unresolved Mention"/>
    <w:basedOn w:val="DefaultParagraphFont"/>
    <w:uiPriority w:val="99"/>
    <w:semiHidden/>
    <w:unhideWhenUsed/>
    <w:rsid w:val="00534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nature.com/articles/s41467-024-54440-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2671234/" TargetMode="External"/><Relationship Id="rId5" Type="http://schemas.openxmlformats.org/officeDocument/2006/relationships/image" Target="media/image1.jpeg"/><Relationship Id="rId4" Type="http://schemas.openxmlformats.org/officeDocument/2006/relationships/hyperlink" Target="https://www.sciencedirect.com/science/article/pii/S1532046425000450?via%3Dihub"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Peeters, Iris</dc:creator>
  <cp:keywords/>
  <dc:description/>
  <cp:lastModifiedBy>Peeters, Iris</cp:lastModifiedBy>
  <cp:revision>29</cp:revision>
  <dcterms:created xsi:type="dcterms:W3CDTF">2025-12-04T20:14:00Z</dcterms:created>
  <dcterms:modified xsi:type="dcterms:W3CDTF">2025-12-05T12:02:00Z</dcterms:modified>
</cp:coreProperties>
</file>