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720" w:firstLine="0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ind w:left="720" w:hanging="36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Main workflow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(checked by Denis Dudas)</w:t>
      </w:r>
      <w:r w:rsidDel="00000000" w:rsidR="00000000" w:rsidRPr="00000000">
        <w:rPr>
          <w:highlight w:val="white"/>
          <w:rtl w:val="0"/>
        </w:rPr>
        <w:t xml:space="preserve"> - 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adaptive radiotherapy workflow with ML parts included in it(independent AI segmentation and deformable image registration). </w:t>
      </w:r>
    </w:p>
    <w:p w:rsidR="00000000" w:rsidDel="00000000" w:rsidP="00000000" w:rsidRDefault="00000000" w:rsidRPr="00000000" w14:paraId="00000003">
      <w:pPr>
        <w:ind w:left="720" w:firstLine="0"/>
        <w:rPr>
          <w:sz w:val="21"/>
          <w:szCs w:val="21"/>
          <w:highlight w:val="whit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The Segmentation can be done manually.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Theoretical workflow 1 - the idea is to treat the sCT as a deformed CT and use basic image registration, for which we do not need segmentation for sCT, and just perform image registration between pCT and sCT.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Theoretical workflow 2 - the idea is to treat the sCT as a deformed CT and perform the segmentation on the sCT.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Deformable Image Registation Training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(checked by Denis Dudas)</w:t>
      </w:r>
      <w:r w:rsidDel="00000000" w:rsidR="00000000" w:rsidRPr="00000000">
        <w:rPr>
          <w:highlight w:val="white"/>
          <w:rtl w:val="0"/>
        </w:rPr>
        <w:t xml:space="preserve"> - it is a diagram for the current selected approach for DIR training, which includes generating sCT.</w:t>
      </w:r>
    </w:p>
    <w:p w:rsidR="00000000" w:rsidDel="00000000" w:rsidP="00000000" w:rsidRDefault="00000000" w:rsidRPr="00000000" w14:paraId="00000007">
      <w:pPr>
        <w:ind w:left="720" w:firstLine="0"/>
        <w:rPr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rtl w:val="0"/>
        </w:rPr>
        <w:t xml:space="preserve">Motivation for Synthetic CT generation and 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treating masks from sCT(Synthetic CT) as masks for CBCT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believe that it can serve as an independent module for RTlab.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have CBCT data, but the data has poorer quality in comparison to CT.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CCT data we have is only from one institution - low variability.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Currently, we are using the model to help leblers to annotate CT. The model is only for CT. So the labelling for CBCT should be done from scratch.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>
          <w:color w:val="99999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