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08A4D">
      <w:pPr>
        <w:pStyle w:val="2"/>
        <w:bidi w:val="0"/>
        <w:jc w:val="center"/>
        <w:rPr>
          <w:rFonts w:hint="eastAsia" w:ascii="方正大标宋简体" w:hAnsi="方正大标宋简体" w:eastAsia="方正大标宋简体" w:cs="方正大标宋简体"/>
        </w:rPr>
      </w:pPr>
      <w:r>
        <w:rPr>
          <w:rFonts w:hint="eastAsia" w:ascii="方正大标宋简体" w:hAnsi="方正大标宋简体" w:eastAsia="方正大标宋简体" w:cs="方正大标宋简体"/>
        </w:rPr>
        <w:t>关于“湖南省马拉松赛事参赛人群调查问卷”预调研的信度与效度分析报告</w:t>
      </w:r>
    </w:p>
    <w:p w14:paraId="6072B5BE">
      <w:pPr>
        <w:rPr>
          <w:rFonts w:hint="eastAsia"/>
        </w:rPr>
      </w:pPr>
    </w:p>
    <w:p w14:paraId="04B0F6F1">
      <w:pPr>
        <w:pStyle w:val="5"/>
        <w:bidi w:val="0"/>
        <w:rPr>
          <w:rFonts w:hint="eastAsia"/>
        </w:rPr>
      </w:pPr>
      <w:r>
        <w:rPr>
          <w:rFonts w:hint="eastAsia"/>
        </w:rPr>
        <w:t>摘要</w:t>
      </w:r>
    </w:p>
    <w:p w14:paraId="286BAED7">
      <w:pPr>
        <w:bidi w:val="0"/>
        <w:rPr>
          <w:rFonts w:hint="eastAsia"/>
        </w:rPr>
      </w:pPr>
      <w:r>
        <w:rPr>
          <w:rFonts w:hint="eastAsia"/>
        </w:rPr>
        <w:t>本报告基于《湖南马拉松“跑不动但想冲”选手灵魂问卷》及其预调研数据（共534条记录），首先进行了严格的数据清洗，剔除了3份输入异常（分数超量）及随意填写（各题分数完全一致）的无效样本，最终筛选出122份有效已参赛者核心量表数据，从信度与效度两个维度进行严谨评估。本次分析重点利用清洗后的122份已参赛者对第14-17题（交通、时间成本、参赛费用、信息获取渠道）的真实评分数据，进行深入的量化信度分析。分析结果表明，该问卷在结构设计上逻辑清晰，核心量表具有良好的内部一致性信度（Cronbach’s α = 0.79），在内容效度和结构效度方面也表现良好。以下分析严格依据问卷原文与清洗后的预调研数据展开，并引用国内通用的中文文献作为理论支撑。</w:t>
      </w:r>
    </w:p>
    <w:p w14:paraId="4AB94E59">
      <w:pPr>
        <w:rPr>
          <w:rFonts w:hint="eastAsia"/>
        </w:rPr>
      </w:pPr>
    </w:p>
    <w:p w14:paraId="03715682">
      <w:pPr>
        <w:pStyle w:val="5"/>
        <w:bidi w:val="0"/>
        <w:rPr>
          <w:rFonts w:hint="eastAsia"/>
        </w:rPr>
      </w:pPr>
      <w:r>
        <w:rPr>
          <w:rFonts w:hint="eastAsia"/>
        </w:rPr>
        <w:t>一、 数据清洗与异常值处理</w:t>
      </w:r>
    </w:p>
    <w:p w14:paraId="4650B145">
      <w:pPr>
        <w:rPr>
          <w:rFonts w:hint="eastAsia"/>
        </w:rPr>
      </w:pPr>
      <w:r>
        <w:rPr>
          <w:rFonts w:hint="eastAsia"/>
        </w:rPr>
        <w:t>为确保信度分析结果的严谨性，首先对125份原始已参赛者数据进行了严格的数据清洗，剔除无效输入及异常值。</w:t>
      </w:r>
    </w:p>
    <w:p w14:paraId="36B6C606">
      <w:pPr>
        <w:rPr>
          <w:rFonts w:hint="eastAsia"/>
          <w:b/>
          <w:bCs/>
        </w:rPr>
      </w:pPr>
      <w:r>
        <w:rPr>
          <w:rFonts w:hint="eastAsia"/>
          <w:b/>
          <w:bCs/>
        </w:rPr>
        <w:t>1. 异常值识别与剔除标准</w:t>
      </w:r>
    </w:p>
    <w:p w14:paraId="740AC8C1">
      <w:pPr>
        <w:rPr>
          <w:rFonts w:hint="eastAsia"/>
        </w:rPr>
      </w:pPr>
      <w:r>
        <w:rPr>
          <w:rFonts w:hint="eastAsia"/>
        </w:rPr>
        <w:t>输入异常： 剔除评分不在0-100分区间内的样本。例如，样本中出现分数 &gt;100 的记录，视为无效。</w:t>
      </w:r>
    </w:p>
    <w:p w14:paraId="2791EE2A">
      <w:pPr>
        <w:rPr>
          <w:rFonts w:hint="eastAsia"/>
        </w:rPr>
      </w:pPr>
      <w:r>
        <w:rPr>
          <w:rFonts w:hint="eastAsia"/>
        </w:rPr>
        <w:t>随意填写剔除： 剔除所有题目（14-17题）评分完全一致（如均为81分）的样本，此类数据通常为随意填写，缺乏区分度，严重干扰信度系数计算，必须剔除。</w:t>
      </w:r>
    </w:p>
    <w:p w14:paraId="0006DC3A">
      <w:pPr>
        <w:rPr>
          <w:rFonts w:hint="eastAsia"/>
        </w:rPr>
      </w:pPr>
      <w:r>
        <w:rPr>
          <w:rFonts w:hint="eastAsia"/>
        </w:rPr>
        <w:t>逻辑一致性剔除： 剔除评分虽在有效范围内，但与整体评分模式显著不符的样本。</w:t>
      </w:r>
    </w:p>
    <w:p w14:paraId="33B685E7">
      <w:pPr>
        <w:rPr>
          <w:rFonts w:hint="eastAsia"/>
          <w:b/>
          <w:bCs/>
        </w:rPr>
      </w:pPr>
      <w:r>
        <w:rPr>
          <w:rFonts w:hint="eastAsia"/>
          <w:b/>
          <w:bCs/>
        </w:rPr>
        <w:t>2. 数据清洗结果</w:t>
      </w:r>
    </w:p>
    <w:p w14:paraId="7912AAD2">
      <w:pPr>
        <w:rPr>
          <w:rFonts w:hint="eastAsia"/>
        </w:rPr>
      </w:pPr>
      <w:r>
        <w:rPr>
          <w:rFonts w:hint="eastAsia"/>
        </w:rPr>
        <w:t>清洗前样本量： 125份。</w:t>
      </w:r>
    </w:p>
    <w:p w14:paraId="3B26BA3D">
      <w:pPr>
        <w:rPr>
          <w:rFonts w:hint="eastAsia"/>
        </w:rPr>
      </w:pPr>
      <w:r>
        <w:rPr>
          <w:rFonts w:hint="eastAsia"/>
        </w:rPr>
        <w:t>剔除样本量： 3份。</w:t>
      </w:r>
    </w:p>
    <w:p w14:paraId="72D6DEFF">
      <w:pPr>
        <w:rPr>
          <w:rFonts w:hint="eastAsia"/>
        </w:rPr>
      </w:pPr>
      <w:r>
        <w:rPr>
          <w:rFonts w:hint="eastAsia"/>
        </w:rPr>
        <w:t>清洗后有效样本量： 122份。</w:t>
      </w:r>
    </w:p>
    <w:p w14:paraId="7407DDF1">
      <w:pPr>
        <w:rPr>
          <w:rFonts w:hint="eastAsia"/>
        </w:rPr>
      </w:pPr>
      <w:r>
        <w:rPr>
          <w:rFonts w:hint="eastAsia"/>
        </w:rPr>
        <w:t>下文所有信度分析均基于清洗后的122份有效样本数据（N=122）展开。</w:t>
      </w:r>
    </w:p>
    <w:p w14:paraId="09B6268D">
      <w:pPr>
        <w:rPr>
          <w:rFonts w:hint="default"/>
          <w:b/>
          <w:bCs/>
          <w:highlight w:val="none"/>
          <w:lang w:val="en-US" w:eastAsia="zh-CN"/>
        </w:rPr>
      </w:pPr>
      <w:r>
        <w:rPr>
          <w:rFonts w:hint="eastAsia"/>
          <w:b/>
          <w:bCs/>
          <w:highlight w:val="none"/>
          <w:lang w:val="en-US" w:eastAsia="zh-CN"/>
        </w:rPr>
        <w:t>3.数据特征分布</w:t>
      </w:r>
    </w:p>
    <w:p w14:paraId="446C1DE8">
      <w:pPr>
        <w:rPr>
          <w:rFonts w:hint="default"/>
          <w:b/>
          <w:bCs/>
          <w:lang w:val="en-US" w:eastAsia="zh-CN"/>
        </w:rPr>
      </w:pPr>
      <w:r>
        <w:rPr>
          <w:rFonts w:hint="default"/>
          <w:b w:val="0"/>
          <w:bCs w:val="0"/>
          <w:lang w:val="en-US" w:eastAsia="zh-CN"/>
        </w:rPr>
        <w:t>描述性统计显示（见图 1），在12</w:t>
      </w:r>
      <w:r>
        <w:rPr>
          <w:rFonts w:hint="eastAsia"/>
          <w:b w:val="0"/>
          <w:bCs w:val="0"/>
          <w:lang w:val="en-US" w:eastAsia="zh-CN"/>
        </w:rPr>
        <w:t>2</w:t>
      </w:r>
      <w:r>
        <w:rPr>
          <w:rFonts w:hint="default"/>
          <w:b w:val="0"/>
          <w:bCs w:val="0"/>
          <w:lang w:val="en-US" w:eastAsia="zh-CN"/>
        </w:rPr>
        <w:t>名具有马拉松参赛经验的有效样本中，年龄结构呈现出以青壮年为主的特征。其中，19-30岁及31-45岁群体占比最大，这与马拉松赛事高体能消耗的特性相符。样本覆盖了从18岁以下至60岁以上的各年龄段，表明预调研数据在人群覆盖面上具有良好的代表性，为后续的信效度分析提供了稳健的数据基础。</w:t>
      </w:r>
    </w:p>
    <w:p w14:paraId="05355AC4">
      <w:pPr>
        <w:jc w:val="center"/>
      </w:pPr>
      <w:r>
        <w:drawing>
          <wp:inline distT="0" distB="0" distL="114300" distR="114300">
            <wp:extent cx="4048125" cy="3558540"/>
            <wp:effectExtent l="0" t="0" r="317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048125" cy="3558540"/>
                    </a:xfrm>
                    <a:prstGeom prst="rect">
                      <a:avLst/>
                    </a:prstGeom>
                    <a:noFill/>
                    <a:ln>
                      <a:noFill/>
                    </a:ln>
                  </pic:spPr>
                </pic:pic>
              </a:graphicData>
            </a:graphic>
          </wp:inline>
        </w:drawing>
      </w:r>
    </w:p>
    <w:p w14:paraId="67AAC53A">
      <w:pPr>
        <w:pStyle w:val="9"/>
        <w:bidi w:val="0"/>
        <w:rPr>
          <w:rFonts w:hint="default"/>
          <w:lang w:val="en-US" w:eastAsia="zh-CN"/>
        </w:rPr>
      </w:pPr>
      <w:r>
        <w:rPr>
          <w:rFonts w:hint="eastAsia"/>
          <w:lang w:val="en-US" w:eastAsia="zh-CN"/>
        </w:rPr>
        <w:t>图1  已参赛受访</w:t>
      </w:r>
      <w:bookmarkStart w:id="0" w:name="_GoBack"/>
      <w:bookmarkEnd w:id="0"/>
      <w:r>
        <w:rPr>
          <w:rFonts w:hint="eastAsia"/>
          <w:lang w:val="en-US" w:eastAsia="zh-CN"/>
        </w:rPr>
        <w:t>者年龄结构分布图</w:t>
      </w:r>
    </w:p>
    <w:p w14:paraId="275DBFB3">
      <w:pPr>
        <w:ind w:left="0" w:leftChars="0" w:firstLine="0" w:firstLineChars="0"/>
        <w:rPr>
          <w:rFonts w:hint="eastAsia"/>
        </w:rPr>
      </w:pPr>
    </w:p>
    <w:p w14:paraId="679398A1">
      <w:pPr>
        <w:pStyle w:val="5"/>
        <w:bidi w:val="0"/>
        <w:rPr>
          <w:rFonts w:hint="eastAsia"/>
        </w:rPr>
      </w:pPr>
      <w:r>
        <w:rPr>
          <w:rFonts w:hint="eastAsia"/>
        </w:rPr>
        <w:t>二、 信度分析</w:t>
      </w:r>
    </w:p>
    <w:p w14:paraId="3B23CBE2">
      <w:pPr>
        <w:rPr>
          <w:rFonts w:hint="eastAsia"/>
        </w:rPr>
      </w:pPr>
      <w:r>
        <w:rPr>
          <w:rFonts w:hint="eastAsia"/>
        </w:rPr>
        <w:t>信度指测量工具的稳定性与一致性，是评价问卷质量的首要指标。在问卷调查的统计分析中，通常包括重测信度、复本信度、内部一致性信度等（李灿 &amp; 辛玲, 2008）。由于本预调研为横断面数据，缺乏重测数据，故本分析主要聚焦于内部一致性信度，并基于清洗后的122份已参赛者有效样本进行量化分析。</w:t>
      </w:r>
    </w:p>
    <w:p w14:paraId="0EB88DCC">
      <w:pPr>
        <w:rPr>
          <w:rFonts w:hint="eastAsia"/>
        </w:rPr>
      </w:pPr>
      <w:r>
        <w:rPr>
          <w:rFonts w:hint="eastAsia"/>
          <w:b/>
          <w:bCs/>
        </w:rPr>
        <w:t>1. 内部一致性信度</w:t>
      </w:r>
    </w:p>
    <w:p w14:paraId="5794C04D">
      <w:pPr>
        <w:rPr>
          <w:rFonts w:hint="eastAsia"/>
        </w:rPr>
      </w:pPr>
      <w:r>
        <w:rPr>
          <w:rFonts w:hint="eastAsia"/>
        </w:rPr>
        <w:t>内部一致性通常通过Cronbach’s α系数来评估。问卷中第14-17题“以下外部因素对您参赛决策的影响程度”是核心量表，测量了交通、时间成本、参赛费用、信息获取渠道四个维度。以下分析基于清洗后的122份已参赛者有效样本数据（N=122）进行。</w:t>
      </w:r>
    </w:p>
    <w:p w14:paraId="2764D7F6">
      <w:pPr>
        <w:rPr>
          <w:rFonts w:hint="eastAsia"/>
          <w:b/>
          <w:bCs/>
        </w:rPr>
      </w:pPr>
      <w:r>
        <w:rPr>
          <w:rFonts w:hint="eastAsia"/>
          <w:b/>
          <w:bCs/>
        </w:rPr>
        <w:t>(1) 数据基础与描述性统计</w:t>
      </w:r>
    </w:p>
    <w:p w14:paraId="0DBFE5B8">
      <w:pPr>
        <w:rPr>
          <w:rFonts w:hint="eastAsia"/>
        </w:rPr>
      </w:pPr>
      <w:r>
        <w:rPr>
          <w:rFonts w:hint="eastAsia"/>
        </w:rPr>
        <w:t>对122份有效样本的统计分析结果如下：</w:t>
      </w:r>
    </w:p>
    <w:p w14:paraId="6F8472AC">
      <w:pPr>
        <w:pStyle w:val="9"/>
        <w:bidi w:val="0"/>
        <w:rPr>
          <w:rFonts w:hint="default"/>
          <w:lang w:val="en-US" w:eastAsia="zh-CN"/>
        </w:rPr>
      </w:pPr>
      <w:r>
        <w:rPr>
          <w:rFonts w:hint="eastAsia"/>
          <w:lang w:val="en-US" w:eastAsia="zh-CN"/>
        </w:rPr>
        <w:t>表1  样本统计分析结果</w:t>
      </w:r>
    </w:p>
    <w:tbl>
      <w:tblPr>
        <w:tblStyle w:val="7"/>
        <w:tblW w:w="86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4"/>
        <w:gridCol w:w="1240"/>
        <w:gridCol w:w="1727"/>
        <w:gridCol w:w="1232"/>
        <w:gridCol w:w="1206"/>
        <w:gridCol w:w="1281"/>
      </w:tblGrid>
      <w:tr w14:paraId="21E1D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4" w:type="dxa"/>
            <w:tcBorders>
              <w:top w:val="single" w:color="000000" w:sz="12" w:space="0"/>
              <w:left w:val="nil"/>
              <w:bottom w:val="single" w:color="000000" w:sz="4" w:space="0"/>
              <w:right w:val="nil"/>
              <w:tl2br w:val="nil"/>
            </w:tcBorders>
            <w:shd w:val="clear" w:color="auto" w:fill="FFFFFF"/>
          </w:tcPr>
          <w:p w14:paraId="2F42E45F">
            <w:pPr>
              <w:ind w:left="0" w:leftChars="0" w:firstLine="0" w:firstLineChars="0"/>
              <w:jc w:val="center"/>
              <w:rPr>
                <w:b w:val="0"/>
                <w:color w:val="000000"/>
              </w:rPr>
            </w:pPr>
            <w:r>
              <w:rPr>
                <w:rFonts w:hint="eastAsia"/>
                <w:b w:val="0"/>
                <w:color w:val="000000"/>
              </w:rPr>
              <w:t>题目</w:t>
            </w:r>
          </w:p>
        </w:tc>
        <w:tc>
          <w:tcPr>
            <w:tcW w:w="1240" w:type="dxa"/>
            <w:tcBorders>
              <w:top w:val="single" w:color="000000" w:sz="12" w:space="0"/>
              <w:left w:val="nil"/>
              <w:bottom w:val="single" w:color="000000" w:sz="4" w:space="0"/>
              <w:right w:val="nil"/>
            </w:tcBorders>
            <w:shd w:val="clear" w:color="auto" w:fill="FFFFFF"/>
          </w:tcPr>
          <w:p w14:paraId="3FAA5961">
            <w:pPr>
              <w:ind w:left="0" w:leftChars="0" w:firstLine="0" w:firstLineChars="0"/>
              <w:jc w:val="center"/>
              <w:rPr>
                <w:b w:val="0"/>
                <w:color w:val="000000"/>
              </w:rPr>
            </w:pPr>
            <w:r>
              <w:rPr>
                <w:rFonts w:hint="eastAsia"/>
                <w:b w:val="0"/>
                <w:color w:val="000000"/>
              </w:rPr>
              <w:t>均值</w:t>
            </w:r>
          </w:p>
        </w:tc>
        <w:tc>
          <w:tcPr>
            <w:tcW w:w="1727" w:type="dxa"/>
            <w:tcBorders>
              <w:top w:val="single" w:color="000000" w:sz="12" w:space="0"/>
              <w:left w:val="nil"/>
              <w:bottom w:val="single" w:color="000000" w:sz="4" w:space="0"/>
              <w:right w:val="nil"/>
            </w:tcBorders>
            <w:shd w:val="clear" w:color="auto" w:fill="FFFFFF"/>
          </w:tcPr>
          <w:p w14:paraId="53592017">
            <w:pPr>
              <w:ind w:left="0" w:leftChars="0" w:firstLine="0" w:firstLineChars="0"/>
              <w:jc w:val="center"/>
              <w:rPr>
                <w:b w:val="0"/>
                <w:color w:val="000000"/>
              </w:rPr>
            </w:pPr>
            <w:r>
              <w:rPr>
                <w:rFonts w:hint="eastAsia"/>
                <w:b w:val="0"/>
                <w:color w:val="000000"/>
              </w:rPr>
              <w:t>标准差 (SD)</w:t>
            </w:r>
          </w:p>
        </w:tc>
        <w:tc>
          <w:tcPr>
            <w:tcW w:w="1232" w:type="dxa"/>
            <w:tcBorders>
              <w:top w:val="single" w:color="000000" w:sz="12" w:space="0"/>
              <w:left w:val="nil"/>
              <w:bottom w:val="single" w:color="000000" w:sz="4" w:space="0"/>
              <w:right w:val="nil"/>
            </w:tcBorders>
            <w:shd w:val="clear" w:color="auto" w:fill="FFFFFF"/>
          </w:tcPr>
          <w:p w14:paraId="05ABE3EC">
            <w:pPr>
              <w:ind w:left="0" w:leftChars="0" w:firstLine="0" w:firstLineChars="0"/>
              <w:jc w:val="center"/>
              <w:rPr>
                <w:b w:val="0"/>
                <w:color w:val="000000"/>
              </w:rPr>
            </w:pPr>
            <w:r>
              <w:rPr>
                <w:rFonts w:hint="eastAsia"/>
                <w:b w:val="0"/>
                <w:color w:val="000000"/>
              </w:rPr>
              <w:t>方差</w:t>
            </w:r>
          </w:p>
        </w:tc>
        <w:tc>
          <w:tcPr>
            <w:tcW w:w="1206" w:type="dxa"/>
            <w:tcBorders>
              <w:top w:val="single" w:color="000000" w:sz="12" w:space="0"/>
              <w:left w:val="nil"/>
              <w:bottom w:val="single" w:color="000000" w:sz="4" w:space="0"/>
              <w:right w:val="nil"/>
            </w:tcBorders>
            <w:shd w:val="clear" w:color="auto" w:fill="FFFFFF"/>
          </w:tcPr>
          <w:p w14:paraId="5C94BCC5">
            <w:pPr>
              <w:ind w:left="0" w:leftChars="0" w:firstLine="0" w:firstLineChars="0"/>
              <w:jc w:val="center"/>
              <w:rPr>
                <w:b w:val="0"/>
                <w:color w:val="000000"/>
              </w:rPr>
            </w:pPr>
            <w:r>
              <w:rPr>
                <w:rFonts w:hint="eastAsia"/>
                <w:b w:val="0"/>
                <w:color w:val="000000"/>
              </w:rPr>
              <w:t>最小值</w:t>
            </w:r>
          </w:p>
        </w:tc>
        <w:tc>
          <w:tcPr>
            <w:tcW w:w="1281" w:type="dxa"/>
            <w:tcBorders>
              <w:top w:val="single" w:color="000000" w:sz="12" w:space="0"/>
              <w:left w:val="nil"/>
              <w:bottom w:val="single" w:color="000000" w:sz="4" w:space="0"/>
              <w:right w:val="nil"/>
            </w:tcBorders>
            <w:shd w:val="clear" w:color="auto" w:fill="FFFFFF"/>
          </w:tcPr>
          <w:p w14:paraId="33D25F7A">
            <w:pPr>
              <w:ind w:left="0" w:leftChars="0" w:firstLine="0" w:firstLineChars="0"/>
              <w:jc w:val="center"/>
              <w:rPr>
                <w:b w:val="0"/>
                <w:color w:val="000000"/>
              </w:rPr>
            </w:pPr>
            <w:r>
              <w:rPr>
                <w:rFonts w:hint="eastAsia"/>
                <w:b w:val="0"/>
                <w:color w:val="000000"/>
              </w:rPr>
              <w:t>最大值</w:t>
            </w:r>
          </w:p>
        </w:tc>
      </w:tr>
      <w:tr w14:paraId="4A4B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4" w:type="dxa"/>
            <w:tcBorders>
              <w:top w:val="single" w:color="000000" w:sz="4" w:space="0"/>
              <w:left w:val="nil"/>
              <w:bottom w:val="nil"/>
              <w:right w:val="nil"/>
            </w:tcBorders>
            <w:shd w:val="clear" w:color="auto" w:fill="FFFFFF"/>
          </w:tcPr>
          <w:p w14:paraId="7465BED3">
            <w:pPr>
              <w:ind w:left="0" w:leftChars="0" w:firstLine="0" w:firstLineChars="0"/>
              <w:jc w:val="center"/>
              <w:rPr>
                <w:b w:val="0"/>
                <w:color w:val="000000"/>
              </w:rPr>
            </w:pPr>
            <w:r>
              <w:rPr>
                <w:rFonts w:hint="eastAsia"/>
                <w:b w:val="0"/>
                <w:color w:val="000000"/>
              </w:rPr>
              <w:t>交通便捷性</w:t>
            </w:r>
          </w:p>
        </w:tc>
        <w:tc>
          <w:tcPr>
            <w:tcW w:w="1240" w:type="dxa"/>
            <w:tcBorders>
              <w:top w:val="single" w:color="000000" w:sz="4" w:space="0"/>
              <w:left w:val="nil"/>
              <w:bottom w:val="nil"/>
              <w:right w:val="nil"/>
            </w:tcBorders>
            <w:shd w:val="clear" w:color="auto" w:fill="FFFFFF"/>
          </w:tcPr>
          <w:p w14:paraId="37B1FF74">
            <w:pPr>
              <w:ind w:left="0" w:leftChars="0" w:firstLine="0" w:firstLineChars="0"/>
              <w:jc w:val="center"/>
              <w:rPr>
                <w:b w:val="0"/>
                <w:color w:val="000000"/>
              </w:rPr>
            </w:pPr>
            <w:r>
              <w:rPr>
                <w:rFonts w:hint="eastAsia"/>
                <w:b w:val="0"/>
                <w:color w:val="000000"/>
              </w:rPr>
              <w:t>60.35</w:t>
            </w:r>
          </w:p>
        </w:tc>
        <w:tc>
          <w:tcPr>
            <w:tcW w:w="1727" w:type="dxa"/>
            <w:tcBorders>
              <w:top w:val="single" w:color="000000" w:sz="4" w:space="0"/>
              <w:left w:val="nil"/>
              <w:bottom w:val="nil"/>
              <w:right w:val="nil"/>
            </w:tcBorders>
            <w:shd w:val="clear" w:color="auto" w:fill="FFFFFF"/>
          </w:tcPr>
          <w:p w14:paraId="04F3DBFE">
            <w:pPr>
              <w:ind w:left="0" w:leftChars="0" w:firstLine="0" w:firstLineChars="0"/>
              <w:jc w:val="center"/>
              <w:rPr>
                <w:b w:val="0"/>
                <w:color w:val="000000"/>
              </w:rPr>
            </w:pPr>
            <w:r>
              <w:rPr>
                <w:rFonts w:hint="eastAsia"/>
                <w:b w:val="0"/>
                <w:color w:val="000000"/>
              </w:rPr>
              <w:t>24.31</w:t>
            </w:r>
          </w:p>
        </w:tc>
        <w:tc>
          <w:tcPr>
            <w:tcW w:w="1232" w:type="dxa"/>
            <w:tcBorders>
              <w:top w:val="single" w:color="000000" w:sz="4" w:space="0"/>
              <w:left w:val="nil"/>
              <w:bottom w:val="nil"/>
              <w:right w:val="nil"/>
            </w:tcBorders>
            <w:shd w:val="clear" w:color="auto" w:fill="FFFFFF"/>
          </w:tcPr>
          <w:p w14:paraId="09792DB2">
            <w:pPr>
              <w:ind w:left="0" w:leftChars="0" w:firstLine="0" w:firstLineChars="0"/>
              <w:jc w:val="center"/>
              <w:rPr>
                <w:b w:val="0"/>
                <w:color w:val="000000"/>
              </w:rPr>
            </w:pPr>
            <w:r>
              <w:rPr>
                <w:rFonts w:hint="eastAsia"/>
                <w:b w:val="0"/>
                <w:color w:val="000000"/>
              </w:rPr>
              <w:t>590.88</w:t>
            </w:r>
          </w:p>
        </w:tc>
        <w:tc>
          <w:tcPr>
            <w:tcW w:w="1206" w:type="dxa"/>
            <w:tcBorders>
              <w:top w:val="single" w:color="000000" w:sz="4" w:space="0"/>
              <w:left w:val="nil"/>
              <w:bottom w:val="nil"/>
              <w:right w:val="nil"/>
            </w:tcBorders>
            <w:shd w:val="clear" w:color="auto" w:fill="FFFFFF"/>
          </w:tcPr>
          <w:p w14:paraId="548A466B">
            <w:pPr>
              <w:ind w:left="0" w:leftChars="0" w:firstLine="0" w:firstLineChars="0"/>
              <w:jc w:val="center"/>
              <w:rPr>
                <w:b w:val="0"/>
                <w:color w:val="000000"/>
              </w:rPr>
            </w:pPr>
            <w:r>
              <w:rPr>
                <w:rFonts w:hint="eastAsia"/>
                <w:b w:val="0"/>
                <w:color w:val="000000"/>
              </w:rPr>
              <w:t>10</w:t>
            </w:r>
          </w:p>
        </w:tc>
        <w:tc>
          <w:tcPr>
            <w:tcW w:w="1281" w:type="dxa"/>
            <w:tcBorders>
              <w:top w:val="single" w:color="000000" w:sz="4" w:space="0"/>
              <w:left w:val="nil"/>
              <w:bottom w:val="nil"/>
              <w:right w:val="nil"/>
            </w:tcBorders>
            <w:shd w:val="clear" w:color="auto" w:fill="FFFFFF"/>
          </w:tcPr>
          <w:p w14:paraId="1922B61C">
            <w:pPr>
              <w:ind w:left="0" w:leftChars="0" w:firstLine="0" w:firstLineChars="0"/>
              <w:jc w:val="center"/>
              <w:rPr>
                <w:b w:val="0"/>
                <w:color w:val="000000"/>
              </w:rPr>
            </w:pPr>
            <w:r>
              <w:rPr>
                <w:rFonts w:hint="eastAsia"/>
                <w:b w:val="0"/>
                <w:color w:val="000000"/>
              </w:rPr>
              <w:t>98</w:t>
            </w:r>
          </w:p>
        </w:tc>
      </w:tr>
      <w:tr w14:paraId="192D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4" w:type="dxa"/>
            <w:tcBorders>
              <w:top w:val="nil"/>
              <w:left w:val="nil"/>
              <w:bottom w:val="nil"/>
              <w:right w:val="nil"/>
            </w:tcBorders>
            <w:shd w:val="clear" w:color="auto" w:fill="FFFFFF"/>
          </w:tcPr>
          <w:p w14:paraId="1472C09A">
            <w:pPr>
              <w:ind w:left="0" w:leftChars="0" w:firstLine="0" w:firstLineChars="0"/>
              <w:jc w:val="center"/>
              <w:rPr>
                <w:b w:val="0"/>
                <w:color w:val="000000"/>
              </w:rPr>
            </w:pPr>
            <w:r>
              <w:rPr>
                <w:rFonts w:hint="eastAsia"/>
                <w:b w:val="0"/>
                <w:color w:val="000000"/>
              </w:rPr>
              <w:t>时间成本</w:t>
            </w:r>
          </w:p>
        </w:tc>
        <w:tc>
          <w:tcPr>
            <w:tcW w:w="1240" w:type="dxa"/>
            <w:tcBorders>
              <w:top w:val="nil"/>
              <w:left w:val="nil"/>
              <w:bottom w:val="nil"/>
              <w:right w:val="nil"/>
            </w:tcBorders>
            <w:shd w:val="clear" w:color="auto" w:fill="FFFFFF"/>
          </w:tcPr>
          <w:p w14:paraId="4F9125C4">
            <w:pPr>
              <w:ind w:left="0" w:leftChars="0" w:firstLine="0" w:firstLineChars="0"/>
              <w:jc w:val="center"/>
              <w:rPr>
                <w:b w:val="0"/>
                <w:color w:val="000000"/>
              </w:rPr>
            </w:pPr>
            <w:r>
              <w:rPr>
                <w:rFonts w:hint="eastAsia"/>
                <w:b w:val="0"/>
                <w:color w:val="000000"/>
              </w:rPr>
              <w:t>59.52</w:t>
            </w:r>
          </w:p>
        </w:tc>
        <w:tc>
          <w:tcPr>
            <w:tcW w:w="1727" w:type="dxa"/>
            <w:tcBorders>
              <w:top w:val="nil"/>
              <w:left w:val="nil"/>
              <w:bottom w:val="nil"/>
              <w:right w:val="nil"/>
            </w:tcBorders>
            <w:shd w:val="clear" w:color="auto" w:fill="FFFFFF"/>
          </w:tcPr>
          <w:p w14:paraId="5533A889">
            <w:pPr>
              <w:ind w:left="0" w:leftChars="0" w:firstLine="0" w:firstLineChars="0"/>
              <w:jc w:val="center"/>
              <w:rPr>
                <w:b w:val="0"/>
                <w:color w:val="000000"/>
              </w:rPr>
            </w:pPr>
            <w:r>
              <w:rPr>
                <w:rFonts w:hint="eastAsia"/>
                <w:b w:val="0"/>
                <w:color w:val="000000"/>
              </w:rPr>
              <w:t>24.84</w:t>
            </w:r>
          </w:p>
        </w:tc>
        <w:tc>
          <w:tcPr>
            <w:tcW w:w="1232" w:type="dxa"/>
            <w:tcBorders>
              <w:top w:val="nil"/>
              <w:left w:val="nil"/>
              <w:bottom w:val="nil"/>
              <w:right w:val="nil"/>
            </w:tcBorders>
            <w:shd w:val="clear" w:color="auto" w:fill="FFFFFF"/>
          </w:tcPr>
          <w:p w14:paraId="2AF91C95">
            <w:pPr>
              <w:ind w:left="0" w:leftChars="0" w:firstLine="0" w:firstLineChars="0"/>
              <w:jc w:val="center"/>
              <w:rPr>
                <w:b w:val="0"/>
                <w:color w:val="000000"/>
              </w:rPr>
            </w:pPr>
            <w:r>
              <w:rPr>
                <w:rFonts w:hint="eastAsia"/>
                <w:b w:val="0"/>
                <w:color w:val="000000"/>
              </w:rPr>
              <w:t>617.06</w:t>
            </w:r>
          </w:p>
        </w:tc>
        <w:tc>
          <w:tcPr>
            <w:tcW w:w="1206" w:type="dxa"/>
            <w:tcBorders>
              <w:top w:val="nil"/>
              <w:left w:val="nil"/>
              <w:bottom w:val="nil"/>
              <w:right w:val="nil"/>
            </w:tcBorders>
            <w:shd w:val="clear" w:color="auto" w:fill="FFFFFF"/>
          </w:tcPr>
          <w:p w14:paraId="1E2FDE0C">
            <w:pPr>
              <w:ind w:left="0" w:leftChars="0" w:firstLine="0" w:firstLineChars="0"/>
              <w:jc w:val="center"/>
              <w:rPr>
                <w:b w:val="0"/>
                <w:color w:val="000000"/>
              </w:rPr>
            </w:pPr>
            <w:r>
              <w:rPr>
                <w:rFonts w:hint="eastAsia"/>
                <w:b w:val="0"/>
                <w:color w:val="000000"/>
              </w:rPr>
              <w:t>0</w:t>
            </w:r>
          </w:p>
        </w:tc>
        <w:tc>
          <w:tcPr>
            <w:tcW w:w="1281" w:type="dxa"/>
            <w:tcBorders>
              <w:top w:val="nil"/>
              <w:left w:val="nil"/>
              <w:bottom w:val="nil"/>
              <w:right w:val="nil"/>
            </w:tcBorders>
            <w:shd w:val="clear" w:color="auto" w:fill="FFFFFF"/>
          </w:tcPr>
          <w:p w14:paraId="615AB90E">
            <w:pPr>
              <w:ind w:left="0" w:leftChars="0" w:firstLine="0" w:firstLineChars="0"/>
              <w:jc w:val="center"/>
              <w:rPr>
                <w:b w:val="0"/>
                <w:color w:val="000000"/>
              </w:rPr>
            </w:pPr>
            <w:r>
              <w:rPr>
                <w:rFonts w:hint="eastAsia"/>
                <w:b w:val="0"/>
                <w:color w:val="000000"/>
              </w:rPr>
              <w:t>100</w:t>
            </w:r>
          </w:p>
        </w:tc>
      </w:tr>
      <w:tr w14:paraId="65BF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4" w:type="dxa"/>
            <w:tcBorders>
              <w:top w:val="nil"/>
              <w:left w:val="nil"/>
              <w:bottom w:val="nil"/>
              <w:right w:val="nil"/>
            </w:tcBorders>
            <w:shd w:val="clear" w:color="auto" w:fill="FFFFFF"/>
          </w:tcPr>
          <w:p w14:paraId="54D2AD95">
            <w:pPr>
              <w:ind w:left="0" w:leftChars="0" w:firstLine="0" w:firstLineChars="0"/>
              <w:jc w:val="center"/>
              <w:rPr>
                <w:b w:val="0"/>
                <w:color w:val="000000"/>
              </w:rPr>
            </w:pPr>
            <w:r>
              <w:rPr>
                <w:rFonts w:hint="eastAsia"/>
                <w:b w:val="0"/>
                <w:color w:val="000000"/>
              </w:rPr>
              <w:t>参赛费用</w:t>
            </w:r>
          </w:p>
        </w:tc>
        <w:tc>
          <w:tcPr>
            <w:tcW w:w="1240" w:type="dxa"/>
            <w:tcBorders>
              <w:top w:val="nil"/>
              <w:left w:val="nil"/>
              <w:bottom w:val="nil"/>
              <w:right w:val="nil"/>
            </w:tcBorders>
            <w:shd w:val="clear" w:color="auto" w:fill="FFFFFF"/>
          </w:tcPr>
          <w:p w14:paraId="461A0074">
            <w:pPr>
              <w:ind w:left="0" w:leftChars="0" w:firstLine="0" w:firstLineChars="0"/>
              <w:jc w:val="center"/>
              <w:rPr>
                <w:b w:val="0"/>
                <w:color w:val="000000"/>
              </w:rPr>
            </w:pPr>
            <w:r>
              <w:rPr>
                <w:rFonts w:hint="eastAsia"/>
                <w:b w:val="0"/>
                <w:color w:val="000000"/>
              </w:rPr>
              <w:t>64.08</w:t>
            </w:r>
          </w:p>
        </w:tc>
        <w:tc>
          <w:tcPr>
            <w:tcW w:w="1727" w:type="dxa"/>
            <w:tcBorders>
              <w:top w:val="nil"/>
              <w:left w:val="nil"/>
              <w:bottom w:val="nil"/>
              <w:right w:val="nil"/>
            </w:tcBorders>
            <w:shd w:val="clear" w:color="auto" w:fill="FFFFFF"/>
          </w:tcPr>
          <w:p w14:paraId="2808A48A">
            <w:pPr>
              <w:ind w:left="0" w:leftChars="0" w:firstLine="0" w:firstLineChars="0"/>
              <w:jc w:val="center"/>
              <w:rPr>
                <w:b w:val="0"/>
                <w:color w:val="000000"/>
              </w:rPr>
            </w:pPr>
            <w:r>
              <w:rPr>
                <w:rFonts w:hint="eastAsia"/>
                <w:b w:val="0"/>
                <w:color w:val="000000"/>
              </w:rPr>
              <w:t>24.80</w:t>
            </w:r>
          </w:p>
        </w:tc>
        <w:tc>
          <w:tcPr>
            <w:tcW w:w="1232" w:type="dxa"/>
            <w:tcBorders>
              <w:top w:val="nil"/>
              <w:left w:val="nil"/>
              <w:bottom w:val="nil"/>
              <w:right w:val="nil"/>
            </w:tcBorders>
            <w:shd w:val="clear" w:color="auto" w:fill="FFFFFF"/>
          </w:tcPr>
          <w:p w14:paraId="1896C007">
            <w:pPr>
              <w:ind w:left="0" w:leftChars="0" w:firstLine="0" w:firstLineChars="0"/>
              <w:jc w:val="center"/>
              <w:rPr>
                <w:b w:val="0"/>
                <w:color w:val="000000"/>
              </w:rPr>
            </w:pPr>
            <w:r>
              <w:rPr>
                <w:rFonts w:hint="eastAsia"/>
                <w:b w:val="0"/>
                <w:color w:val="000000"/>
              </w:rPr>
              <w:t>615.02</w:t>
            </w:r>
          </w:p>
        </w:tc>
        <w:tc>
          <w:tcPr>
            <w:tcW w:w="1206" w:type="dxa"/>
            <w:tcBorders>
              <w:top w:val="nil"/>
              <w:left w:val="nil"/>
              <w:bottom w:val="nil"/>
              <w:right w:val="nil"/>
            </w:tcBorders>
            <w:shd w:val="clear" w:color="auto" w:fill="FFFFFF"/>
          </w:tcPr>
          <w:p w14:paraId="171898EB">
            <w:pPr>
              <w:ind w:left="0" w:leftChars="0" w:firstLine="0" w:firstLineChars="0"/>
              <w:jc w:val="center"/>
              <w:rPr>
                <w:b w:val="0"/>
                <w:color w:val="000000"/>
              </w:rPr>
            </w:pPr>
            <w:r>
              <w:rPr>
                <w:rFonts w:hint="eastAsia"/>
                <w:b w:val="0"/>
                <w:color w:val="000000"/>
              </w:rPr>
              <w:t>0</w:t>
            </w:r>
          </w:p>
        </w:tc>
        <w:tc>
          <w:tcPr>
            <w:tcW w:w="1281" w:type="dxa"/>
            <w:tcBorders>
              <w:top w:val="nil"/>
              <w:left w:val="nil"/>
              <w:bottom w:val="nil"/>
              <w:right w:val="nil"/>
            </w:tcBorders>
            <w:shd w:val="clear" w:color="auto" w:fill="FFFFFF"/>
          </w:tcPr>
          <w:p w14:paraId="48EAF511">
            <w:pPr>
              <w:ind w:left="0" w:leftChars="0" w:firstLine="0" w:firstLineChars="0"/>
              <w:jc w:val="center"/>
              <w:rPr>
                <w:b w:val="0"/>
                <w:color w:val="000000"/>
              </w:rPr>
            </w:pPr>
            <w:r>
              <w:rPr>
                <w:rFonts w:hint="eastAsia"/>
                <w:b w:val="0"/>
                <w:color w:val="000000"/>
              </w:rPr>
              <w:t>100</w:t>
            </w:r>
          </w:p>
        </w:tc>
      </w:tr>
      <w:tr w14:paraId="20223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4" w:type="dxa"/>
            <w:tcBorders>
              <w:top w:val="nil"/>
              <w:left w:val="nil"/>
              <w:bottom w:val="single" w:color="000000" w:sz="12" w:space="0"/>
              <w:right w:val="nil"/>
            </w:tcBorders>
            <w:shd w:val="clear" w:color="auto" w:fill="FFFFFF"/>
          </w:tcPr>
          <w:p w14:paraId="08A2E429">
            <w:pPr>
              <w:ind w:left="0" w:leftChars="0" w:firstLine="0" w:firstLineChars="0"/>
              <w:jc w:val="center"/>
              <w:rPr>
                <w:b w:val="0"/>
                <w:color w:val="000000"/>
              </w:rPr>
            </w:pPr>
            <w:r>
              <w:rPr>
                <w:rFonts w:hint="eastAsia"/>
                <w:b w:val="0"/>
                <w:color w:val="000000"/>
              </w:rPr>
              <w:t>信息获取渠道</w:t>
            </w:r>
          </w:p>
        </w:tc>
        <w:tc>
          <w:tcPr>
            <w:tcW w:w="1240" w:type="dxa"/>
            <w:tcBorders>
              <w:top w:val="nil"/>
              <w:left w:val="nil"/>
              <w:bottom w:val="single" w:color="000000" w:sz="12" w:space="0"/>
              <w:right w:val="nil"/>
            </w:tcBorders>
            <w:shd w:val="clear" w:color="auto" w:fill="FFFFFF"/>
          </w:tcPr>
          <w:p w14:paraId="733DE0AA">
            <w:pPr>
              <w:ind w:left="0" w:leftChars="0" w:firstLine="0" w:firstLineChars="0"/>
              <w:jc w:val="center"/>
              <w:rPr>
                <w:b w:val="0"/>
                <w:color w:val="000000"/>
              </w:rPr>
            </w:pPr>
            <w:r>
              <w:rPr>
                <w:rFonts w:hint="eastAsia"/>
                <w:b w:val="0"/>
                <w:color w:val="000000"/>
              </w:rPr>
              <w:t>61.68</w:t>
            </w:r>
          </w:p>
        </w:tc>
        <w:tc>
          <w:tcPr>
            <w:tcW w:w="1727" w:type="dxa"/>
            <w:tcBorders>
              <w:top w:val="nil"/>
              <w:left w:val="nil"/>
              <w:bottom w:val="single" w:color="000000" w:sz="12" w:space="0"/>
              <w:right w:val="nil"/>
            </w:tcBorders>
            <w:shd w:val="clear" w:color="auto" w:fill="FFFFFF"/>
          </w:tcPr>
          <w:p w14:paraId="5D4A7CC5">
            <w:pPr>
              <w:ind w:left="0" w:leftChars="0" w:firstLine="0" w:firstLineChars="0"/>
              <w:jc w:val="center"/>
              <w:rPr>
                <w:b w:val="0"/>
                <w:color w:val="000000"/>
              </w:rPr>
            </w:pPr>
            <w:r>
              <w:rPr>
                <w:rFonts w:hint="eastAsia"/>
                <w:b w:val="0"/>
                <w:color w:val="000000"/>
              </w:rPr>
              <w:t>23.89</w:t>
            </w:r>
          </w:p>
        </w:tc>
        <w:tc>
          <w:tcPr>
            <w:tcW w:w="1232" w:type="dxa"/>
            <w:tcBorders>
              <w:top w:val="nil"/>
              <w:left w:val="nil"/>
              <w:bottom w:val="single" w:color="000000" w:sz="12" w:space="0"/>
              <w:right w:val="nil"/>
            </w:tcBorders>
            <w:shd w:val="clear" w:color="auto" w:fill="FFFFFF"/>
          </w:tcPr>
          <w:p w14:paraId="0690B64A">
            <w:pPr>
              <w:ind w:left="0" w:leftChars="0" w:firstLine="0" w:firstLineChars="0"/>
              <w:jc w:val="center"/>
              <w:rPr>
                <w:b w:val="0"/>
                <w:color w:val="000000"/>
              </w:rPr>
            </w:pPr>
            <w:r>
              <w:rPr>
                <w:rFonts w:hint="eastAsia"/>
                <w:b w:val="0"/>
                <w:color w:val="000000"/>
              </w:rPr>
              <w:t>571.02</w:t>
            </w:r>
          </w:p>
        </w:tc>
        <w:tc>
          <w:tcPr>
            <w:tcW w:w="1206" w:type="dxa"/>
            <w:tcBorders>
              <w:top w:val="nil"/>
              <w:left w:val="nil"/>
              <w:bottom w:val="single" w:color="000000" w:sz="12" w:space="0"/>
              <w:right w:val="nil"/>
            </w:tcBorders>
            <w:shd w:val="clear" w:color="auto" w:fill="FFFFFF"/>
          </w:tcPr>
          <w:p w14:paraId="03602680">
            <w:pPr>
              <w:ind w:left="0" w:leftChars="0" w:firstLine="0" w:firstLineChars="0"/>
              <w:jc w:val="center"/>
              <w:rPr>
                <w:b w:val="0"/>
                <w:color w:val="000000"/>
              </w:rPr>
            </w:pPr>
            <w:r>
              <w:rPr>
                <w:rFonts w:hint="eastAsia"/>
                <w:b w:val="0"/>
                <w:color w:val="000000"/>
              </w:rPr>
              <w:t>8</w:t>
            </w:r>
          </w:p>
        </w:tc>
        <w:tc>
          <w:tcPr>
            <w:tcW w:w="1281" w:type="dxa"/>
            <w:tcBorders>
              <w:top w:val="nil"/>
              <w:left w:val="nil"/>
              <w:bottom w:val="single" w:color="000000" w:sz="12" w:space="0"/>
              <w:right w:val="nil"/>
            </w:tcBorders>
            <w:shd w:val="clear" w:color="auto" w:fill="FFFFFF"/>
          </w:tcPr>
          <w:p w14:paraId="3196E83E">
            <w:pPr>
              <w:ind w:left="0" w:leftChars="0" w:firstLine="0" w:firstLineChars="0"/>
              <w:jc w:val="center"/>
              <w:rPr>
                <w:b w:val="0"/>
                <w:color w:val="000000"/>
              </w:rPr>
            </w:pPr>
            <w:r>
              <w:rPr>
                <w:rFonts w:hint="eastAsia"/>
                <w:b w:val="0"/>
                <w:color w:val="000000"/>
              </w:rPr>
              <w:t>98</w:t>
            </w:r>
          </w:p>
        </w:tc>
      </w:tr>
    </w:tbl>
    <w:p w14:paraId="73C75F4B">
      <w:pPr>
        <w:rPr>
          <w:rFonts w:hint="eastAsia"/>
        </w:rPr>
      </w:pPr>
      <w:r>
        <w:rPr>
          <w:rFonts w:hint="eastAsia"/>
        </w:rPr>
        <w:t>分析要点：</w:t>
      </w:r>
    </w:p>
    <w:p w14:paraId="2278796A">
      <w:pPr>
        <w:rPr>
          <w:rFonts w:hint="eastAsia"/>
        </w:rPr>
      </w:pPr>
      <w:r>
        <w:rPr>
          <w:rFonts w:hint="eastAsia"/>
        </w:rPr>
        <w:t>分布合理： 四个题目的评分均值在59.52 至 64.08 分之间，表明各外部因素对参赛决策均有中等偏上的影响，均值处于合理区间。</w:t>
      </w:r>
    </w:p>
    <w:p w14:paraId="36209371">
      <w:pPr>
        <w:rPr>
          <w:rFonts w:hint="eastAsia"/>
        </w:rPr>
      </w:pPr>
      <w:r>
        <w:rPr>
          <w:rFonts w:hint="eastAsia"/>
        </w:rPr>
        <w:t>离散度适中： 标准差在 23.89 至 24.84 之间，显示受访者对各因素的感知存在一定差异，这符合现实情况，有利于提高量表的区分度。</w:t>
      </w:r>
    </w:p>
    <w:p w14:paraId="2CF16D19">
      <w:pPr>
        <w:rPr>
          <w:rFonts w:hint="eastAsia"/>
        </w:rPr>
      </w:pPr>
      <w:r>
        <w:rPr>
          <w:rFonts w:hint="eastAsia"/>
        </w:rPr>
        <w:t>无统计异常： 所有题目的方差均在合理范围内，清洗后未发现极端离群点（如极小或极大的极端均值），表明清洗后的数据质量良好，适合进行信度分析。</w:t>
      </w:r>
    </w:p>
    <w:p w14:paraId="17E86B4F">
      <w:pPr>
        <w:rPr>
          <w:rFonts w:hint="eastAsia"/>
          <w:b/>
          <w:bCs/>
        </w:rPr>
      </w:pPr>
      <w:r>
        <w:rPr>
          <w:rFonts w:hint="eastAsia"/>
          <w:b/>
          <w:bCs/>
        </w:rPr>
        <w:t>(2) Cronbach’s α系数计算结果</w:t>
      </w:r>
    </w:p>
    <w:p w14:paraId="53294F1D">
      <w:pPr>
        <w:rPr>
          <w:rFonts w:hint="eastAsia"/>
        </w:rPr>
      </w:pPr>
      <w:r>
        <w:rPr>
          <w:rFonts w:hint="eastAsia"/>
        </w:rPr>
        <w:t>基于122个有效样本的评分数据，计算得出：Cronbach’s α系数 = 0.79</w:t>
      </w:r>
    </w:p>
    <w:p w14:paraId="375E69ED">
      <w:pPr>
        <w:rPr>
          <w:rFonts w:hint="eastAsia"/>
        </w:rPr>
      </w:pPr>
      <w:r>
        <w:rPr>
          <w:rFonts w:hint="eastAsia"/>
        </w:rPr>
        <w:t>信度评价标准（参考李灿 &amp; 辛玲, 2008；吴明隆, 2010）：</w:t>
      </w:r>
    </w:p>
    <w:p w14:paraId="291BA99B">
      <w:pPr>
        <w:pStyle w:val="9"/>
        <w:bidi w:val="0"/>
        <w:rPr>
          <w:rFonts w:hint="default"/>
          <w:lang w:val="en-US" w:eastAsia="zh-CN"/>
        </w:rPr>
      </w:pPr>
      <w:r>
        <w:rPr>
          <w:rFonts w:hint="eastAsia"/>
          <w:lang w:val="en-US" w:eastAsia="zh-CN"/>
        </w:rPr>
        <w:t xml:space="preserve">表2  </w:t>
      </w:r>
      <w:r>
        <w:rPr>
          <w:rFonts w:hint="eastAsia"/>
        </w:rPr>
        <w:t>信度评价标准</w:t>
      </w:r>
    </w:p>
    <w:tbl>
      <w:tblPr>
        <w:tblStyle w:val="7"/>
        <w:tblW w:w="7801" w:type="dxa"/>
        <w:tblInd w:w="4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6512"/>
      </w:tblGrid>
      <w:tr w14:paraId="0A8F8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dxa"/>
            <w:tcBorders>
              <w:top w:val="single" w:color="000000" w:sz="4" w:space="0"/>
              <w:left w:val="nil"/>
              <w:bottom w:val="nil"/>
              <w:right w:val="nil"/>
              <w:tl2br w:val="nil"/>
            </w:tcBorders>
            <w:shd w:val="clear" w:color="auto" w:fill="FFFFFF"/>
          </w:tcPr>
          <w:p w14:paraId="2D048442">
            <w:pPr>
              <w:ind w:left="0" w:leftChars="0" w:firstLine="0" w:firstLineChars="0"/>
              <w:jc w:val="center"/>
              <w:rPr>
                <w:b w:val="0"/>
                <w:color w:val="000000"/>
              </w:rPr>
            </w:pPr>
            <w:r>
              <w:rPr>
                <w:rFonts w:hint="eastAsia"/>
                <w:b w:val="0"/>
                <w:color w:val="000000"/>
              </w:rPr>
              <w:t>α ≥ 0.9</w:t>
            </w:r>
          </w:p>
        </w:tc>
        <w:tc>
          <w:tcPr>
            <w:tcW w:w="6512" w:type="dxa"/>
            <w:tcBorders>
              <w:top w:val="single" w:color="000000" w:sz="4" w:space="0"/>
              <w:left w:val="nil"/>
              <w:bottom w:val="nil"/>
              <w:right w:val="nil"/>
            </w:tcBorders>
            <w:shd w:val="clear" w:color="auto" w:fill="FFFFFF"/>
          </w:tcPr>
          <w:p w14:paraId="28559C27">
            <w:pPr>
              <w:ind w:left="0" w:leftChars="0" w:firstLine="0" w:firstLineChars="0"/>
              <w:jc w:val="center"/>
              <w:rPr>
                <w:b w:val="0"/>
                <w:color w:val="000000"/>
              </w:rPr>
            </w:pPr>
            <w:r>
              <w:rPr>
                <w:rFonts w:hint="eastAsia"/>
                <w:b w:val="0"/>
                <w:color w:val="000000"/>
              </w:rPr>
              <w:t>信度非常好（Excellent）</w:t>
            </w:r>
          </w:p>
        </w:tc>
      </w:tr>
      <w:tr w14:paraId="12FF0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dxa"/>
            <w:tcBorders>
              <w:top w:val="nil"/>
              <w:left w:val="nil"/>
              <w:bottom w:val="nil"/>
              <w:right w:val="nil"/>
            </w:tcBorders>
            <w:shd w:val="clear" w:color="auto" w:fill="FFFFFF"/>
          </w:tcPr>
          <w:p w14:paraId="1639622C">
            <w:pPr>
              <w:ind w:left="0" w:leftChars="0" w:firstLine="0" w:firstLineChars="0"/>
              <w:jc w:val="center"/>
              <w:rPr>
                <w:b w:val="0"/>
                <w:color w:val="000000"/>
              </w:rPr>
            </w:pPr>
            <w:r>
              <w:rPr>
                <w:rFonts w:hint="eastAsia"/>
                <w:b w:val="0"/>
                <w:color w:val="000000"/>
              </w:rPr>
              <w:t>α ≥ 0.8</w:t>
            </w:r>
          </w:p>
        </w:tc>
        <w:tc>
          <w:tcPr>
            <w:tcW w:w="6512" w:type="dxa"/>
            <w:tcBorders>
              <w:top w:val="nil"/>
              <w:left w:val="nil"/>
              <w:bottom w:val="nil"/>
              <w:right w:val="nil"/>
            </w:tcBorders>
            <w:shd w:val="clear" w:color="auto" w:fill="FFFFFF"/>
          </w:tcPr>
          <w:p w14:paraId="4CE569F5">
            <w:pPr>
              <w:ind w:left="0" w:leftChars="0" w:firstLine="0" w:firstLineChars="0"/>
              <w:jc w:val="center"/>
              <w:rPr>
                <w:b w:val="0"/>
                <w:color w:val="000000"/>
              </w:rPr>
            </w:pPr>
            <w:r>
              <w:rPr>
                <w:rFonts w:hint="eastAsia"/>
                <w:b w:val="0"/>
                <w:color w:val="000000"/>
              </w:rPr>
              <w:t>信度良好（Good）</w:t>
            </w:r>
          </w:p>
        </w:tc>
      </w:tr>
      <w:tr w14:paraId="67609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dxa"/>
            <w:tcBorders>
              <w:top w:val="nil"/>
              <w:left w:val="nil"/>
              <w:bottom w:val="nil"/>
              <w:right w:val="nil"/>
            </w:tcBorders>
            <w:shd w:val="clear" w:color="auto" w:fill="FFFFFF"/>
          </w:tcPr>
          <w:p w14:paraId="068E9F95">
            <w:pPr>
              <w:ind w:left="0" w:leftChars="0" w:firstLine="0" w:firstLineChars="0"/>
              <w:jc w:val="center"/>
              <w:rPr>
                <w:b w:val="0"/>
                <w:color w:val="000000"/>
              </w:rPr>
            </w:pPr>
            <w:r>
              <w:rPr>
                <w:rFonts w:hint="eastAsia"/>
                <w:b w:val="0"/>
                <w:color w:val="000000"/>
              </w:rPr>
              <w:t>α ≥ 0.7</w:t>
            </w:r>
          </w:p>
        </w:tc>
        <w:tc>
          <w:tcPr>
            <w:tcW w:w="6512" w:type="dxa"/>
            <w:tcBorders>
              <w:top w:val="nil"/>
              <w:left w:val="nil"/>
              <w:bottom w:val="nil"/>
              <w:right w:val="nil"/>
            </w:tcBorders>
            <w:shd w:val="clear" w:color="auto" w:fill="FFFFFF"/>
          </w:tcPr>
          <w:p w14:paraId="619DF456">
            <w:pPr>
              <w:ind w:left="0" w:leftChars="0" w:firstLine="0" w:firstLineChars="0"/>
              <w:jc w:val="center"/>
              <w:rPr>
                <w:b w:val="0"/>
                <w:color w:val="000000"/>
              </w:rPr>
            </w:pPr>
            <w:r>
              <w:rPr>
                <w:rFonts w:hint="eastAsia"/>
                <w:b w:val="0"/>
                <w:color w:val="000000"/>
              </w:rPr>
              <w:t>信度可接受（Acceptable）</w:t>
            </w:r>
          </w:p>
        </w:tc>
      </w:tr>
      <w:tr w14:paraId="29D4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dxa"/>
            <w:tcBorders>
              <w:top w:val="nil"/>
              <w:left w:val="nil"/>
              <w:bottom w:val="nil"/>
              <w:right w:val="nil"/>
            </w:tcBorders>
            <w:shd w:val="clear" w:color="auto" w:fill="FFFFFF"/>
          </w:tcPr>
          <w:p w14:paraId="0FDDCB31">
            <w:pPr>
              <w:ind w:left="0" w:leftChars="0" w:firstLine="0" w:firstLineChars="0"/>
              <w:jc w:val="center"/>
              <w:rPr>
                <w:b w:val="0"/>
                <w:color w:val="000000"/>
              </w:rPr>
            </w:pPr>
            <w:r>
              <w:rPr>
                <w:rFonts w:hint="eastAsia"/>
                <w:b w:val="0"/>
                <w:color w:val="000000"/>
              </w:rPr>
              <w:t>α ≥ 0.6</w:t>
            </w:r>
          </w:p>
        </w:tc>
        <w:tc>
          <w:tcPr>
            <w:tcW w:w="6512" w:type="dxa"/>
            <w:tcBorders>
              <w:top w:val="nil"/>
              <w:left w:val="nil"/>
              <w:bottom w:val="nil"/>
              <w:right w:val="nil"/>
            </w:tcBorders>
            <w:shd w:val="clear" w:color="auto" w:fill="FFFFFF"/>
          </w:tcPr>
          <w:p w14:paraId="2DDE83BA">
            <w:pPr>
              <w:ind w:left="0" w:leftChars="0" w:firstLine="0" w:firstLineChars="0"/>
              <w:jc w:val="center"/>
              <w:rPr>
                <w:b w:val="0"/>
                <w:color w:val="000000"/>
              </w:rPr>
            </w:pPr>
            <w:r>
              <w:rPr>
                <w:rFonts w:hint="eastAsia"/>
                <w:b w:val="0"/>
                <w:color w:val="000000"/>
              </w:rPr>
              <w:t>信度尚可（Questionable）</w:t>
            </w:r>
          </w:p>
        </w:tc>
      </w:tr>
      <w:tr w14:paraId="73BD0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dxa"/>
            <w:tcBorders>
              <w:top w:val="nil"/>
              <w:left w:val="nil"/>
              <w:bottom w:val="single" w:color="000000" w:sz="4" w:space="0"/>
              <w:right w:val="nil"/>
            </w:tcBorders>
            <w:shd w:val="clear" w:color="auto" w:fill="FFFFFF"/>
          </w:tcPr>
          <w:p w14:paraId="113115D4">
            <w:pPr>
              <w:ind w:left="0" w:leftChars="0" w:firstLine="0" w:firstLineChars="0"/>
              <w:jc w:val="center"/>
              <w:rPr>
                <w:b w:val="0"/>
                <w:color w:val="000000"/>
              </w:rPr>
            </w:pPr>
            <w:r>
              <w:rPr>
                <w:rFonts w:hint="eastAsia"/>
                <w:b w:val="0"/>
                <w:color w:val="000000"/>
              </w:rPr>
              <w:t>α &lt; 0.6</w:t>
            </w:r>
          </w:p>
        </w:tc>
        <w:tc>
          <w:tcPr>
            <w:tcW w:w="6512" w:type="dxa"/>
            <w:tcBorders>
              <w:top w:val="nil"/>
              <w:left w:val="nil"/>
              <w:bottom w:val="single" w:color="000000" w:sz="4" w:space="0"/>
              <w:right w:val="nil"/>
            </w:tcBorders>
            <w:shd w:val="clear" w:color="auto" w:fill="FFFFFF"/>
          </w:tcPr>
          <w:p w14:paraId="246CA6FB">
            <w:pPr>
              <w:ind w:left="0" w:leftChars="0" w:firstLine="0" w:firstLineChars="0"/>
              <w:jc w:val="center"/>
              <w:rPr>
                <w:b w:val="0"/>
                <w:color w:val="000000"/>
              </w:rPr>
            </w:pPr>
            <w:r>
              <w:rPr>
                <w:rFonts w:hint="eastAsia"/>
                <w:b w:val="0"/>
                <w:color w:val="000000"/>
              </w:rPr>
              <w:t>信度不可接受（Poor）</w:t>
            </w:r>
          </w:p>
        </w:tc>
      </w:tr>
    </w:tbl>
    <w:p w14:paraId="21F8750A">
      <w:pPr>
        <w:rPr>
          <w:rFonts w:hint="eastAsia"/>
        </w:rPr>
      </w:pPr>
      <w:r>
        <w:rPr>
          <w:rFonts w:hint="eastAsia"/>
        </w:rPr>
        <w:t>结论：</w:t>
      </w:r>
    </w:p>
    <w:p w14:paraId="279E0E87">
      <w:pPr>
        <w:rPr>
          <w:rFonts w:hint="eastAsia"/>
        </w:rPr>
      </w:pPr>
      <w:r>
        <w:rPr>
          <w:rFonts w:hint="eastAsia"/>
        </w:rPr>
        <w:t>本量表的Cronbach’s α系数为 0.79，表明该量表具有良好的内部一致性信度，达到了社会调查研究的“可接受”至“良好”水平（0.7 ≤ α &lt; 0.8）。虽然略低于0.80的“良好”线，但考虑到体育社会科学量表通常略低于0.80，0.79已属于信度较高的范畴，能够满足研究需求。</w:t>
      </w:r>
    </w:p>
    <w:p w14:paraId="70CFDDC1">
      <w:pPr>
        <w:rPr>
          <w:rFonts w:hint="eastAsia"/>
          <w:b/>
          <w:bCs/>
        </w:rPr>
      </w:pPr>
      <w:r>
        <w:rPr>
          <w:rFonts w:hint="eastAsia"/>
          <w:b/>
          <w:bCs/>
        </w:rPr>
        <w:t>(3) 题目</w:t>
      </w:r>
      <w:r>
        <w:rPr>
          <w:rFonts w:hint="eastAsia"/>
          <w:b/>
          <w:bCs/>
          <w:lang w:eastAsia="zh-CN"/>
        </w:rPr>
        <w:t>—</w:t>
      </w:r>
      <w:r>
        <w:rPr>
          <w:rFonts w:hint="eastAsia"/>
          <w:b/>
          <w:bCs/>
        </w:rPr>
        <w:t>总分相关性与题目间相关性分析</w:t>
      </w:r>
    </w:p>
    <w:p w14:paraId="5EC46DBC">
      <w:pPr>
        <w:rPr>
          <w:rFonts w:hint="eastAsia"/>
        </w:rPr>
      </w:pPr>
      <w:r>
        <w:rPr>
          <w:rFonts w:hint="eastAsia"/>
        </w:rPr>
        <w:t>为进一步验证信度，对各题目与量表总分的相关性进行分析：</w:t>
      </w:r>
    </w:p>
    <w:p w14:paraId="446328EB">
      <w:pPr>
        <w:pStyle w:val="9"/>
        <w:bidi w:val="0"/>
        <w:rPr>
          <w:rFonts w:hint="default"/>
          <w:lang w:val="en-US" w:eastAsia="zh-CN"/>
        </w:rPr>
      </w:pPr>
      <w:r>
        <w:rPr>
          <w:rFonts w:hint="eastAsia"/>
          <w:lang w:val="en-US" w:eastAsia="zh-CN"/>
        </w:rPr>
        <w:t>表3  相关性分析</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2"/>
        <w:gridCol w:w="2761"/>
        <w:gridCol w:w="4199"/>
      </w:tblGrid>
      <w:tr w14:paraId="71C22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tcBorders>
              <w:top w:val="single" w:color="000000" w:sz="12" w:space="0"/>
              <w:left w:val="nil"/>
              <w:bottom w:val="single" w:color="000000" w:sz="4" w:space="0"/>
              <w:right w:val="nil"/>
              <w:tl2br w:val="nil"/>
            </w:tcBorders>
            <w:shd w:val="clear" w:color="auto" w:fill="FFFFFF"/>
          </w:tcPr>
          <w:p w14:paraId="65371722">
            <w:pPr>
              <w:ind w:left="0" w:leftChars="0" w:firstLine="0" w:firstLineChars="0"/>
              <w:jc w:val="center"/>
              <w:rPr>
                <w:b w:val="0"/>
                <w:color w:val="000000"/>
              </w:rPr>
            </w:pPr>
            <w:r>
              <w:rPr>
                <w:rFonts w:hint="eastAsia"/>
                <w:b w:val="0"/>
                <w:color w:val="000000"/>
              </w:rPr>
              <w:t>题目</w:t>
            </w:r>
          </w:p>
        </w:tc>
        <w:tc>
          <w:tcPr>
            <w:tcW w:w="2761" w:type="dxa"/>
            <w:tcBorders>
              <w:top w:val="single" w:color="000000" w:sz="12" w:space="0"/>
              <w:left w:val="nil"/>
              <w:bottom w:val="single" w:color="000000" w:sz="4" w:space="0"/>
              <w:right w:val="nil"/>
            </w:tcBorders>
            <w:shd w:val="clear" w:color="auto" w:fill="FFFFFF"/>
          </w:tcPr>
          <w:p w14:paraId="4750954C">
            <w:pPr>
              <w:ind w:left="0" w:leftChars="0" w:firstLine="0" w:firstLineChars="0"/>
              <w:jc w:val="center"/>
              <w:rPr>
                <w:b w:val="0"/>
                <w:color w:val="000000"/>
              </w:rPr>
            </w:pPr>
            <w:r>
              <w:rPr>
                <w:rFonts w:hint="eastAsia"/>
                <w:b w:val="0"/>
                <w:color w:val="000000"/>
              </w:rPr>
              <w:t>与总分的相关系数</w:t>
            </w:r>
          </w:p>
        </w:tc>
        <w:tc>
          <w:tcPr>
            <w:tcW w:w="4199" w:type="dxa"/>
            <w:tcBorders>
              <w:top w:val="single" w:color="000000" w:sz="12" w:space="0"/>
              <w:left w:val="nil"/>
              <w:bottom w:val="single" w:color="000000" w:sz="4" w:space="0"/>
              <w:right w:val="nil"/>
            </w:tcBorders>
            <w:shd w:val="clear" w:color="auto" w:fill="FFFFFF"/>
          </w:tcPr>
          <w:p w14:paraId="7D69D06D">
            <w:pPr>
              <w:ind w:left="0" w:leftChars="0" w:firstLine="0" w:firstLineChars="0"/>
              <w:jc w:val="center"/>
              <w:rPr>
                <w:b w:val="0"/>
                <w:color w:val="000000"/>
              </w:rPr>
            </w:pPr>
            <w:r>
              <w:rPr>
                <w:rFonts w:hint="eastAsia"/>
                <w:b w:val="0"/>
                <w:color w:val="000000"/>
              </w:rPr>
              <w:t>解释</w:t>
            </w:r>
          </w:p>
        </w:tc>
      </w:tr>
      <w:tr w14:paraId="390A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tcBorders>
              <w:top w:val="single" w:color="000000" w:sz="4" w:space="0"/>
              <w:left w:val="nil"/>
              <w:bottom w:val="nil"/>
              <w:right w:val="nil"/>
            </w:tcBorders>
            <w:shd w:val="clear" w:color="auto" w:fill="FFFFFF"/>
          </w:tcPr>
          <w:p w14:paraId="04FD7F1F">
            <w:pPr>
              <w:ind w:left="0" w:leftChars="0" w:firstLine="0" w:firstLineChars="0"/>
              <w:jc w:val="center"/>
              <w:rPr>
                <w:b w:val="0"/>
                <w:color w:val="000000"/>
              </w:rPr>
            </w:pPr>
            <w:r>
              <w:rPr>
                <w:rFonts w:hint="eastAsia"/>
                <w:b w:val="0"/>
                <w:color w:val="000000"/>
              </w:rPr>
              <w:t>交通便捷性</w:t>
            </w:r>
          </w:p>
        </w:tc>
        <w:tc>
          <w:tcPr>
            <w:tcW w:w="2761" w:type="dxa"/>
            <w:tcBorders>
              <w:top w:val="single" w:color="000000" w:sz="4" w:space="0"/>
              <w:left w:val="nil"/>
              <w:bottom w:val="nil"/>
              <w:right w:val="nil"/>
            </w:tcBorders>
            <w:shd w:val="clear" w:color="auto" w:fill="FFFFFF"/>
          </w:tcPr>
          <w:p w14:paraId="18053599">
            <w:pPr>
              <w:ind w:left="0" w:leftChars="0" w:firstLine="0" w:firstLineChars="0"/>
              <w:jc w:val="center"/>
              <w:rPr>
                <w:b w:val="0"/>
                <w:color w:val="000000"/>
              </w:rPr>
            </w:pPr>
            <w:r>
              <w:rPr>
                <w:rFonts w:hint="eastAsia"/>
                <w:b w:val="0"/>
                <w:color w:val="000000"/>
              </w:rPr>
              <w:t>0.82</w:t>
            </w:r>
          </w:p>
        </w:tc>
        <w:tc>
          <w:tcPr>
            <w:tcW w:w="4199" w:type="dxa"/>
            <w:tcBorders>
              <w:top w:val="single" w:color="000000" w:sz="4" w:space="0"/>
              <w:left w:val="nil"/>
              <w:bottom w:val="nil"/>
              <w:right w:val="nil"/>
            </w:tcBorders>
            <w:shd w:val="clear" w:color="auto" w:fill="FFFFFF"/>
          </w:tcPr>
          <w:p w14:paraId="49266C22">
            <w:pPr>
              <w:ind w:left="0" w:leftChars="0" w:firstLine="0" w:firstLineChars="0"/>
              <w:jc w:val="center"/>
              <w:rPr>
                <w:b w:val="0"/>
                <w:color w:val="000000"/>
              </w:rPr>
            </w:pPr>
            <w:r>
              <w:rPr>
                <w:rFonts w:hint="eastAsia"/>
                <w:b w:val="0"/>
                <w:color w:val="000000"/>
              </w:rPr>
              <w:t>高度正相关，说明该题目对总分贡献显著</w:t>
            </w:r>
          </w:p>
        </w:tc>
      </w:tr>
      <w:tr w14:paraId="0E78C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tcBorders>
              <w:top w:val="nil"/>
              <w:left w:val="nil"/>
              <w:bottom w:val="nil"/>
              <w:right w:val="nil"/>
            </w:tcBorders>
            <w:shd w:val="clear" w:color="auto" w:fill="FFFFFF"/>
          </w:tcPr>
          <w:p w14:paraId="4D2A89EC">
            <w:pPr>
              <w:ind w:left="0" w:leftChars="0" w:firstLine="0" w:firstLineChars="0"/>
              <w:jc w:val="center"/>
              <w:rPr>
                <w:b w:val="0"/>
                <w:color w:val="000000"/>
              </w:rPr>
            </w:pPr>
            <w:r>
              <w:rPr>
                <w:rFonts w:hint="eastAsia"/>
                <w:b w:val="0"/>
                <w:color w:val="000000"/>
              </w:rPr>
              <w:t>时间成本</w:t>
            </w:r>
          </w:p>
        </w:tc>
        <w:tc>
          <w:tcPr>
            <w:tcW w:w="2761" w:type="dxa"/>
            <w:tcBorders>
              <w:top w:val="nil"/>
              <w:left w:val="nil"/>
              <w:bottom w:val="nil"/>
              <w:right w:val="nil"/>
            </w:tcBorders>
            <w:shd w:val="clear" w:color="auto" w:fill="FFFFFF"/>
          </w:tcPr>
          <w:p w14:paraId="45013962">
            <w:pPr>
              <w:ind w:left="0" w:leftChars="0" w:firstLine="0" w:firstLineChars="0"/>
              <w:jc w:val="center"/>
              <w:rPr>
                <w:b w:val="0"/>
                <w:color w:val="000000"/>
              </w:rPr>
            </w:pPr>
            <w:r>
              <w:rPr>
                <w:rFonts w:hint="eastAsia"/>
                <w:b w:val="0"/>
                <w:color w:val="000000"/>
              </w:rPr>
              <w:t>0.73</w:t>
            </w:r>
          </w:p>
        </w:tc>
        <w:tc>
          <w:tcPr>
            <w:tcW w:w="4199" w:type="dxa"/>
            <w:tcBorders>
              <w:top w:val="nil"/>
              <w:left w:val="nil"/>
              <w:bottom w:val="nil"/>
              <w:right w:val="nil"/>
            </w:tcBorders>
            <w:shd w:val="clear" w:color="auto" w:fill="FFFFFF"/>
          </w:tcPr>
          <w:p w14:paraId="4B987AEA">
            <w:pPr>
              <w:ind w:left="0" w:leftChars="0" w:firstLine="0" w:firstLineChars="0"/>
              <w:jc w:val="center"/>
              <w:rPr>
                <w:b w:val="0"/>
                <w:color w:val="000000"/>
              </w:rPr>
            </w:pPr>
            <w:r>
              <w:rPr>
                <w:rFonts w:hint="eastAsia"/>
                <w:b w:val="0"/>
                <w:color w:val="000000"/>
              </w:rPr>
              <w:t>中度高度正相关</w:t>
            </w:r>
          </w:p>
        </w:tc>
      </w:tr>
      <w:tr w14:paraId="54672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tcBorders>
              <w:top w:val="nil"/>
              <w:left w:val="nil"/>
              <w:bottom w:val="nil"/>
              <w:right w:val="nil"/>
            </w:tcBorders>
            <w:shd w:val="clear" w:color="auto" w:fill="FFFFFF"/>
          </w:tcPr>
          <w:p w14:paraId="770C0D7A">
            <w:pPr>
              <w:ind w:left="0" w:leftChars="0" w:firstLine="0" w:firstLineChars="0"/>
              <w:jc w:val="center"/>
              <w:rPr>
                <w:b w:val="0"/>
                <w:color w:val="000000"/>
              </w:rPr>
            </w:pPr>
            <w:r>
              <w:rPr>
                <w:rFonts w:hint="eastAsia"/>
                <w:b w:val="0"/>
                <w:color w:val="000000"/>
              </w:rPr>
              <w:t>参赛费用</w:t>
            </w:r>
          </w:p>
        </w:tc>
        <w:tc>
          <w:tcPr>
            <w:tcW w:w="2761" w:type="dxa"/>
            <w:tcBorders>
              <w:top w:val="nil"/>
              <w:left w:val="nil"/>
              <w:bottom w:val="nil"/>
              <w:right w:val="nil"/>
            </w:tcBorders>
            <w:shd w:val="clear" w:color="auto" w:fill="FFFFFF"/>
          </w:tcPr>
          <w:p w14:paraId="6AB8A0FB">
            <w:pPr>
              <w:ind w:left="0" w:leftChars="0" w:firstLine="0" w:firstLineChars="0"/>
              <w:jc w:val="center"/>
              <w:rPr>
                <w:b w:val="0"/>
                <w:color w:val="000000"/>
              </w:rPr>
            </w:pPr>
            <w:r>
              <w:rPr>
                <w:rFonts w:hint="eastAsia"/>
                <w:b w:val="0"/>
                <w:color w:val="000000"/>
              </w:rPr>
              <w:t>0.64</w:t>
            </w:r>
          </w:p>
        </w:tc>
        <w:tc>
          <w:tcPr>
            <w:tcW w:w="4199" w:type="dxa"/>
            <w:tcBorders>
              <w:top w:val="nil"/>
              <w:left w:val="nil"/>
              <w:bottom w:val="nil"/>
              <w:right w:val="nil"/>
            </w:tcBorders>
            <w:shd w:val="clear" w:color="auto" w:fill="FFFFFF"/>
          </w:tcPr>
          <w:p w14:paraId="11CE77BE">
            <w:pPr>
              <w:ind w:left="0" w:leftChars="0" w:firstLine="0" w:firstLineChars="0"/>
              <w:jc w:val="center"/>
              <w:rPr>
                <w:b w:val="0"/>
                <w:color w:val="000000"/>
              </w:rPr>
            </w:pPr>
            <w:r>
              <w:rPr>
                <w:rFonts w:hint="eastAsia"/>
                <w:b w:val="0"/>
                <w:color w:val="000000"/>
              </w:rPr>
              <w:t>中度正相关</w:t>
            </w:r>
          </w:p>
        </w:tc>
      </w:tr>
      <w:tr w14:paraId="1ECFC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tcBorders>
              <w:top w:val="nil"/>
              <w:left w:val="nil"/>
              <w:bottom w:val="single" w:color="000000" w:sz="12" w:space="0"/>
              <w:right w:val="nil"/>
            </w:tcBorders>
            <w:shd w:val="clear" w:color="auto" w:fill="FFFFFF"/>
          </w:tcPr>
          <w:p w14:paraId="63134CA7">
            <w:pPr>
              <w:ind w:left="0" w:leftChars="0" w:firstLine="0" w:firstLineChars="0"/>
              <w:jc w:val="center"/>
              <w:rPr>
                <w:b w:val="0"/>
                <w:color w:val="000000"/>
              </w:rPr>
            </w:pPr>
            <w:r>
              <w:rPr>
                <w:rFonts w:hint="eastAsia"/>
                <w:b w:val="0"/>
                <w:color w:val="000000"/>
              </w:rPr>
              <w:t>信息获取渠道</w:t>
            </w:r>
          </w:p>
        </w:tc>
        <w:tc>
          <w:tcPr>
            <w:tcW w:w="2761" w:type="dxa"/>
            <w:tcBorders>
              <w:top w:val="nil"/>
              <w:left w:val="nil"/>
              <w:bottom w:val="single" w:color="000000" w:sz="12" w:space="0"/>
              <w:right w:val="nil"/>
            </w:tcBorders>
            <w:shd w:val="clear" w:color="auto" w:fill="FFFFFF"/>
          </w:tcPr>
          <w:p w14:paraId="2515E84B">
            <w:pPr>
              <w:ind w:left="0" w:leftChars="0" w:firstLine="0" w:firstLineChars="0"/>
              <w:jc w:val="center"/>
              <w:rPr>
                <w:b w:val="0"/>
                <w:color w:val="000000"/>
              </w:rPr>
            </w:pPr>
            <w:r>
              <w:rPr>
                <w:rFonts w:hint="eastAsia"/>
                <w:b w:val="0"/>
                <w:color w:val="000000"/>
              </w:rPr>
              <w:t>0.53</w:t>
            </w:r>
          </w:p>
        </w:tc>
        <w:tc>
          <w:tcPr>
            <w:tcW w:w="4199" w:type="dxa"/>
            <w:tcBorders>
              <w:top w:val="nil"/>
              <w:left w:val="nil"/>
              <w:bottom w:val="single" w:color="000000" w:sz="12" w:space="0"/>
              <w:right w:val="nil"/>
            </w:tcBorders>
            <w:shd w:val="clear" w:color="auto" w:fill="FFFFFF"/>
          </w:tcPr>
          <w:p w14:paraId="7733A5E1">
            <w:pPr>
              <w:ind w:left="0" w:leftChars="0" w:firstLine="0" w:firstLineChars="0"/>
              <w:jc w:val="center"/>
              <w:rPr>
                <w:b w:val="0"/>
                <w:color w:val="000000"/>
              </w:rPr>
            </w:pPr>
            <w:r>
              <w:rPr>
                <w:rFonts w:hint="eastAsia"/>
                <w:b w:val="0"/>
                <w:color w:val="000000"/>
              </w:rPr>
              <w:t>中度正相关</w:t>
            </w:r>
          </w:p>
        </w:tc>
      </w:tr>
    </w:tbl>
    <w:p w14:paraId="5FFDEFCE">
      <w:pPr>
        <w:rPr>
          <w:rFonts w:hint="eastAsia"/>
        </w:rPr>
      </w:pPr>
      <w:r>
        <w:rPr>
          <w:rFonts w:hint="eastAsia"/>
        </w:rPr>
        <w:t>分析要点：</w:t>
      </w:r>
    </w:p>
    <w:p w14:paraId="29B5A341">
      <w:pPr>
        <w:rPr>
          <w:rFonts w:hint="eastAsia"/>
        </w:rPr>
      </w:pPr>
      <w:r>
        <w:rPr>
          <w:rFonts w:hint="eastAsia"/>
        </w:rPr>
        <w:t>所有题目与总分的相关系数均超过0.5，表明各题目对总分的贡献均具有统计意义。</w:t>
      </w:r>
    </w:p>
    <w:p w14:paraId="79C3287B">
      <w:pPr>
        <w:rPr>
          <w:rFonts w:hint="eastAsia"/>
        </w:rPr>
      </w:pPr>
      <w:r>
        <w:rPr>
          <w:rFonts w:hint="eastAsia"/>
        </w:rPr>
        <w:t>交通便捷性与总分的相关性最高（r=0.82），说明交通因素是影响参赛决策的核心变量之一。</w:t>
      </w:r>
    </w:p>
    <w:p w14:paraId="26AA2326">
      <w:pPr>
        <w:rPr>
          <w:rFonts w:hint="eastAsia"/>
        </w:rPr>
      </w:pPr>
      <w:r>
        <w:rPr>
          <w:rFonts w:hint="eastAsia"/>
        </w:rPr>
        <w:t>信息获取渠道与总分的相关性相对较低（r=0.53），说明该题目的测量有效性与其他题目略有差异，这可能反映了“信息”因素受个体差异影响较大，导致一致性略低，但仍在可接受范围内。</w:t>
      </w:r>
    </w:p>
    <w:p w14:paraId="40ABD5DD">
      <w:pPr>
        <w:rPr>
          <w:rFonts w:hint="eastAsia"/>
        </w:rPr>
      </w:pPr>
      <w:r>
        <w:rPr>
          <w:rFonts w:hint="eastAsia"/>
        </w:rPr>
        <w:t>为进一步验证量表的内部一致性，本研究对核心构念“外部限制因素”（</w:t>
      </w:r>
      <w:r>
        <w:rPr>
          <w:rFonts w:hint="eastAsia"/>
          <w:lang w:val="en-US" w:eastAsia="zh-CN"/>
        </w:rPr>
        <w:t>第</w:t>
      </w:r>
      <w:r>
        <w:rPr>
          <w:rFonts w:hint="eastAsia"/>
        </w:rPr>
        <w:t>14</w:t>
      </w:r>
      <w:r>
        <w:rPr>
          <w:rFonts w:hint="eastAsia"/>
          <w:lang w:val="en-US" w:eastAsia="zh-CN"/>
        </w:rPr>
        <w:t>题—第</w:t>
      </w:r>
      <w:r>
        <w:rPr>
          <w:rFonts w:hint="eastAsia"/>
        </w:rPr>
        <w:t>17</w:t>
      </w:r>
      <w:r>
        <w:rPr>
          <w:rFonts w:hint="eastAsia"/>
          <w:lang w:val="en-US" w:eastAsia="zh-CN"/>
        </w:rPr>
        <w:t>题</w:t>
      </w:r>
      <w:r>
        <w:rPr>
          <w:rFonts w:hint="eastAsia"/>
        </w:rPr>
        <w:t>）进行了可视化分析（见图 2）。数据显示，受访者在“交通便捷度”和“时间成本”维度上的关注度较高（选择“非常重要”和“比较重要”的比例显著），而在“信息获取”上的分布较为均匀。各条目评分既呈现出一定的集中趋势，又保留了合理的离散度，未出现明显的极值效应。这种分布形态与Cronbach's α系数（0.</w:t>
      </w:r>
      <w:r>
        <w:rPr>
          <w:rFonts w:hint="eastAsia"/>
          <w:lang w:val="en-US" w:eastAsia="zh-CN"/>
        </w:rPr>
        <w:t>79</w:t>
      </w:r>
      <w:r>
        <w:rPr>
          <w:rFonts w:hint="eastAsia"/>
        </w:rPr>
        <w:t>）的结果相互印证，说明该量表能够稳定、有效地反映跑者在决策时的心理权衡。</w:t>
      </w:r>
    </w:p>
    <w:p w14:paraId="24FF9E61">
      <w:pPr>
        <w:jc w:val="center"/>
      </w:pPr>
      <w:r>
        <w:drawing>
          <wp:anchor distT="0" distB="0" distL="114300" distR="114300" simplePos="0" relativeHeight="251659264" behindDoc="0" locked="0" layoutInCell="1" allowOverlap="1">
            <wp:simplePos x="0" y="0"/>
            <wp:positionH relativeFrom="column">
              <wp:posOffset>-87630</wp:posOffset>
            </wp:positionH>
            <wp:positionV relativeFrom="paragraph">
              <wp:posOffset>-6192520</wp:posOffset>
            </wp:positionV>
            <wp:extent cx="5528310" cy="2449830"/>
            <wp:effectExtent l="0" t="0" r="8890" b="127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rcRect l="1604" r="2183"/>
                    <a:stretch>
                      <a:fillRect/>
                    </a:stretch>
                  </pic:blipFill>
                  <pic:spPr>
                    <a:xfrm>
                      <a:off x="0" y="0"/>
                      <a:ext cx="5528310" cy="2449830"/>
                    </a:xfrm>
                    <a:prstGeom prst="rect">
                      <a:avLst/>
                    </a:prstGeom>
                    <a:noFill/>
                    <a:ln>
                      <a:noFill/>
                    </a:ln>
                  </pic:spPr>
                </pic:pic>
              </a:graphicData>
            </a:graphic>
          </wp:anchor>
        </w:drawing>
      </w:r>
    </w:p>
    <w:p w14:paraId="1B63C858">
      <w:pPr>
        <w:pStyle w:val="9"/>
        <w:bidi w:val="0"/>
        <w:rPr>
          <w:rFonts w:hint="default"/>
          <w:lang w:val="en-US" w:eastAsia="zh-CN"/>
        </w:rPr>
      </w:pPr>
      <w:r>
        <w:rPr>
          <w:rFonts w:hint="eastAsia"/>
          <w:lang w:val="en-US" w:eastAsia="zh-CN"/>
        </w:rPr>
        <w:t>图2  外部因素影响程度的描述性统计</w:t>
      </w:r>
    </w:p>
    <w:p w14:paraId="50A2DC22">
      <w:pPr>
        <w:rPr>
          <w:rFonts w:hint="eastAsia"/>
          <w:b/>
          <w:bCs/>
        </w:rPr>
      </w:pPr>
      <w:r>
        <w:rPr>
          <w:rFonts w:hint="eastAsia"/>
          <w:b/>
          <w:bCs/>
        </w:rPr>
        <w:t>(4) 删除题目后的α系数变化分析</w:t>
      </w:r>
    </w:p>
    <w:p w14:paraId="044362E2">
      <w:pPr>
        <w:rPr>
          <w:rFonts w:hint="eastAsia"/>
        </w:rPr>
      </w:pPr>
      <w:r>
        <w:rPr>
          <w:rFonts w:hint="eastAsia"/>
        </w:rPr>
        <w:t>为检验每个题目的贡献，计算删除各题目后的α系数：</w:t>
      </w:r>
    </w:p>
    <w:p w14:paraId="31A3B1BB">
      <w:pPr>
        <w:jc w:val="center"/>
        <w:rPr>
          <w:rFonts w:hint="default" w:eastAsiaTheme="minorEastAsia"/>
          <w:lang w:val="en-US" w:eastAsia="zh-CN"/>
        </w:rPr>
      </w:pPr>
      <w:r>
        <w:rPr>
          <w:rFonts w:hint="eastAsia"/>
          <w:lang w:val="en-US" w:eastAsia="zh-CN"/>
        </w:rPr>
        <w:t xml:space="preserve">表4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413"/>
        <w:gridCol w:w="1083"/>
        <w:gridCol w:w="4340"/>
      </w:tblGrid>
      <w:tr w14:paraId="1F539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top w:val="single" w:color="000000" w:sz="12" w:space="0"/>
              <w:left w:val="nil"/>
              <w:bottom w:val="single" w:color="000000" w:sz="4" w:space="0"/>
              <w:right w:val="nil"/>
              <w:tl2br w:val="nil"/>
            </w:tcBorders>
            <w:shd w:val="clear" w:color="auto" w:fill="FFFFFF"/>
          </w:tcPr>
          <w:p w14:paraId="72C35059">
            <w:pPr>
              <w:ind w:left="0" w:leftChars="0" w:firstLine="0" w:firstLineChars="0"/>
              <w:jc w:val="center"/>
              <w:rPr>
                <w:b w:val="0"/>
                <w:color w:val="000000"/>
              </w:rPr>
            </w:pPr>
            <w:r>
              <w:rPr>
                <w:rFonts w:hint="eastAsia"/>
                <w:b w:val="0"/>
                <w:color w:val="000000"/>
              </w:rPr>
              <w:t>删除的题目</w:t>
            </w:r>
          </w:p>
        </w:tc>
        <w:tc>
          <w:tcPr>
            <w:tcW w:w="1413" w:type="dxa"/>
            <w:tcBorders>
              <w:top w:val="single" w:color="000000" w:sz="12" w:space="0"/>
              <w:left w:val="nil"/>
              <w:bottom w:val="single" w:color="000000" w:sz="4" w:space="0"/>
              <w:right w:val="nil"/>
            </w:tcBorders>
            <w:shd w:val="clear" w:color="auto" w:fill="FFFFFF"/>
          </w:tcPr>
          <w:p w14:paraId="2845AD0A">
            <w:pPr>
              <w:ind w:left="0" w:leftChars="0" w:firstLine="0" w:firstLineChars="0"/>
              <w:jc w:val="center"/>
              <w:rPr>
                <w:b w:val="0"/>
                <w:color w:val="000000"/>
              </w:rPr>
            </w:pPr>
            <w:r>
              <w:rPr>
                <w:rFonts w:hint="eastAsia"/>
                <w:b w:val="0"/>
                <w:color w:val="000000"/>
              </w:rPr>
              <w:t>新的α系数</w:t>
            </w:r>
          </w:p>
        </w:tc>
        <w:tc>
          <w:tcPr>
            <w:tcW w:w="1083" w:type="dxa"/>
            <w:tcBorders>
              <w:top w:val="single" w:color="000000" w:sz="12" w:space="0"/>
              <w:left w:val="nil"/>
              <w:bottom w:val="single" w:color="000000" w:sz="4" w:space="0"/>
              <w:right w:val="nil"/>
            </w:tcBorders>
            <w:shd w:val="clear" w:color="auto" w:fill="FFFFFF"/>
          </w:tcPr>
          <w:p w14:paraId="44FA2795">
            <w:pPr>
              <w:ind w:left="0" w:leftChars="0" w:firstLine="0" w:firstLineChars="0"/>
              <w:jc w:val="center"/>
              <w:rPr>
                <w:b w:val="0"/>
                <w:color w:val="000000"/>
              </w:rPr>
            </w:pPr>
            <w:r>
              <w:rPr>
                <w:rFonts w:hint="eastAsia"/>
                <w:b w:val="0"/>
                <w:color w:val="000000"/>
              </w:rPr>
              <w:t>α变化</w:t>
            </w:r>
          </w:p>
        </w:tc>
        <w:tc>
          <w:tcPr>
            <w:tcW w:w="4340" w:type="dxa"/>
            <w:tcBorders>
              <w:top w:val="single" w:color="000000" w:sz="12" w:space="0"/>
              <w:left w:val="nil"/>
              <w:bottom w:val="single" w:color="000000" w:sz="4" w:space="0"/>
              <w:right w:val="nil"/>
            </w:tcBorders>
            <w:shd w:val="clear" w:color="auto" w:fill="FFFFFF"/>
          </w:tcPr>
          <w:p w14:paraId="190BECF3">
            <w:pPr>
              <w:ind w:left="0" w:leftChars="0" w:firstLine="0" w:firstLineChars="0"/>
              <w:jc w:val="center"/>
              <w:rPr>
                <w:b w:val="0"/>
                <w:color w:val="000000"/>
              </w:rPr>
            </w:pPr>
            <w:r>
              <w:rPr>
                <w:rFonts w:hint="eastAsia"/>
                <w:b w:val="0"/>
                <w:color w:val="000000"/>
              </w:rPr>
              <w:t>评价</w:t>
            </w:r>
          </w:p>
        </w:tc>
      </w:tr>
      <w:tr w14:paraId="453BC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top w:val="single" w:color="000000" w:sz="4" w:space="0"/>
              <w:left w:val="nil"/>
              <w:bottom w:val="nil"/>
              <w:right w:val="nil"/>
            </w:tcBorders>
            <w:shd w:val="clear" w:color="auto" w:fill="FFFFFF"/>
          </w:tcPr>
          <w:p w14:paraId="123B5362">
            <w:pPr>
              <w:ind w:left="0" w:leftChars="0" w:firstLine="0" w:firstLineChars="0"/>
              <w:jc w:val="center"/>
              <w:rPr>
                <w:b w:val="0"/>
                <w:color w:val="000000"/>
              </w:rPr>
            </w:pPr>
            <w:r>
              <w:rPr>
                <w:rFonts w:hint="eastAsia"/>
                <w:b w:val="0"/>
                <w:color w:val="000000"/>
              </w:rPr>
              <w:t>交通便捷性</w:t>
            </w:r>
          </w:p>
        </w:tc>
        <w:tc>
          <w:tcPr>
            <w:tcW w:w="1413" w:type="dxa"/>
            <w:tcBorders>
              <w:top w:val="single" w:color="000000" w:sz="4" w:space="0"/>
              <w:left w:val="nil"/>
              <w:bottom w:val="nil"/>
              <w:right w:val="nil"/>
            </w:tcBorders>
            <w:shd w:val="clear" w:color="auto" w:fill="FFFFFF"/>
          </w:tcPr>
          <w:p w14:paraId="0B9CA074">
            <w:pPr>
              <w:ind w:left="0" w:leftChars="0" w:firstLine="0" w:firstLineChars="0"/>
              <w:jc w:val="center"/>
              <w:rPr>
                <w:b w:val="0"/>
                <w:color w:val="000000"/>
              </w:rPr>
            </w:pPr>
            <w:r>
              <w:rPr>
                <w:rFonts w:hint="eastAsia"/>
                <w:b w:val="0"/>
                <w:color w:val="000000"/>
              </w:rPr>
              <w:t>0.74</w:t>
            </w:r>
          </w:p>
        </w:tc>
        <w:tc>
          <w:tcPr>
            <w:tcW w:w="1083" w:type="dxa"/>
            <w:tcBorders>
              <w:top w:val="single" w:color="000000" w:sz="4" w:space="0"/>
              <w:left w:val="nil"/>
              <w:bottom w:val="nil"/>
              <w:right w:val="nil"/>
            </w:tcBorders>
            <w:shd w:val="clear" w:color="auto" w:fill="FFFFFF"/>
          </w:tcPr>
          <w:p w14:paraId="5F4F7F94">
            <w:pPr>
              <w:ind w:left="0" w:leftChars="0" w:firstLine="0" w:firstLineChars="0"/>
              <w:jc w:val="center"/>
              <w:rPr>
                <w:b w:val="0"/>
                <w:color w:val="000000"/>
              </w:rPr>
            </w:pPr>
            <w:r>
              <w:rPr>
                <w:rFonts w:hint="eastAsia"/>
                <w:b w:val="0"/>
                <w:color w:val="000000"/>
              </w:rPr>
              <w:t>-0.05</w:t>
            </w:r>
          </w:p>
        </w:tc>
        <w:tc>
          <w:tcPr>
            <w:tcW w:w="4340" w:type="dxa"/>
            <w:tcBorders>
              <w:top w:val="single" w:color="000000" w:sz="4" w:space="0"/>
              <w:left w:val="nil"/>
              <w:bottom w:val="nil"/>
              <w:right w:val="nil"/>
            </w:tcBorders>
            <w:shd w:val="clear" w:color="auto" w:fill="FFFFFF"/>
          </w:tcPr>
          <w:p w14:paraId="6E26A8AC">
            <w:pPr>
              <w:ind w:left="0" w:leftChars="0" w:firstLine="0" w:firstLineChars="0"/>
              <w:jc w:val="center"/>
              <w:rPr>
                <w:b w:val="0"/>
                <w:color w:val="000000"/>
              </w:rPr>
            </w:pPr>
            <w:r>
              <w:rPr>
                <w:rFonts w:hint="eastAsia"/>
                <w:b w:val="0"/>
                <w:color w:val="000000"/>
              </w:rPr>
              <w:t>α略降，说明该题目对信度有正向贡献</w:t>
            </w:r>
          </w:p>
        </w:tc>
      </w:tr>
      <w:tr w14:paraId="056C2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top w:val="nil"/>
              <w:left w:val="nil"/>
              <w:bottom w:val="nil"/>
              <w:right w:val="nil"/>
            </w:tcBorders>
            <w:shd w:val="clear" w:color="auto" w:fill="FFFFFF"/>
          </w:tcPr>
          <w:p w14:paraId="011093A6">
            <w:pPr>
              <w:ind w:left="0" w:leftChars="0" w:firstLine="0" w:firstLineChars="0"/>
              <w:jc w:val="center"/>
              <w:rPr>
                <w:b w:val="0"/>
                <w:color w:val="000000"/>
              </w:rPr>
            </w:pPr>
            <w:r>
              <w:rPr>
                <w:rFonts w:hint="eastAsia"/>
                <w:b w:val="0"/>
                <w:color w:val="000000"/>
              </w:rPr>
              <w:t>时间成本</w:t>
            </w:r>
          </w:p>
        </w:tc>
        <w:tc>
          <w:tcPr>
            <w:tcW w:w="1413" w:type="dxa"/>
            <w:tcBorders>
              <w:top w:val="nil"/>
              <w:left w:val="nil"/>
              <w:bottom w:val="nil"/>
              <w:right w:val="nil"/>
            </w:tcBorders>
            <w:shd w:val="clear" w:color="auto" w:fill="FFFFFF"/>
          </w:tcPr>
          <w:p w14:paraId="4F8A490B">
            <w:pPr>
              <w:ind w:left="0" w:leftChars="0" w:firstLine="0" w:firstLineChars="0"/>
              <w:jc w:val="center"/>
              <w:rPr>
                <w:b w:val="0"/>
                <w:color w:val="000000"/>
              </w:rPr>
            </w:pPr>
            <w:r>
              <w:rPr>
                <w:rFonts w:hint="eastAsia"/>
                <w:b w:val="0"/>
                <w:color w:val="000000"/>
              </w:rPr>
              <w:t>0.75</w:t>
            </w:r>
          </w:p>
        </w:tc>
        <w:tc>
          <w:tcPr>
            <w:tcW w:w="1083" w:type="dxa"/>
            <w:tcBorders>
              <w:top w:val="nil"/>
              <w:left w:val="nil"/>
              <w:bottom w:val="nil"/>
              <w:right w:val="nil"/>
            </w:tcBorders>
            <w:shd w:val="clear" w:color="auto" w:fill="FFFFFF"/>
          </w:tcPr>
          <w:p w14:paraId="21EF813F">
            <w:pPr>
              <w:ind w:left="0" w:leftChars="0" w:firstLine="0" w:firstLineChars="0"/>
              <w:jc w:val="center"/>
              <w:rPr>
                <w:b w:val="0"/>
                <w:color w:val="000000"/>
              </w:rPr>
            </w:pPr>
            <w:r>
              <w:rPr>
                <w:rFonts w:hint="eastAsia"/>
                <w:b w:val="0"/>
                <w:color w:val="000000"/>
              </w:rPr>
              <w:t>-0.04</w:t>
            </w:r>
          </w:p>
        </w:tc>
        <w:tc>
          <w:tcPr>
            <w:tcW w:w="4340" w:type="dxa"/>
            <w:tcBorders>
              <w:top w:val="nil"/>
              <w:left w:val="nil"/>
              <w:bottom w:val="nil"/>
              <w:right w:val="nil"/>
            </w:tcBorders>
            <w:shd w:val="clear" w:color="auto" w:fill="FFFFFF"/>
          </w:tcPr>
          <w:p w14:paraId="4537FCF8">
            <w:pPr>
              <w:ind w:left="0" w:leftChars="0" w:firstLine="0" w:firstLineChars="0"/>
              <w:jc w:val="center"/>
              <w:rPr>
                <w:b w:val="0"/>
                <w:color w:val="000000"/>
              </w:rPr>
            </w:pPr>
            <w:r>
              <w:rPr>
                <w:rFonts w:hint="eastAsia"/>
                <w:b w:val="0"/>
                <w:color w:val="000000"/>
              </w:rPr>
              <w:t>α略降，说明该题目对信度有正向贡献</w:t>
            </w:r>
          </w:p>
        </w:tc>
      </w:tr>
      <w:tr w14:paraId="3F6D2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top w:val="nil"/>
              <w:left w:val="nil"/>
              <w:bottom w:val="nil"/>
              <w:right w:val="nil"/>
            </w:tcBorders>
            <w:shd w:val="clear" w:color="auto" w:fill="FFFFFF"/>
          </w:tcPr>
          <w:p w14:paraId="519AE8FF">
            <w:pPr>
              <w:ind w:left="0" w:leftChars="0" w:firstLine="0" w:firstLineChars="0"/>
              <w:jc w:val="center"/>
              <w:rPr>
                <w:b w:val="0"/>
                <w:color w:val="000000"/>
              </w:rPr>
            </w:pPr>
            <w:r>
              <w:rPr>
                <w:rFonts w:hint="eastAsia"/>
                <w:b w:val="0"/>
                <w:color w:val="000000"/>
              </w:rPr>
              <w:t>参赛费用</w:t>
            </w:r>
          </w:p>
        </w:tc>
        <w:tc>
          <w:tcPr>
            <w:tcW w:w="1413" w:type="dxa"/>
            <w:tcBorders>
              <w:top w:val="nil"/>
              <w:left w:val="nil"/>
              <w:bottom w:val="nil"/>
              <w:right w:val="nil"/>
            </w:tcBorders>
            <w:shd w:val="clear" w:color="auto" w:fill="FFFFFF"/>
          </w:tcPr>
          <w:p w14:paraId="2436B571">
            <w:pPr>
              <w:ind w:left="0" w:leftChars="0" w:firstLine="0" w:firstLineChars="0"/>
              <w:jc w:val="center"/>
              <w:rPr>
                <w:b w:val="0"/>
                <w:color w:val="000000"/>
              </w:rPr>
            </w:pPr>
            <w:r>
              <w:rPr>
                <w:rFonts w:hint="eastAsia"/>
                <w:b w:val="0"/>
                <w:color w:val="000000"/>
              </w:rPr>
              <w:t>0.79</w:t>
            </w:r>
          </w:p>
        </w:tc>
        <w:tc>
          <w:tcPr>
            <w:tcW w:w="1083" w:type="dxa"/>
            <w:tcBorders>
              <w:top w:val="nil"/>
              <w:left w:val="nil"/>
              <w:bottom w:val="nil"/>
              <w:right w:val="nil"/>
            </w:tcBorders>
            <w:shd w:val="clear" w:color="auto" w:fill="FFFFFF"/>
          </w:tcPr>
          <w:p w14:paraId="639E42E8">
            <w:pPr>
              <w:ind w:left="0" w:leftChars="0" w:firstLine="0" w:firstLineChars="0"/>
              <w:jc w:val="center"/>
              <w:rPr>
                <w:b w:val="0"/>
                <w:color w:val="000000"/>
              </w:rPr>
            </w:pPr>
            <w:r>
              <w:rPr>
                <w:rFonts w:hint="eastAsia"/>
                <w:b w:val="0"/>
                <w:color w:val="000000"/>
              </w:rPr>
              <w:t>0.00</w:t>
            </w:r>
          </w:p>
        </w:tc>
        <w:tc>
          <w:tcPr>
            <w:tcW w:w="4340" w:type="dxa"/>
            <w:tcBorders>
              <w:top w:val="nil"/>
              <w:left w:val="nil"/>
              <w:bottom w:val="nil"/>
              <w:right w:val="nil"/>
            </w:tcBorders>
            <w:shd w:val="clear" w:color="auto" w:fill="FFFFFF"/>
          </w:tcPr>
          <w:p w14:paraId="1AE4DD41">
            <w:pPr>
              <w:ind w:left="0" w:leftChars="0" w:firstLine="0" w:firstLineChars="0"/>
              <w:jc w:val="center"/>
              <w:rPr>
                <w:b w:val="0"/>
                <w:color w:val="000000"/>
              </w:rPr>
            </w:pPr>
            <w:r>
              <w:rPr>
                <w:rFonts w:hint="eastAsia"/>
                <w:b w:val="0"/>
                <w:color w:val="000000"/>
              </w:rPr>
              <w:t>α基本不变，说明该题目对信度影响中性</w:t>
            </w:r>
          </w:p>
        </w:tc>
      </w:tr>
      <w:tr w14:paraId="2B5F3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top w:val="nil"/>
              <w:left w:val="nil"/>
              <w:bottom w:val="single" w:color="000000" w:sz="12" w:space="0"/>
              <w:right w:val="nil"/>
            </w:tcBorders>
            <w:shd w:val="clear" w:color="auto" w:fill="FFFFFF"/>
          </w:tcPr>
          <w:p w14:paraId="4D759D83">
            <w:pPr>
              <w:ind w:left="0" w:leftChars="0" w:firstLine="0" w:firstLineChars="0"/>
              <w:jc w:val="center"/>
              <w:rPr>
                <w:b w:val="0"/>
                <w:color w:val="000000"/>
              </w:rPr>
            </w:pPr>
            <w:r>
              <w:rPr>
                <w:rFonts w:hint="eastAsia"/>
                <w:b w:val="0"/>
                <w:color w:val="000000"/>
              </w:rPr>
              <w:t>信息获取渠道</w:t>
            </w:r>
          </w:p>
        </w:tc>
        <w:tc>
          <w:tcPr>
            <w:tcW w:w="1413" w:type="dxa"/>
            <w:tcBorders>
              <w:top w:val="nil"/>
              <w:left w:val="nil"/>
              <w:bottom w:val="single" w:color="000000" w:sz="12" w:space="0"/>
              <w:right w:val="nil"/>
            </w:tcBorders>
            <w:shd w:val="clear" w:color="auto" w:fill="FFFFFF"/>
          </w:tcPr>
          <w:p w14:paraId="4CBEF66F">
            <w:pPr>
              <w:ind w:left="0" w:leftChars="0" w:firstLine="0" w:firstLineChars="0"/>
              <w:jc w:val="center"/>
              <w:rPr>
                <w:b w:val="0"/>
                <w:color w:val="000000"/>
              </w:rPr>
            </w:pPr>
            <w:r>
              <w:rPr>
                <w:rFonts w:hint="eastAsia"/>
                <w:b w:val="0"/>
                <w:color w:val="000000"/>
              </w:rPr>
              <w:t>0.77</w:t>
            </w:r>
          </w:p>
        </w:tc>
        <w:tc>
          <w:tcPr>
            <w:tcW w:w="1083" w:type="dxa"/>
            <w:tcBorders>
              <w:top w:val="nil"/>
              <w:left w:val="nil"/>
              <w:bottom w:val="single" w:color="000000" w:sz="12" w:space="0"/>
              <w:right w:val="nil"/>
            </w:tcBorders>
            <w:shd w:val="clear" w:color="auto" w:fill="FFFFFF"/>
          </w:tcPr>
          <w:p w14:paraId="64B9DA3A">
            <w:pPr>
              <w:ind w:left="0" w:leftChars="0" w:firstLine="0" w:firstLineChars="0"/>
              <w:jc w:val="center"/>
              <w:rPr>
                <w:b w:val="0"/>
                <w:color w:val="000000"/>
              </w:rPr>
            </w:pPr>
            <w:r>
              <w:rPr>
                <w:rFonts w:hint="eastAsia"/>
                <w:b w:val="0"/>
                <w:color w:val="000000"/>
              </w:rPr>
              <w:t>-0.02</w:t>
            </w:r>
          </w:p>
        </w:tc>
        <w:tc>
          <w:tcPr>
            <w:tcW w:w="4340" w:type="dxa"/>
            <w:tcBorders>
              <w:top w:val="nil"/>
              <w:left w:val="nil"/>
              <w:bottom w:val="single" w:color="000000" w:sz="12" w:space="0"/>
              <w:right w:val="nil"/>
            </w:tcBorders>
            <w:shd w:val="clear" w:color="auto" w:fill="FFFFFF"/>
          </w:tcPr>
          <w:p w14:paraId="21C499ED">
            <w:pPr>
              <w:ind w:left="0" w:leftChars="0" w:firstLine="0" w:firstLineChars="0"/>
              <w:jc w:val="center"/>
              <w:rPr>
                <w:b w:val="0"/>
                <w:color w:val="000000"/>
              </w:rPr>
            </w:pPr>
            <w:r>
              <w:rPr>
                <w:rFonts w:hint="eastAsia"/>
                <w:b w:val="0"/>
                <w:color w:val="000000"/>
              </w:rPr>
              <w:t>α略降，说明该题目与其它题目的一致性略低</w:t>
            </w:r>
          </w:p>
        </w:tc>
      </w:tr>
    </w:tbl>
    <w:p w14:paraId="32393DE6">
      <w:pPr>
        <w:rPr>
          <w:rFonts w:hint="eastAsia"/>
        </w:rPr>
      </w:pPr>
      <w:r>
        <w:rPr>
          <w:rFonts w:hint="eastAsia"/>
        </w:rPr>
        <w:t>结论：</w:t>
      </w:r>
    </w:p>
    <w:p w14:paraId="03F4FACE">
      <w:pPr>
        <w:rPr>
          <w:rFonts w:hint="eastAsia"/>
        </w:rPr>
      </w:pPr>
      <w:r>
        <w:rPr>
          <w:rFonts w:hint="eastAsia"/>
        </w:rPr>
        <w:t>所有题目的删除均未导致α系数的大幅下降，表明量表结构稳定。其中，交通和时间成本两个题目对信度的贡献最大，建议在正式调研中重点保留。</w:t>
      </w:r>
    </w:p>
    <w:p w14:paraId="1920823C">
      <w:pPr>
        <w:rPr>
          <w:rFonts w:hint="eastAsia"/>
        </w:rPr>
      </w:pPr>
      <w:r>
        <w:rPr>
          <w:rFonts w:hint="eastAsia"/>
          <w:b/>
          <w:bCs/>
        </w:rPr>
        <w:t>2. 分半信度与评分者一致性</w:t>
      </w:r>
    </w:p>
    <w:p w14:paraId="0D27F5D6">
      <w:pPr>
        <w:rPr>
          <w:rFonts w:hint="eastAsia"/>
          <w:b/>
          <w:bCs/>
        </w:rPr>
      </w:pPr>
      <w:r>
        <w:rPr>
          <w:rFonts w:hint="eastAsia"/>
          <w:b/>
          <w:bCs/>
        </w:rPr>
        <w:t>(1) 分半信度：</w:t>
      </w:r>
    </w:p>
    <w:p w14:paraId="63C6A8CE">
      <w:pPr>
        <w:rPr>
          <w:rFonts w:hint="eastAsia"/>
        </w:rPr>
      </w:pPr>
      <w:r>
        <w:rPr>
          <w:rFonts w:hint="eastAsia"/>
        </w:rPr>
        <w:t>将四个题目分为两组（题目1-2 为一组，题目3-4 为一组），计算两组总分的相关性，再用Spearman-Brown公式校正。结果显示，分半信度系数约为 0.75，校正后达到 0.86，进一步证实了量表的良好信度。</w:t>
      </w:r>
    </w:p>
    <w:p w14:paraId="7E73A722">
      <w:pPr>
        <w:rPr>
          <w:rFonts w:hint="eastAsia"/>
          <w:b/>
          <w:bCs/>
        </w:rPr>
      </w:pPr>
      <w:r>
        <w:rPr>
          <w:rFonts w:hint="eastAsia"/>
          <w:b/>
          <w:bCs/>
        </w:rPr>
        <w:t>(2) 评分者一致性：</w:t>
      </w:r>
    </w:p>
    <w:p w14:paraId="03D2DF92">
      <w:pPr>
        <w:rPr>
          <w:rFonts w:hint="eastAsia"/>
        </w:rPr>
      </w:pPr>
      <w:r>
        <w:rPr>
          <w:rFonts w:hint="eastAsia"/>
        </w:rPr>
        <w:t>该问卷为自陈式量表，不涉及多个评分者，故不适用评分者一致性检验。</w:t>
      </w:r>
    </w:p>
    <w:p w14:paraId="505D228F">
      <w:pPr>
        <w:rPr>
          <w:rFonts w:hint="eastAsia"/>
          <w:b/>
          <w:bCs/>
        </w:rPr>
      </w:pPr>
      <w:r>
        <w:rPr>
          <w:rFonts w:hint="eastAsia"/>
          <w:b/>
          <w:bCs/>
        </w:rPr>
        <w:t>(3) 满意度与重复意愿的一致性：</w:t>
      </w:r>
    </w:p>
    <w:p w14:paraId="7299519F">
      <w:pPr>
        <w:rPr>
          <w:rFonts w:hint="eastAsia"/>
        </w:rPr>
      </w:pPr>
      <w:r>
        <w:rPr>
          <w:rFonts w:hint="eastAsia"/>
        </w:rPr>
        <w:t>通过对第12题（整体满意度）与第13题（重复参与意愿）的交叉分析，发现满意度高的受访者重复参与意愿显著更强（Spearman相关系数ρ=0.71, p&lt;0.01），表明这两题之间存在逻辑一致性，进一步支持了问卷的信度。</w:t>
      </w:r>
    </w:p>
    <w:p w14:paraId="7A4A4460">
      <w:pPr>
        <w:rPr>
          <w:rFonts w:hint="eastAsia"/>
        </w:rPr>
      </w:pPr>
    </w:p>
    <w:p w14:paraId="5303DD90">
      <w:pPr>
        <w:rPr>
          <w:rFonts w:hint="eastAsia"/>
          <w:b/>
          <w:bCs/>
        </w:rPr>
      </w:pPr>
      <w:r>
        <w:rPr>
          <w:rFonts w:hint="eastAsia"/>
          <w:b/>
          <w:bCs/>
        </w:rPr>
        <w:t>信度分析总结：</w:t>
      </w:r>
    </w:p>
    <w:p w14:paraId="7D1C0F66">
      <w:pPr>
        <w:rPr>
          <w:rFonts w:hint="eastAsia"/>
        </w:rPr>
      </w:pPr>
      <w:r>
        <w:rPr>
          <w:rFonts w:hint="eastAsia"/>
        </w:rPr>
        <w:t>基于清洗后122份已参赛者有效样本的实证数据分析，第14-17题核心量表的Cronbach’s α系数达到 0.79，具有良好的内部一致性信度，达到了社会调查研究的良好标准。题目-总分相关性分析、分半信度检验以及满意度与重复意愿的逻辑一致性检验均支持这一结论。在正式调研中，</w:t>
      </w:r>
      <w:r>
        <w:rPr>
          <w:rFonts w:hint="eastAsia"/>
          <w:lang w:val="en-US" w:eastAsia="zh-CN"/>
        </w:rPr>
        <w:t>可</w:t>
      </w:r>
      <w:r>
        <w:rPr>
          <w:rFonts w:hint="eastAsia"/>
        </w:rPr>
        <w:t>继续使用该量表，并保持题目设置的稳定性，以确保信度水平的维持或提升。</w:t>
      </w:r>
    </w:p>
    <w:p w14:paraId="153F82C1">
      <w:pPr>
        <w:rPr>
          <w:rFonts w:hint="eastAsia"/>
        </w:rPr>
      </w:pPr>
    </w:p>
    <w:p w14:paraId="6C89162E">
      <w:pPr>
        <w:pStyle w:val="5"/>
        <w:bidi w:val="0"/>
        <w:rPr>
          <w:rFonts w:hint="eastAsia"/>
        </w:rPr>
      </w:pPr>
      <w:r>
        <w:rPr>
          <w:rFonts w:hint="eastAsia"/>
        </w:rPr>
        <w:t>三、 效度分析</w:t>
      </w:r>
    </w:p>
    <w:p w14:paraId="3C78B942">
      <w:pPr>
        <w:rPr>
          <w:rFonts w:hint="eastAsia"/>
        </w:rPr>
      </w:pPr>
      <w:r>
        <w:rPr>
          <w:rFonts w:hint="eastAsia"/>
        </w:rPr>
        <w:t>效度指测量工具能够准确测量出所要测量特质的程度，主要包括内容效度、结构效度等（李灿 &amp; 辛玲, 2008）。本研究主要评估内容效度与结构效度，并基于数据对准则关联效度进行深入探讨。</w:t>
      </w:r>
    </w:p>
    <w:p w14:paraId="08E3FECD">
      <w:pPr>
        <w:rPr>
          <w:rFonts w:hint="eastAsia"/>
        </w:rPr>
      </w:pPr>
      <w:r>
        <w:rPr>
          <w:rFonts w:hint="eastAsia"/>
          <w:b/>
          <w:bCs/>
        </w:rPr>
        <w:t>1. 内容效度</w:t>
      </w:r>
    </w:p>
    <w:p w14:paraId="36A784CC">
      <w:pPr>
        <w:rPr>
          <w:rFonts w:hint="eastAsia"/>
        </w:rPr>
      </w:pPr>
      <w:r>
        <w:rPr>
          <w:rFonts w:hint="eastAsia"/>
        </w:rPr>
        <w:t>内容效度指量表题目是否能够充分覆盖其所要测量的内容领域。</w:t>
      </w:r>
    </w:p>
    <w:p w14:paraId="24FE3784">
      <w:pPr>
        <w:rPr>
          <w:rFonts w:hint="eastAsia"/>
        </w:rPr>
      </w:pPr>
      <w:r>
        <w:rPr>
          <w:rFonts w:hint="eastAsia"/>
          <w:b/>
          <w:bCs/>
        </w:rPr>
        <w:t>(1) 优势：</w:t>
      </w:r>
    </w:p>
    <w:p w14:paraId="57785656">
      <w:pPr>
        <w:rPr>
          <w:rFonts w:hint="eastAsia"/>
        </w:rPr>
      </w:pPr>
      <w:r>
        <w:rPr>
          <w:rFonts w:hint="eastAsia"/>
        </w:rPr>
        <w:t>理论框架清晰： 问卷基于“人口学特征—参赛行为—体验感知—社会效益—优化建议”的逻辑链条设计，与国内体育赛事管理领域的常见研究框架相符。例如，李海霞（2015）在研究马拉松参赛意愿时，采用了基于计划行为理论的类似逻辑。问卷第一部分涵盖了个体的社会经济因素，第二部分测量了赛事选择驱动因素与外部约束，第三部分测量了社会效益认知，内容覆盖面较广。</w:t>
      </w:r>
    </w:p>
    <w:p w14:paraId="34E6EF1B">
      <w:pPr>
        <w:rPr>
          <w:rFonts w:hint="eastAsia"/>
        </w:rPr>
      </w:pPr>
      <w:r>
        <w:rPr>
          <w:rFonts w:hint="eastAsia"/>
        </w:rPr>
        <w:t>选项设计务实： 第11题的参赛原因（赛事等级、服务水平、地域特色等）均能在国内关于马拉松赛事参赛动机的实证研究中找到对应依据。李海霞（2015）指出，服务质量、赛事声誉、目的地吸引力是影响跑者参赛决策的核心因素，这与问卷中的选项设计高度吻合。</w:t>
      </w:r>
    </w:p>
    <w:p w14:paraId="77DDD2D4">
      <w:pPr>
        <w:rPr>
          <w:rFonts w:hint="eastAsia"/>
        </w:rPr>
      </w:pPr>
      <w:r>
        <w:rPr>
          <w:rFonts w:hint="eastAsia"/>
        </w:rPr>
        <w:t>社会效益维度全面： 第19题的选项涵盖了经济、形象、文化、健康、负面交通等多元社会效益，混合了积极与消极感知。吕烁和孙沁浩（2021）指出，马拉松赛事的社会效益是多维度的，包括提升城市形象、促进全民健身等，但也可能带来交通拥堵等负面影响。当前的测量方式通过多选题呈现，虽然能反映认知广度，但建议在正式分析时将其拆分为“积极效益”和“消极影响”两个子维度进行编码分析。</w:t>
      </w:r>
    </w:p>
    <w:p w14:paraId="6D2FC11B">
      <w:pPr>
        <w:rPr>
          <w:rFonts w:hint="eastAsia"/>
          <w:b/>
          <w:bCs/>
        </w:rPr>
      </w:pPr>
      <w:r>
        <w:rPr>
          <w:rFonts w:hint="eastAsia"/>
          <w:b/>
          <w:bCs/>
        </w:rPr>
        <w:t>(2) 不足：</w:t>
      </w:r>
    </w:p>
    <w:p w14:paraId="15E05EFB">
      <w:pPr>
        <w:rPr>
          <w:rFonts w:hint="eastAsia"/>
        </w:rPr>
      </w:pPr>
      <w:r>
        <w:rPr>
          <w:rFonts w:hint="eastAsia"/>
        </w:rPr>
        <w:t>部分问题定义模糊： 第11题中“赛事等级高、口碑好”中的“赛事等级”未明确是官方认证等级（如田协A类赛事）还是民间口碑等级，可能导致不同受访者理解不同，降低了测量的准确性。</w:t>
      </w:r>
    </w:p>
    <w:p w14:paraId="5D0A8295">
      <w:pPr>
        <w:rPr>
          <w:rFonts w:hint="eastAsia"/>
        </w:rPr>
      </w:pPr>
      <w:r>
        <w:rPr>
          <w:rFonts w:hint="eastAsia"/>
        </w:rPr>
        <w:t>人口学变量不够细致： 第5题职业选项（如“自由职业者”、“其他”）过于宽泛，可能无法有效区分不同社会群体在参赛行为上的差异。</w:t>
      </w:r>
    </w:p>
    <w:p w14:paraId="72BBB607">
      <w:pPr>
        <w:rPr>
          <w:rFonts w:hint="eastAsia"/>
        </w:rPr>
      </w:pPr>
      <w:r>
        <w:rPr>
          <w:rFonts w:hint="eastAsia"/>
          <w:b/>
          <w:bCs/>
        </w:rPr>
        <w:t>2. 结构效度</w:t>
      </w:r>
    </w:p>
    <w:p w14:paraId="111173A9">
      <w:pPr>
        <w:rPr>
          <w:rFonts w:hint="eastAsia"/>
          <w:b/>
          <w:bCs/>
        </w:rPr>
      </w:pPr>
      <w:r>
        <w:rPr>
          <w:rFonts w:hint="eastAsia"/>
          <w:b/>
          <w:bCs/>
        </w:rPr>
        <w:t>(1) 理论结构的清晰度：</w:t>
      </w:r>
    </w:p>
    <w:p w14:paraId="7ED28BF5">
      <w:pPr>
        <w:rPr>
          <w:rFonts w:hint="eastAsia"/>
        </w:rPr>
      </w:pPr>
      <w:r>
        <w:rPr>
          <w:rFonts w:hint="eastAsia"/>
        </w:rPr>
        <w:t>问卷试图测量多个潜在构念：“参赛影响因素”（含外部约束）、“赛事选择动机”、“社会效益感知”、“满意度”与“忠诚度”（重复意愿）。结构上，第一部分是人口学变量，中间模块分别对应行为、感知、影响，结构层次分明。</w:t>
      </w:r>
    </w:p>
    <w:p w14:paraId="0EE2C82F">
      <w:pPr>
        <w:rPr>
          <w:rFonts w:hint="eastAsia"/>
          <w:b/>
          <w:bCs/>
        </w:rPr>
      </w:pPr>
      <w:r>
        <w:rPr>
          <w:rFonts w:hint="eastAsia"/>
          <w:b/>
          <w:bCs/>
        </w:rPr>
        <w:t>(2) 题目与构念的对应性：</w:t>
      </w:r>
    </w:p>
    <w:p w14:paraId="151808EB">
      <w:pPr>
        <w:rPr>
          <w:rFonts w:hint="eastAsia"/>
        </w:rPr>
      </w:pPr>
      <w:r>
        <w:rPr>
          <w:rFonts w:hint="eastAsia"/>
        </w:rPr>
        <w:t>第14-17题的四个子项共同测量“外部影响因素”，这是一个清晰的子构念。信度分析已证实该构念的测量具有良好的内部一致性。</w:t>
      </w:r>
    </w:p>
    <w:p w14:paraId="7DBD7120">
      <w:pPr>
        <w:rPr>
          <w:rFonts w:hint="eastAsia"/>
        </w:rPr>
      </w:pPr>
      <w:r>
        <w:rPr>
          <w:rFonts w:hint="eastAsia"/>
        </w:rPr>
        <w:t>第19题的选项涵盖了经济、形象、文化、健康、负面交通等多元社会效益，混合了积极与消极感知。</w:t>
      </w:r>
    </w:p>
    <w:p w14:paraId="062FB7F7">
      <w:pPr>
        <w:rPr>
          <w:rFonts w:hint="eastAsia"/>
          <w:b/>
          <w:bCs/>
        </w:rPr>
      </w:pPr>
      <w:r>
        <w:rPr>
          <w:rFonts w:hint="eastAsia"/>
          <w:b/>
          <w:bCs/>
        </w:rPr>
        <w:t>(3) 结构效度的实证支持：</w:t>
      </w:r>
    </w:p>
    <w:p w14:paraId="48C3A2C1">
      <w:pPr>
        <w:rPr>
          <w:rFonts w:hint="eastAsia"/>
        </w:rPr>
      </w:pPr>
      <w:r>
        <w:rPr>
          <w:rFonts w:hint="eastAsia"/>
        </w:rPr>
        <w:t>通过以下逻辑分析支持结构效度：</w:t>
      </w:r>
    </w:p>
    <w:p w14:paraId="0DD5AB30">
      <w:pPr>
        <w:rPr>
          <w:rFonts w:hint="eastAsia"/>
        </w:rPr>
      </w:pPr>
      <w:r>
        <w:rPr>
          <w:rFonts w:hint="eastAsia"/>
        </w:rPr>
        <w:t>第18题（未参赛原因）与第14-17题（已参赛者感知的影响）形成了良好的逻辑对照，共同支撑“外部影响因素”这一构念。</w:t>
      </w:r>
    </w:p>
    <w:p w14:paraId="2ED49120">
      <w:pPr>
        <w:rPr>
          <w:rFonts w:hint="eastAsia"/>
        </w:rPr>
      </w:pPr>
      <w:r>
        <w:rPr>
          <w:rFonts w:hint="eastAsia"/>
        </w:rPr>
        <w:t>第12题（满意度）、第13题（重复意愿）与第11题（参赛原因）共同支撑“参赛体验与忠诚度”这一构念。</w:t>
      </w:r>
    </w:p>
    <w:p w14:paraId="167F699F">
      <w:pPr>
        <w:rPr>
          <w:rFonts w:hint="eastAsia"/>
        </w:rPr>
      </w:pPr>
      <w:r>
        <w:rPr>
          <w:rFonts w:hint="eastAsia"/>
          <w:b/>
          <w:bCs/>
        </w:rPr>
        <w:t>3. 准则关联效度</w:t>
      </w:r>
    </w:p>
    <w:p w14:paraId="124651E3">
      <w:pPr>
        <w:rPr>
          <w:rFonts w:hint="eastAsia"/>
        </w:rPr>
      </w:pPr>
      <w:r>
        <w:rPr>
          <w:rFonts w:hint="eastAsia"/>
        </w:rPr>
        <w:t>准则关联效度指测量工具与一个已知有效的外部标准之间的关联程度。以下基于清洗后的预调研数据进行关联性分析：</w:t>
      </w:r>
    </w:p>
    <w:p w14:paraId="5CC9BB7E">
      <w:pPr>
        <w:rPr>
          <w:rFonts w:hint="eastAsia"/>
          <w:b/>
          <w:bCs/>
        </w:rPr>
      </w:pPr>
      <w:r>
        <w:rPr>
          <w:rFonts w:hint="eastAsia"/>
          <w:b/>
          <w:bCs/>
        </w:rPr>
        <w:t>(1) 行为预测效度：</w:t>
      </w:r>
    </w:p>
    <w:p w14:paraId="1C0D1AC6">
      <w:pPr>
        <w:rPr>
          <w:rFonts w:hint="eastAsia"/>
        </w:rPr>
      </w:pPr>
      <w:r>
        <w:rPr>
          <w:rFonts w:hint="eastAsia"/>
        </w:rPr>
        <w:t>假设：报告了高“信息获取渠道影响”（第17题）的受访者，其未参加的主要原因是“赛事信息不了解”（第18题）的可能性更低。</w:t>
      </w:r>
    </w:p>
    <w:p w14:paraId="2547AC62">
      <w:pPr>
        <w:rPr>
          <w:rFonts w:hint="eastAsia"/>
        </w:rPr>
      </w:pPr>
      <w:r>
        <w:rPr>
          <w:rFonts w:hint="eastAsia"/>
        </w:rPr>
        <w:t>实证结果： 已参赛者中“信息获取渠道”的影响评分为 61.68，而未参赛者在第18题中选择“赛事信息不了解”的比例较高（约占30%）。</w:t>
      </w:r>
    </w:p>
    <w:p w14:paraId="33076D09">
      <w:pPr>
        <w:rPr>
          <w:rFonts w:hint="eastAsia"/>
        </w:rPr>
      </w:pPr>
      <w:r>
        <w:rPr>
          <w:rFonts w:hint="eastAsia"/>
        </w:rPr>
        <w:t>逻辑一致性： 这种数据间的逻辑一致性表明，问卷在第14-17题和第18题的设计上具有较高的准则关联效度，能够有效反映跑者的真实决策约束。</w:t>
      </w:r>
    </w:p>
    <w:p w14:paraId="629F445B">
      <w:pPr>
        <w:rPr>
          <w:rFonts w:hint="eastAsia"/>
          <w:b/>
          <w:bCs/>
        </w:rPr>
      </w:pPr>
      <w:r>
        <w:rPr>
          <w:rFonts w:hint="eastAsia"/>
          <w:b/>
          <w:bCs/>
        </w:rPr>
        <w:t>(2) 构念关联效度：</w:t>
      </w:r>
    </w:p>
    <w:p w14:paraId="3D0D5F29">
      <w:pPr>
        <w:rPr>
          <w:rFonts w:hint="eastAsia"/>
        </w:rPr>
      </w:pPr>
      <w:r>
        <w:rPr>
          <w:rFonts w:hint="eastAsia"/>
        </w:rPr>
        <w:t>假设：“整体满意度”（第12题）与“重复参与意愿”（第13题）应存在显著正相关。</w:t>
      </w:r>
    </w:p>
    <w:p w14:paraId="6FC5BFA5">
      <w:pPr>
        <w:rPr>
          <w:rFonts w:hint="eastAsia"/>
        </w:rPr>
      </w:pPr>
      <w:r>
        <w:rPr>
          <w:rFonts w:hint="eastAsia"/>
        </w:rPr>
        <w:t>实证结果： 满意度高的受访者重复意愿显著更强。</w:t>
      </w:r>
    </w:p>
    <w:p w14:paraId="4C49A59D">
      <w:pPr>
        <w:rPr>
          <w:rFonts w:hint="eastAsia"/>
        </w:rPr>
      </w:pPr>
      <w:r>
        <w:rPr>
          <w:rFonts w:hint="eastAsia"/>
        </w:rPr>
        <w:t>分析要点： 表明这两个题目测量了相关联的构念，具有良好的构念效度。</w:t>
      </w:r>
    </w:p>
    <w:p w14:paraId="32C1E9EE">
      <w:pPr>
        <w:rPr>
          <w:rFonts w:hint="eastAsia"/>
        </w:rPr>
      </w:pPr>
      <w:r>
        <w:rPr>
          <w:rFonts w:hint="eastAsia"/>
        </w:rPr>
        <w:t xml:space="preserve">准则关联效度的检验主要考察问卷测量结果与效标的一致性。图 </w:t>
      </w:r>
      <w:r>
        <w:rPr>
          <w:rFonts w:hint="eastAsia"/>
          <w:lang w:val="en-US" w:eastAsia="zh-CN"/>
        </w:rPr>
        <w:t>3</w:t>
      </w:r>
      <w:r>
        <w:rPr>
          <w:rFonts w:hint="eastAsia"/>
        </w:rPr>
        <w:t xml:space="preserve"> 展示了“整体满意度”（</w:t>
      </w:r>
      <w:r>
        <w:rPr>
          <w:rFonts w:hint="eastAsia"/>
          <w:lang w:val="en-US" w:eastAsia="zh-CN"/>
        </w:rPr>
        <w:t>第</w:t>
      </w:r>
      <w:r>
        <w:rPr>
          <w:rFonts w:hint="eastAsia"/>
        </w:rPr>
        <w:t>12</w:t>
      </w:r>
      <w:r>
        <w:rPr>
          <w:rFonts w:hint="eastAsia"/>
          <w:lang w:val="en-US" w:eastAsia="zh-CN"/>
        </w:rPr>
        <w:t>题</w:t>
      </w:r>
      <w:r>
        <w:rPr>
          <w:rFonts w:hint="eastAsia"/>
        </w:rPr>
        <w:t>）与“重复参赛意愿”（</w:t>
      </w:r>
      <w:r>
        <w:rPr>
          <w:rFonts w:hint="eastAsia"/>
          <w:lang w:val="en-US" w:eastAsia="zh-CN"/>
        </w:rPr>
        <w:t>第</w:t>
      </w:r>
      <w:r>
        <w:rPr>
          <w:rFonts w:hint="eastAsia"/>
        </w:rPr>
        <w:t>1</w:t>
      </w:r>
      <w:r>
        <w:rPr>
          <w:rFonts w:hint="eastAsia"/>
          <w:lang w:val="en-US" w:eastAsia="zh-CN"/>
        </w:rPr>
        <w:t>3题</w:t>
      </w:r>
      <w:r>
        <w:rPr>
          <w:rFonts w:hint="eastAsia"/>
        </w:rPr>
        <w:t>）的交叉分布情况。结果显示，对赛事评价为“非常满意”的群体中，超过90%表达了明确的重跑意愿；随着满意度评价的降低，重跑意愿呈现明显的阶梯式下降趋势。这种清晰的正向层级关系直观地验证了Spearman相关分析的结果（ρ=0.72, p&lt;0.01），有力证明了问卷在测量跑者行为意向方面具有良好的准则关联效度。</w:t>
      </w:r>
    </w:p>
    <w:p w14:paraId="39FB2388">
      <w:pPr>
        <w:ind w:left="0" w:leftChars="0" w:firstLine="0" w:firstLineChars="0"/>
        <w:jc w:val="center"/>
      </w:pPr>
      <w:r>
        <w:rPr>
          <w:rStyle w:val="10"/>
          <w:rFonts w:hint="eastAsia"/>
          <w:lang w:val="en-US" w:eastAsia="zh-CN"/>
        </w:rPr>
        <w:t>图3  满意度与重跑意愿的交叉分析</w:t>
      </w:r>
      <w:r>
        <w:drawing>
          <wp:anchor distT="0" distB="0" distL="114300" distR="114300" simplePos="0" relativeHeight="251660288" behindDoc="0" locked="0" layoutInCell="1" allowOverlap="1">
            <wp:simplePos x="0" y="0"/>
            <wp:positionH relativeFrom="column">
              <wp:posOffset>-43180</wp:posOffset>
            </wp:positionH>
            <wp:positionV relativeFrom="paragraph">
              <wp:posOffset>89535</wp:posOffset>
            </wp:positionV>
            <wp:extent cx="5582920" cy="3471545"/>
            <wp:effectExtent l="0" t="0" r="5080" b="825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582920" cy="3471545"/>
                    </a:xfrm>
                    <a:prstGeom prst="rect">
                      <a:avLst/>
                    </a:prstGeom>
                    <a:noFill/>
                    <a:ln>
                      <a:noFill/>
                    </a:ln>
                  </pic:spPr>
                </pic:pic>
              </a:graphicData>
            </a:graphic>
          </wp:anchor>
        </w:drawing>
      </w:r>
    </w:p>
    <w:p w14:paraId="2B5DB599">
      <w:pPr>
        <w:rPr>
          <w:rFonts w:hint="eastAsia"/>
        </w:rPr>
      </w:pPr>
    </w:p>
    <w:p w14:paraId="7350D142">
      <w:pPr>
        <w:rPr>
          <w:rFonts w:hint="eastAsia"/>
          <w:b/>
          <w:bCs/>
        </w:rPr>
      </w:pPr>
      <w:r>
        <w:rPr>
          <w:rFonts w:hint="eastAsia"/>
          <w:b/>
          <w:bCs/>
        </w:rPr>
        <w:t>(3) 社会效益感知的一致性效度：</w:t>
      </w:r>
    </w:p>
    <w:p w14:paraId="209BFDD1">
      <w:r>
        <w:rPr>
          <w:rFonts w:hint="eastAsia"/>
        </w:rPr>
        <w:t>假设：认为马拉松赛事“促进全民健身氛围形成”（第19题C）的受访者，其“健康意识和运动习惯”在参赛后“变化显著”（第20题A/B）的可能性更高。</w:t>
      </w:r>
    </w:p>
    <w:p w14:paraId="500913AB">
      <w:pPr>
        <w:rPr>
          <w:rFonts w:hint="eastAsia"/>
        </w:rPr>
      </w:pPr>
      <w:r>
        <w:rPr>
          <w:rFonts w:hint="eastAsia"/>
        </w:rPr>
        <w:t>实证结果： 预调研数据中，多数社会效益感知积极的受访者也在第20题选择了积极变化，显示出一致性，间接证明了第19题和第20题在测量相关构念上具有关联效度。</w:t>
      </w:r>
    </w:p>
    <w:p w14:paraId="5670413B">
      <w:pPr>
        <w:rPr>
          <w:rFonts w:hint="eastAsia"/>
        </w:rPr>
      </w:pPr>
    </w:p>
    <w:p w14:paraId="3F2332A6">
      <w:pPr>
        <w:rPr>
          <w:rFonts w:hint="eastAsia"/>
          <w:b/>
          <w:bCs/>
        </w:rPr>
      </w:pPr>
      <w:r>
        <w:rPr>
          <w:rFonts w:hint="eastAsia"/>
          <w:b/>
          <w:bCs/>
        </w:rPr>
        <w:t>效度分析结论：</w:t>
      </w:r>
    </w:p>
    <w:p w14:paraId="782FBB5D">
      <w:pPr>
        <w:rPr>
          <w:rFonts w:hint="eastAsia"/>
        </w:rPr>
      </w:pPr>
      <w:r>
        <w:rPr>
          <w:rFonts w:hint="eastAsia"/>
        </w:rPr>
        <w:t>问卷在内容效度上整体框架合理，选题贴合研究主题，与李海霞、吕烁等学者的研究结论相呼应。但在部分问题定义的精确性和测量的精细度上有待加强。结构效度方面，受限于预调研数据无法通过统计方法验证，但通过逻辑分析支持了各构念的清晰性。准则关联效度方面，基于清洗后的实证分析支持了问卷各部分之间的逻辑关联。总体而言，问卷具备初步效度，</w:t>
      </w:r>
      <w:r>
        <w:rPr>
          <w:rFonts w:hint="eastAsia"/>
          <w:lang w:val="en-US" w:eastAsia="zh-CN"/>
        </w:rPr>
        <w:t>但依旧可</w:t>
      </w:r>
      <w:r>
        <w:rPr>
          <w:rFonts w:hint="eastAsia"/>
        </w:rPr>
        <w:t>在正式调研中结合吴明隆（2010）提出的量表编制原则，对核心量表进行优化和验证。</w:t>
      </w:r>
    </w:p>
    <w:p w14:paraId="661F5252">
      <w:pPr>
        <w:rPr>
          <w:rFonts w:hint="eastAsia"/>
        </w:rPr>
      </w:pPr>
    </w:p>
    <w:p w14:paraId="7FBDF805">
      <w:pPr>
        <w:pStyle w:val="5"/>
        <w:bidi w:val="0"/>
        <w:rPr>
          <w:rFonts w:hint="default" w:eastAsia="黑体"/>
          <w:lang w:val="en-US" w:eastAsia="zh-CN"/>
        </w:rPr>
      </w:pPr>
      <w:r>
        <w:rPr>
          <w:rFonts w:hint="eastAsia"/>
        </w:rPr>
        <w:t>四、 综合结论</w:t>
      </w:r>
      <w:r>
        <w:rPr>
          <w:rFonts w:hint="eastAsia"/>
          <w:lang w:val="en-US" w:eastAsia="zh-CN"/>
        </w:rPr>
        <w:t>与展望</w:t>
      </w:r>
    </w:p>
    <w:p w14:paraId="4F616DEE">
      <w:pPr>
        <w:rPr>
          <w:rFonts w:hint="eastAsia"/>
        </w:rPr>
      </w:pPr>
      <w:r>
        <w:rPr>
          <w:rFonts w:hint="eastAsia"/>
          <w:b/>
          <w:bCs/>
        </w:rPr>
        <w:t>1. 综合结论：</w:t>
      </w:r>
    </w:p>
    <w:p w14:paraId="49C9BD48">
      <w:pPr>
        <w:rPr>
          <w:rFonts w:hint="eastAsia"/>
        </w:rPr>
      </w:pPr>
      <w:r>
        <w:rPr>
          <w:rFonts w:hint="eastAsia"/>
        </w:rPr>
        <w:t>信度方面： 基于清洗后122份已参赛者有效样本的实证数据分析，第14-17题核心量表的Cronbach’s α系数达到0.79，具有良好的内部一致性信度，达到了社会调查研究的“良好”水平。</w:t>
      </w:r>
    </w:p>
    <w:p w14:paraId="0DD835FD">
      <w:pPr>
        <w:rPr>
          <w:rFonts w:hint="eastAsia"/>
        </w:rPr>
      </w:pPr>
      <w:r>
        <w:rPr>
          <w:rFonts w:hint="eastAsia"/>
        </w:rPr>
        <w:t>效度方面： 问卷具有清晰的理论框架和全面的内容覆盖，内容效度良好；各部分题目之间具有良好的逻辑关联，准则关联效度得到实证数据支持。</w:t>
      </w:r>
    </w:p>
    <w:p w14:paraId="34DDABF0">
      <w:pPr>
        <w:rPr>
          <w:rFonts w:hint="eastAsia"/>
          <w:b/>
          <w:bCs/>
        </w:rPr>
      </w:pPr>
      <w:r>
        <w:rPr>
          <w:rFonts w:hint="eastAsia"/>
          <w:b/>
          <w:bCs/>
          <w:lang w:val="en-US" w:eastAsia="zh-CN"/>
        </w:rPr>
        <w:t>2</w:t>
      </w:r>
      <w:r>
        <w:rPr>
          <w:rFonts w:hint="eastAsia"/>
          <w:b/>
          <w:bCs/>
        </w:rPr>
        <w:t>. 对正式调研的展望：</w:t>
      </w:r>
    </w:p>
    <w:p w14:paraId="40C6AA65">
      <w:pPr>
        <w:rPr>
          <w:rFonts w:hint="eastAsia"/>
        </w:rPr>
      </w:pPr>
      <w:r>
        <w:rPr>
          <w:rFonts w:hint="eastAsia"/>
        </w:rPr>
        <w:t>基于本预调研的分析结果，问卷已具备良好的信度与效度基础。在正式调研中，</w:t>
      </w:r>
      <w:r>
        <w:rPr>
          <w:rFonts w:hint="eastAsia"/>
          <w:lang w:val="en-US" w:eastAsia="zh-CN"/>
        </w:rPr>
        <w:t>将</w:t>
      </w:r>
      <w:r>
        <w:rPr>
          <w:rFonts w:hint="eastAsia"/>
        </w:rPr>
        <w:t>进一步提升问卷的测量精度与结构稳定性，预计将获得高质量的研究数据，为湖南省马拉松赛事的参赛影响因素研究提供有力的实证支持。</w:t>
      </w:r>
    </w:p>
    <w:p w14:paraId="043C4A3D">
      <w:pPr>
        <w:rPr>
          <w:rFonts w:hint="eastAsia"/>
        </w:rPr>
      </w:pPr>
    </w:p>
    <w:p w14:paraId="1BC82020">
      <w:pPr>
        <w:pStyle w:val="5"/>
        <w:bidi w:val="0"/>
        <w:rPr>
          <w:rFonts w:hint="eastAsia"/>
        </w:rPr>
      </w:pPr>
      <w:r>
        <w:rPr>
          <w:rFonts w:hint="eastAsia"/>
        </w:rPr>
        <w:t>参考文献</w:t>
      </w:r>
    </w:p>
    <w:p w14:paraId="64718DEB">
      <w:pPr>
        <w:rPr>
          <w:rFonts w:hint="eastAsia"/>
        </w:rPr>
      </w:pPr>
      <w:r>
        <w:rPr>
          <w:rFonts w:hint="eastAsia"/>
        </w:rPr>
        <w:t>[1] 李灿, 辛玲. 调查问卷的信度与效度的评价方法研究[J]. 中国卫生统计, 2008, 25(05): 145-147.</w:t>
      </w:r>
    </w:p>
    <w:p w14:paraId="7E097711">
      <w:pPr>
        <w:rPr>
          <w:rFonts w:hint="eastAsia"/>
        </w:rPr>
      </w:pPr>
      <w:r>
        <w:rPr>
          <w:rFonts w:hint="eastAsia"/>
        </w:rPr>
        <w:t>[2] 吴明隆. 问卷统计分析实务：SPSS 操作与应用[M]. 重庆: 重庆大学出版社, 2010.</w:t>
      </w:r>
    </w:p>
    <w:p w14:paraId="3D37FCBC">
      <w:pPr>
        <w:rPr>
          <w:rFonts w:hint="eastAsia"/>
        </w:rPr>
      </w:pPr>
      <w:r>
        <w:rPr>
          <w:rFonts w:hint="eastAsia"/>
        </w:rPr>
        <w:t>[3] 李海霞. 赛事消费者支出与未来参赛意愿的影响因素分析——以上海国际马拉松赛为例[J]. 吉林体育学院学报, 2015, 31(03): 30-35.</w:t>
      </w:r>
    </w:p>
    <w:p w14:paraId="3424BA5B">
      <w:r>
        <w:rPr>
          <w:rFonts w:hint="eastAsia"/>
        </w:rPr>
        <w:t>[4] 吕烁, 孙沁浩. 马拉松运动的体育社会效应研究[J]. 文体用品与科技, 2021, (08): 30-32.</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方正大标宋简体">
    <w:panose1 w:val="02000000000000000000"/>
    <w:charset w:val="86"/>
    <w:family w:val="auto"/>
    <w:pitch w:val="default"/>
    <w:sig w:usb0="A00002BF" w:usb1="184F6CFA" w:usb2="00000012" w:usb3="00000000" w:csb0="00040001"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23341F"/>
    <w:rsid w:val="00F538F5"/>
    <w:rsid w:val="01007149"/>
    <w:rsid w:val="015C4E4C"/>
    <w:rsid w:val="01E41FE8"/>
    <w:rsid w:val="021A2C80"/>
    <w:rsid w:val="02BB6977"/>
    <w:rsid w:val="04552C06"/>
    <w:rsid w:val="05E371A3"/>
    <w:rsid w:val="06E02487"/>
    <w:rsid w:val="07433670"/>
    <w:rsid w:val="07726CDC"/>
    <w:rsid w:val="0818082C"/>
    <w:rsid w:val="087C2D8F"/>
    <w:rsid w:val="088B4877"/>
    <w:rsid w:val="089B70C6"/>
    <w:rsid w:val="093D1AD0"/>
    <w:rsid w:val="095F5D33"/>
    <w:rsid w:val="0ADF3B2F"/>
    <w:rsid w:val="0BA56C9A"/>
    <w:rsid w:val="0C23344D"/>
    <w:rsid w:val="0F565B36"/>
    <w:rsid w:val="101626F1"/>
    <w:rsid w:val="123C58FA"/>
    <w:rsid w:val="12DB71B2"/>
    <w:rsid w:val="164D3E62"/>
    <w:rsid w:val="166432D1"/>
    <w:rsid w:val="1A356C80"/>
    <w:rsid w:val="1A976502"/>
    <w:rsid w:val="1D6B06CF"/>
    <w:rsid w:val="1F4A0C06"/>
    <w:rsid w:val="1FB570F6"/>
    <w:rsid w:val="20564E9E"/>
    <w:rsid w:val="210A418C"/>
    <w:rsid w:val="2123341F"/>
    <w:rsid w:val="21B86934"/>
    <w:rsid w:val="21C244AB"/>
    <w:rsid w:val="21F243E8"/>
    <w:rsid w:val="235C0774"/>
    <w:rsid w:val="252A5D24"/>
    <w:rsid w:val="25BE5649"/>
    <w:rsid w:val="272A2DBF"/>
    <w:rsid w:val="2777374E"/>
    <w:rsid w:val="27AA2CA3"/>
    <w:rsid w:val="2C2F4A08"/>
    <w:rsid w:val="2D6F35DC"/>
    <w:rsid w:val="2DFB0384"/>
    <w:rsid w:val="31926A3D"/>
    <w:rsid w:val="325E7E3C"/>
    <w:rsid w:val="3303289C"/>
    <w:rsid w:val="33DF321B"/>
    <w:rsid w:val="342C2EA8"/>
    <w:rsid w:val="34FA2EE5"/>
    <w:rsid w:val="37743C63"/>
    <w:rsid w:val="39860CD0"/>
    <w:rsid w:val="39A970DB"/>
    <w:rsid w:val="3B366E9F"/>
    <w:rsid w:val="3BD322AF"/>
    <w:rsid w:val="3C6660AA"/>
    <w:rsid w:val="3D5A2CB5"/>
    <w:rsid w:val="40B93D70"/>
    <w:rsid w:val="42770F07"/>
    <w:rsid w:val="4296196A"/>
    <w:rsid w:val="42DB3E4D"/>
    <w:rsid w:val="45894D4F"/>
    <w:rsid w:val="45C54F1B"/>
    <w:rsid w:val="467C5DC4"/>
    <w:rsid w:val="49A53F24"/>
    <w:rsid w:val="4A3E672A"/>
    <w:rsid w:val="4AA173B4"/>
    <w:rsid w:val="4E9257F6"/>
    <w:rsid w:val="50B41C78"/>
    <w:rsid w:val="51894111"/>
    <w:rsid w:val="52000BC3"/>
    <w:rsid w:val="530C784E"/>
    <w:rsid w:val="53870D4D"/>
    <w:rsid w:val="54A92EB6"/>
    <w:rsid w:val="55220FCB"/>
    <w:rsid w:val="58D40294"/>
    <w:rsid w:val="5BD662F4"/>
    <w:rsid w:val="5BF159B7"/>
    <w:rsid w:val="5C24711B"/>
    <w:rsid w:val="5C3E512C"/>
    <w:rsid w:val="5D877D5D"/>
    <w:rsid w:val="5E45203A"/>
    <w:rsid w:val="5E4C4AA6"/>
    <w:rsid w:val="5EAB5261"/>
    <w:rsid w:val="5F9B43F5"/>
    <w:rsid w:val="60663C1E"/>
    <w:rsid w:val="6211064A"/>
    <w:rsid w:val="64076927"/>
    <w:rsid w:val="64B534D3"/>
    <w:rsid w:val="65375034"/>
    <w:rsid w:val="65AB639C"/>
    <w:rsid w:val="662E75B1"/>
    <w:rsid w:val="667B3E2D"/>
    <w:rsid w:val="69A100B3"/>
    <w:rsid w:val="6A32774D"/>
    <w:rsid w:val="6A3A2708"/>
    <w:rsid w:val="6B22492A"/>
    <w:rsid w:val="6BAE3435"/>
    <w:rsid w:val="6CB74F6C"/>
    <w:rsid w:val="6CDB338B"/>
    <w:rsid w:val="6CE36A9C"/>
    <w:rsid w:val="6E25115A"/>
    <w:rsid w:val="6E5E4F55"/>
    <w:rsid w:val="6E90674D"/>
    <w:rsid w:val="6EE90986"/>
    <w:rsid w:val="6F0D15DF"/>
    <w:rsid w:val="722A12B4"/>
    <w:rsid w:val="723733DE"/>
    <w:rsid w:val="7517523E"/>
    <w:rsid w:val="762070B4"/>
    <w:rsid w:val="76CF41D8"/>
    <w:rsid w:val="76D76923"/>
    <w:rsid w:val="79527BC0"/>
    <w:rsid w:val="79F67C4A"/>
    <w:rsid w:val="7B9553D2"/>
    <w:rsid w:val="7C5547E5"/>
    <w:rsid w:val="7D4C0002"/>
    <w:rsid w:val="7DAE15D5"/>
    <w:rsid w:val="7FD10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43" w:firstLineChars="200"/>
      <w:jc w:val="both"/>
    </w:pPr>
    <w:rPr>
      <w:rFonts w:asciiTheme="minorAscii" w:hAnsiTheme="minorAsci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5">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8">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图表"/>
    <w:basedOn w:val="1"/>
    <w:link w:val="10"/>
    <w:qFormat/>
    <w:uiPriority w:val="0"/>
    <w:pPr>
      <w:jc w:val="center"/>
    </w:pPr>
    <w:rPr>
      <w:rFonts w:eastAsia="华文楷体"/>
    </w:rPr>
  </w:style>
  <w:style w:type="character" w:customStyle="1" w:styleId="10">
    <w:name w:val="图表 Char"/>
    <w:link w:val="9"/>
    <w:qFormat/>
    <w:uiPriority w:val="0"/>
    <w:rPr>
      <w:rFonts w:eastAsia="华文楷体" w:asciiTheme="minorAscii" w:hAnsiTheme="minorAscii"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5116</Words>
  <Characters>5694</Characters>
  <Lines>0</Lines>
  <Paragraphs>0</Paragraphs>
  <TotalTime>0</TotalTime>
  <ScaleCrop>false</ScaleCrop>
  <LinksUpToDate>false</LinksUpToDate>
  <CharactersWithSpaces>5842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2026-02-06T06:50:00Z</dcterms:created>
  <dc:creator>李思淇</dc:creator>
  <cp:lastModifiedBy>李思淇</cp:lastModifiedBy>
  <dcterms:modified xsi:type="dcterms:W3CDTF">2026-03-05T04:53:14Z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9EB2B52AD28949128A5405752CBA4643_11</vt:lpwstr>
  </property>
  <property fmtid="{D5CDD505-2E9C-101B-9397-08002B2CF9AE}" pid="4" name="KSOTemplateDocerSaveRecord">
    <vt:lpwstr>eyJoZGlkIjoiZjdiMGQ1OGE0MGFjOTkzYWY5ZWNlZmU2Mjk5ZDI1MTQiLCJ1c2VySWQiOiIxNzc0ODQ4MzcyIn0=</vt:lpwstr>
  </property>
</Properties>
</file>