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52EFF1" w14:textId="77777777" w:rsidR="00D134C0" w:rsidRDefault="00000000">
      <w:pPr>
        <w:pStyle w:val="1"/>
      </w:pPr>
      <w:r>
        <w:t>SHAP Value Analysis - Loan Default Prediction Model</w:t>
      </w:r>
    </w:p>
    <w:p w14:paraId="37CBE776" w14:textId="77777777" w:rsidR="00D134C0" w:rsidRDefault="00000000">
      <w:pPr>
        <w:pStyle w:val="21"/>
      </w:pPr>
      <w:r>
        <w:t>Overview</w:t>
      </w:r>
    </w:p>
    <w:p w14:paraId="3D79DA94" w14:textId="0A54E32F" w:rsidR="00D711D2" w:rsidRDefault="00000000">
      <w:pPr>
        <w:rPr>
          <w:rFonts w:eastAsia="宋体"/>
          <w:lang w:eastAsia="zh-CN"/>
        </w:rPr>
      </w:pPr>
      <w:r>
        <w:br/>
        <w:t>We used SHAP (SHapley Additive exPlanations) values to interpret our XGBoost loan default prediction model. SHAP values help us understand how each feature impacts the model's output for both</w:t>
      </w:r>
      <w:r w:rsidR="00D711D2" w:rsidRPr="00D711D2">
        <w:t xml:space="preserve"> </w:t>
      </w:r>
      <w:r w:rsidR="00D711D2">
        <w:t>individual samples and overall trends.</w:t>
      </w:r>
    </w:p>
    <w:p w14:paraId="0C23D153" w14:textId="2EF44A57" w:rsidR="00D711D2" w:rsidRPr="00D711D2" w:rsidRDefault="00D711D2">
      <w:pPr>
        <w:rPr>
          <w:rFonts w:eastAsia="宋体" w:hint="eastAsia"/>
          <w:lang w:eastAsia="zh-CN"/>
        </w:rPr>
      </w:pPr>
      <w:r>
        <w:rPr>
          <w:noProof/>
        </w:rPr>
        <w:drawing>
          <wp:inline distT="0" distB="0" distL="0" distR="0" wp14:anchorId="6CD4A7C5" wp14:editId="280C8B87">
            <wp:extent cx="5455204" cy="5539256"/>
            <wp:effectExtent l="0" t="0" r="0" b="4445"/>
            <wp:docPr id="109714547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11" cy="556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B7DE6" w14:textId="6F330B23" w:rsidR="00D134C0" w:rsidRDefault="00000000">
      <w:r>
        <w:lastRenderedPageBreak/>
        <w:br/>
      </w:r>
      <w:r w:rsidR="00D711D2">
        <w:rPr>
          <w:noProof/>
        </w:rPr>
        <w:drawing>
          <wp:inline distT="0" distB="0" distL="0" distR="0" wp14:anchorId="19FA8C17" wp14:editId="04A9721F">
            <wp:extent cx="5481320" cy="3747770"/>
            <wp:effectExtent l="0" t="0" r="5080" b="5080"/>
            <wp:docPr id="12530815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9A6D7" w14:textId="77777777" w:rsidR="00D134C0" w:rsidRDefault="00000000">
      <w:pPr>
        <w:pStyle w:val="21"/>
      </w:pPr>
      <w:r>
        <w:t>Top Important Features</w:t>
      </w:r>
    </w:p>
    <w:p w14:paraId="11A2481F" w14:textId="77777777" w:rsidR="00D134C0" w:rsidRDefault="00000000">
      <w:r>
        <w:br/>
        <w:t>Based on the SHAP summary and feature importance plots, the following features have the greatest influence on the model's predictions:</w:t>
      </w:r>
      <w:r>
        <w:br/>
        <w:t>1. Age – Younger borrowers have higher SHAP values, indicating increased default risk.</w:t>
      </w:r>
      <w:r>
        <w:br/>
        <w:t>2. Interest Rate – Higher interest rates strongly increase the probability of default.</w:t>
      </w:r>
      <w:r>
        <w:br/>
        <w:t>3. Months Employed – Longer employment history is associated with lower default risk.</w:t>
      </w:r>
      <w:r>
        <w:br/>
        <w:t>4. Income – Lower income significantly contributes to a higher likelihood of default.</w:t>
      </w:r>
      <w:r>
        <w:br/>
        <w:t>5. Loan Amount – Larger loan amounts are correlated with higher risk.</w:t>
      </w:r>
      <w:r>
        <w:br/>
        <w:t>6. HasCoSigner, HasDependents, EmploymentType – also have modest impact.</w:t>
      </w:r>
      <w:r>
        <w:br/>
      </w:r>
    </w:p>
    <w:p w14:paraId="19B581B7" w14:textId="77777777" w:rsidR="00D134C0" w:rsidRDefault="00000000">
      <w:pPr>
        <w:pStyle w:val="21"/>
      </w:pPr>
      <w:r>
        <w:lastRenderedPageBreak/>
        <w:t>SHAP Dependence Plots Highlights</w:t>
      </w:r>
    </w:p>
    <w:p w14:paraId="23146D6A" w14:textId="77777777" w:rsidR="00D711D2" w:rsidRDefault="00D711D2">
      <w:pPr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3D887E28" wp14:editId="726E9ED8">
            <wp:extent cx="5380990" cy="4481830"/>
            <wp:effectExtent l="0" t="0" r="0" b="0"/>
            <wp:docPr id="11561022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448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br/>
        <w:t>- Age: A clear negative relationship — as age increases, SHAP value decreases → older individuals are less likely to default.</w:t>
      </w:r>
    </w:p>
    <w:p w14:paraId="04DFB4F1" w14:textId="77777777" w:rsidR="00D711D2" w:rsidRDefault="00D711D2">
      <w:pPr>
        <w:rPr>
          <w:rFonts w:eastAsia="宋体"/>
          <w:lang w:eastAsia="zh-CN"/>
        </w:rPr>
      </w:pPr>
      <w:r>
        <w:rPr>
          <w:rFonts w:eastAsia="宋体"/>
          <w:noProof/>
          <w:lang w:eastAsia="zh-CN"/>
        </w:rPr>
        <w:lastRenderedPageBreak/>
        <w:drawing>
          <wp:inline distT="0" distB="0" distL="0" distR="0" wp14:anchorId="4E344362" wp14:editId="578A76E5">
            <wp:extent cx="5380990" cy="4481830"/>
            <wp:effectExtent l="0" t="0" r="0" b="0"/>
            <wp:docPr id="188636159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448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br/>
        <w:t>- Interest Rate: Strong positive effect — higher rates push SHAP values higher, increasing predicted risk.</w:t>
      </w:r>
    </w:p>
    <w:p w14:paraId="48D7D4E3" w14:textId="77777777" w:rsidR="00D711D2" w:rsidRDefault="00D711D2">
      <w:pPr>
        <w:rPr>
          <w:rFonts w:eastAsia="宋体"/>
          <w:lang w:eastAsia="zh-CN"/>
        </w:rPr>
      </w:pPr>
      <w:r>
        <w:rPr>
          <w:rFonts w:eastAsia="宋体"/>
          <w:noProof/>
          <w:lang w:eastAsia="zh-CN"/>
        </w:rPr>
        <w:lastRenderedPageBreak/>
        <w:drawing>
          <wp:inline distT="0" distB="0" distL="0" distR="0" wp14:anchorId="23824E8C" wp14:editId="0246276C">
            <wp:extent cx="5380990" cy="4481830"/>
            <wp:effectExtent l="0" t="0" r="0" b="0"/>
            <wp:docPr id="128304315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448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br/>
        <w:t>- Months Employed: The longer someone has been employed, the less risky they are (SHAP values drop).</w:t>
      </w:r>
    </w:p>
    <w:p w14:paraId="03D1994B" w14:textId="77777777" w:rsidR="00D711D2" w:rsidRDefault="00D711D2">
      <w:pPr>
        <w:rPr>
          <w:rFonts w:eastAsia="宋体"/>
          <w:lang w:eastAsia="zh-CN"/>
        </w:rPr>
      </w:pPr>
      <w:r>
        <w:rPr>
          <w:rFonts w:eastAsia="宋体"/>
          <w:noProof/>
          <w:lang w:eastAsia="zh-CN"/>
        </w:rPr>
        <w:lastRenderedPageBreak/>
        <w:drawing>
          <wp:inline distT="0" distB="0" distL="0" distR="0" wp14:anchorId="47533379" wp14:editId="2D8BB82F">
            <wp:extent cx="5380990" cy="4481830"/>
            <wp:effectExtent l="0" t="0" r="0" b="0"/>
            <wp:docPr id="9321262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448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br/>
        <w:t>- Income: Lower income corresponds to higher SHAP values and greater predicted risk.</w:t>
      </w:r>
    </w:p>
    <w:p w14:paraId="633E02A6" w14:textId="4558F6B9" w:rsidR="00D134C0" w:rsidRDefault="00D711D2">
      <w:r>
        <w:rPr>
          <w:rFonts w:eastAsia="宋体"/>
          <w:noProof/>
          <w:lang w:eastAsia="zh-CN"/>
        </w:rPr>
        <w:lastRenderedPageBreak/>
        <w:drawing>
          <wp:inline distT="0" distB="0" distL="0" distR="0" wp14:anchorId="68E0D4B3" wp14:editId="3ED325AB">
            <wp:extent cx="5375275" cy="4481830"/>
            <wp:effectExtent l="0" t="0" r="0" b="0"/>
            <wp:docPr id="1919043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448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br/>
        <w:t>- Loan Amount: Larger loan amounts tend to push risk higher, especially above ~$150,000.</w:t>
      </w:r>
      <w:r w:rsidR="00000000">
        <w:br/>
      </w:r>
      <w:r w:rsidR="00000000">
        <w:br/>
        <w:t>These patterns align with real-world intuition: younger, less stable, lower-income borrowers with larger loans and higher rates are more likely to default.</w:t>
      </w:r>
      <w:r w:rsidR="00000000">
        <w:br/>
      </w:r>
    </w:p>
    <w:sectPr w:rsidR="00D134C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02966658">
    <w:abstractNumId w:val="8"/>
  </w:num>
  <w:num w:numId="2" w16cid:durableId="2057655136">
    <w:abstractNumId w:val="6"/>
  </w:num>
  <w:num w:numId="3" w16cid:durableId="995185120">
    <w:abstractNumId w:val="5"/>
  </w:num>
  <w:num w:numId="4" w16cid:durableId="685835303">
    <w:abstractNumId w:val="4"/>
  </w:num>
  <w:num w:numId="5" w16cid:durableId="780075593">
    <w:abstractNumId w:val="7"/>
  </w:num>
  <w:num w:numId="6" w16cid:durableId="2002272930">
    <w:abstractNumId w:val="3"/>
  </w:num>
  <w:num w:numId="7" w16cid:durableId="1542404789">
    <w:abstractNumId w:val="2"/>
  </w:num>
  <w:num w:numId="8" w16cid:durableId="1656101362">
    <w:abstractNumId w:val="1"/>
  </w:num>
  <w:num w:numId="9" w16cid:durableId="5562101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841468"/>
    <w:rsid w:val="00AA1D8D"/>
    <w:rsid w:val="00B47730"/>
    <w:rsid w:val="00CB0664"/>
    <w:rsid w:val="00D134C0"/>
    <w:rsid w:val="00D711D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F9655C3"/>
  <w14:defaultImageDpi w14:val="300"/>
  <w15:docId w15:val="{BB7426EE-4840-4589-AA75-5E3EA63C0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  <w:rPr>
      <w:rFonts w:ascii="Arial" w:hAnsi="Arial"/>
    </w:rPr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眉 字符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页脚 字符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标题 1 字符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标题 2 字符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标题 3 字符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标题 字符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副标题 字符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正文文本 字符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正文文本 2 字符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正文文本 3 字符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宏文本 字符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引用 字符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标题 4 字符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标题 5 字符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标题 6 字符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标题 7 字符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标题 9 字符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明显引用 字符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TOC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1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2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3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4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5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6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7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8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226</Words>
  <Characters>1430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1649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捷 刘</cp:lastModifiedBy>
  <cp:revision>2</cp:revision>
  <dcterms:created xsi:type="dcterms:W3CDTF">2013-12-23T23:15:00Z</dcterms:created>
  <dcterms:modified xsi:type="dcterms:W3CDTF">2025-04-22T21:19:00Z</dcterms:modified>
  <cp:category/>
</cp:coreProperties>
</file>