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B6914"/>
          <w:sz w:val="16"/>
          <w:szCs w:val="16"/>
        </w:rPr>
        <w:t xml:space="preserve">TECHNICAL ARCHITECTURE BRIEF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2B3A"/>
          <w:sz w:val="36"/>
          <w:szCs w:val="36"/>
        </w:rPr>
        <w:t xml:space="preserve">Meta-Analysis 101 — AI-Assisted Workshop Design</w:t>
      </w:r>
    </w:p>
    <w:p>
      <w:pPr>
        <w:spacing w:after="120"/>
      </w:pPr>
      <w:r>
        <w:rPr>
          <w:rFonts w:ascii="Arial" w:cs="Arial" w:eastAsia="Arial" w:hAnsi="Arial"/>
          <w:color w:val="1D2B3A"/>
          <w:sz w:val="20"/>
          <w:szCs w:val="20"/>
        </w:rPr>
        <w:t xml:space="preserve">How the Midterm and Final workshops use AI to guide learners through a complete meta-analysis — while keeping all R code deterministic and error-free.</w:t>
      </w:r>
    </w:p>
    <w:p>
      <w:pPr>
        <w:pBdr>
          <w:bottom w:val="single" w:color="D5D3CE" w:sz="3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1. Platform overview</w:t>
      </w:r>
    </w:p>
    <w:p>
      <w:pPr>
        <w:spacing w:after="120"/>
      </w:pPr>
      <w:r>
        <w:rPr>
          <w:rFonts w:ascii="Arial" w:cs="Arial" w:eastAsia="Arial" w:hAnsi="Arial"/>
          <w:color w:val="1D2B3A"/>
          <w:sz w:val="20"/>
          <w:szCs w:val="20"/>
        </w:rPr>
        <w:t xml:space="preserve">Meta-Analysis 101 is a bilingual (Traditional Chinese / English) interactive educational platform that teaches systematic review and meta-analysis methodology to pharmacists and clinical researchers. The hands-on workshop is split into two phases: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600"/>
        <w:gridCol w:w="700"/>
        <w:gridCol w:w="5726"/>
      </w:tblGrid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calls</w:t>
            </w:r>
          </w:p>
        </w:tc>
        <w:tc>
          <w:tcPr>
            <w:tcW w:type="dxa" w:w="57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Midterm.jsx</w:t>
            </w:r>
          </w:p>
        </w:tc>
        <w:tc>
          <w:tcPr>
            <w:tcW w:type="dxa" w:w="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2</w:t>
            </w:r>
          </w:p>
        </w:tc>
        <w:tc>
          <w:tcPr>
            <w:tcW w:type="dxa" w:w="57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Planning: PICO, search, studies, extraction, RoB</w:t>
            </w:r>
          </w:p>
        </w:tc>
      </w:tr>
      <w:tr>
        <w:tc>
          <w:tcPr>
            <w:tcW w:type="dxa" w:w="8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Final.jsx</w:t>
            </w:r>
          </w:p>
        </w:tc>
        <w:tc>
          <w:tcPr>
            <w:tcW w:type="dxa" w:w="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Up to 4</w:t>
            </w:r>
          </w:p>
        </w:tc>
        <w:tc>
          <w:tcPr>
            <w:tcW w:type="dxa" w:w="57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Analysis: effect size, run (WebR), interpret, conclude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distT="0" distB="0" distL="0" distR="0">
            <wp:extent cx="5334000" cy="407894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A7D"/>
          <w:sz w:val="18"/>
          <w:szCs w:val="18"/>
        </w:rPr>
        <w:t xml:space="preserve">Figure 1 — Both workshop phases with all AI touchpoints and the session bridge between them.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2. Midterm workshop — planning 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does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role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1. Define PICO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Enters clinical question + P/I/C/O fields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validates specificity, searchability, feasibility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2. Search strategy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Picks databases, writes Boolean query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checks syntax, coverage, MeSH terms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3. Add studies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Adds study cards with citation, design, N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4. Data extraction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Enters outcome data + moderator variables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5. Risk of bias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Fills traffic-light RoB matrix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2B3A"/>
          <w:sz w:val="20"/>
          <w:szCs w:val="20"/>
        </w:rPr>
        <w:t xml:space="preserve">Phase gate: </w:t>
      </w:r>
      <w:r>
        <w:rPr>
          <w:rFonts w:ascii="Arial" w:cs="Arial" w:eastAsia="Arial" w:hAnsi="Arial"/>
          <w:color w:val="1D2B3A"/>
          <w:sz w:val="20"/>
          <w:szCs w:val="20"/>
        </w:rPr>
        <w:t xml:space="preserve">PICO must pass AI check and at least 3 studies must be included before proceeding. </w:t>
      </w:r>
      <w:r>
        <w:rPr>
          <w:rFonts w:ascii="Arial" w:cs="Arial" w:eastAsia="Arial" w:hAnsi="Arial"/>
          <w:b/>
          <w:bCs/>
          <w:color w:val="1D2B3A"/>
          <w:sz w:val="20"/>
          <w:szCs w:val="20"/>
        </w:rPr>
        <w:t xml:space="preserve">Moderator columns </w:t>
      </w:r>
      <w:r>
        <w:rPr>
          <w:rFonts w:ascii="Arial" w:cs="Arial" w:eastAsia="Arial" w:hAnsi="Arial"/>
          <w:color w:val="1D2B3A"/>
          <w:sz w:val="20"/>
          <w:szCs w:val="20"/>
        </w:rPr>
        <w:t xml:space="preserve">(Step 4) let users tag studies with variables like region or dosage for subgroup analysis in Phase 2.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3. Final workshop — analysis phase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does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role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1. Effect + model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Chooses OR/RR/MD/SMD + fixed/random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2. Prepare data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Reviews table; downloads CSV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3. Run analysis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WebR in-browser / Online calc / R code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Up to 3 calls (Section 4)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4. Interpret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Answers guided questions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5. Conclusions</w:t>
            </w:r>
          </w:p>
        </w:tc>
        <w:tc>
          <w:tcPr>
            <w:tcW w:type="dxa" w:w="4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Finding, GRADE, limitations, implications</w:t>
            </w:r>
          </w:p>
        </w:tc>
        <w:tc>
          <w:tcPr>
            <w:tcW w:type="dxa" w:w="3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checks consistency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D2B3A"/>
          <w:sz w:val="20"/>
          <w:szCs w:val="20"/>
        </w:rPr>
        <w:t xml:space="preserve">Step 3 is the technical core: the WebR tab runs real R (metafor package) in the browser via WebAssembly, producing genuine forest plots, funnel plots, and statistical output identical to desktop RStudio.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4. Step 3 WebR tab — the two-layer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D2B3A"/>
                <w:sz w:val="20"/>
                <w:szCs w:val="20"/>
              </w:rPr>
              <w:t xml:space="preserve">The differentiator: </w:t>
            </w:r>
            <w:r>
              <w:rPr>
                <w:rFonts w:ascii="Arial" w:cs="Arial" w:eastAsia="Arial" w:hAnsi="Arial"/>
                <w:i/>
                <w:iCs/>
                <w:color w:val="1D2B3A"/>
                <w:sz w:val="20"/>
                <w:szCs w:val="20"/>
              </w:rPr>
              <w:t xml:space="preserve">Other MA websites run static, pre-defined analyses. MA101 uses AI to judge which advanced analyses are appropriate for the user’s specific dataset, then assembles and executes the corresponding R code — all in-browser. The experience feels conversational and custom; the code is safe and deterministic.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2B3A"/>
          <w:sz w:val="24"/>
          <w:szCs w:val="24"/>
        </w:rPr>
        <w:t xml:space="preserve">Layer 1 — Basic analysis (no AI in code generation)</w:t>
      </w:r>
    </w:p>
    <w:p>
      <w:pPr>
        <w:spacing w:after="120"/>
      </w:pPr>
      <w:r>
        <w:rPr>
          <w:rFonts w:ascii="Arial" w:cs="Arial" w:eastAsia="Arial" w:hAnsi="Arial"/>
          <w:color w:val="1D2B3A"/>
          <w:sz w:val="20"/>
          <w:szCs w:val="20"/>
        </w:rPr>
        <w:t xml:space="preserve">The user’s choices feed into buildRCode(), a pure JavaScript function that deterministically assembles R code. Same inputs = same R string every time. WebR executes it, producing forest plot, funnel plot, and stats (pooled effect, CI, I², Q, τ²). After results display, the user clicks “AI Interpret Results” — this is AI Call 1.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D2B3A"/>
          <w:sz w:val="24"/>
          <w:szCs w:val="24"/>
        </w:rPr>
        <w:t xml:space="preserve">Layer 2 — Advanced analysis: AI’s three distinct roles</w:t>
      </w:r>
    </w:p>
    <w:p>
      <w:pPr>
        <w:spacing w:after="120"/>
      </w:pPr>
      <w:r>
        <w:rPr>
          <w:rFonts w:ascii="Arial" w:cs="Arial" w:eastAsia="Arial" w:hAnsi="Arial"/>
          <w:color w:val="1D2B3A"/>
          <w:sz w:val="20"/>
          <w:szCs w:val="20"/>
        </w:rPr>
        <w:t xml:space="preserve">This is where AI plays its most distinctive role — not just interpreting, but actively advising the researcher on what to explore next.</w:t>
      </w:r>
    </w:p>
    <w:p>
      <w:pPr>
        <w:jc w:val="center"/>
      </w:pPr>
      <w:r>
        <w:drawing>
          <wp:inline distT="0" distB="0" distL="0" distR="0">
            <wp:extent cx="4953000" cy="597273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A7D"/>
          <w:sz w:val="18"/>
          <w:szCs w:val="18"/>
        </w:rPr>
        <w:t xml:space="preserve">Figure 2 — The complete Layer 2 pipeline: AI recommends, user picks, JS assembles templates, WebR executes, AI interprets.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2B3A"/>
          <w:sz w:val="20"/>
          <w:szCs w:val="20"/>
        </w:rPr>
        <w:t xml:space="preserve">Role 1 — Recommend (AI Call 2): </w:t>
      </w:r>
      <w:r>
        <w:rPr>
          <w:rFonts w:ascii="Arial" w:cs="Arial" w:eastAsia="Arial" w:hAnsi="Arial"/>
          <w:color w:val="1D2B3A"/>
          <w:sz w:val="20"/>
          <w:szCs w:val="20"/>
        </w:rPr>
        <w:t xml:space="preserve">AI receives the Layer 1 R output (I², Q, k, τ²) + PICO context + available moderator columns. It returns ranked recommendations with reasons, e.g.: “Your I² is 35% with 5 studies — I recommend leave-one-out to check robustness, and subgroup by Population Focus since your studies mix CKD-specific and high-CV-risk populations.” These appear as highlighted options in the guided menu.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2B3A"/>
          <w:sz w:val="20"/>
          <w:szCs w:val="20"/>
        </w:rPr>
        <w:t xml:space="preserve">Role 2 — Never touch code: </w:t>
      </w:r>
      <w:r>
        <w:rPr>
          <w:rFonts w:ascii="Arial" w:cs="Arial" w:eastAsia="Arial" w:hAnsi="Arial"/>
          <w:color w:val="1D2B3A"/>
          <w:sz w:val="20"/>
          <w:szCs w:val="20"/>
        </w:rPr>
        <w:t xml:space="preserve">The user picks from the menu (AI-highlighted or freely chosen). JS validates against a whitelist and slots parameters into pre-written, pre-tested R template blocks. AI is not involved in code assembly.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Analysis type</w:t>
            </w:r>
          </w:p>
        </w:tc>
        <w:tc>
          <w:tcPr>
            <w:tcW w:type="dxa" w:w="4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template</w:t>
            </w:r>
          </w:p>
        </w:tc>
        <w:tc>
          <w:tcPr>
            <w:tcW w:type="dxa" w:w="2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moderator?</w:t>
            </w:r>
          </w:p>
        </w:tc>
      </w:tr>
      <w:tr>
        <w:tc>
          <w:tcPr>
            <w:tcW w:type="dxa" w:w="2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Leave-one-out</w:t>
            </w:r>
          </w:p>
        </w:tc>
        <w:tc>
          <w:tcPr>
            <w:tcW w:type="dxa" w:w="4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leave1out(res)</w:t>
            </w:r>
          </w:p>
        </w:tc>
        <w:tc>
          <w:tcPr>
            <w:tcW w:type="dxa" w:w="2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Trim-and-fill</w:t>
            </w:r>
          </w:p>
        </w:tc>
        <w:tc>
          <w:tcPr>
            <w:tcW w:type="dxa" w:w="4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trimfill(res); funnel(tf)</w:t>
            </w:r>
          </w:p>
        </w:tc>
        <w:tc>
          <w:tcPr>
            <w:tcW w:type="dxa" w:w="2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Egger’s regression</w:t>
            </w:r>
          </w:p>
        </w:tc>
        <w:tc>
          <w:tcPr>
            <w:tcW w:type="dxa" w:w="4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regtest(res)</w:t>
            </w:r>
          </w:p>
        </w:tc>
        <w:tc>
          <w:tcPr>
            <w:tcW w:type="dxa" w:w="2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Influence diagnostics</w:t>
            </w:r>
          </w:p>
        </w:tc>
        <w:tc>
          <w:tcPr>
            <w:tcW w:type="dxa" w:w="4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influence(res); plot(inf)</w:t>
            </w:r>
          </w:p>
        </w:tc>
        <w:tc>
          <w:tcPr>
            <w:tcW w:type="dxa" w:w="2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Subgroup analysis</w:t>
            </w:r>
          </w:p>
        </w:tc>
        <w:tc>
          <w:tcPr>
            <w:tcW w:type="dxa" w:w="4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rma() per subgroup level</w:t>
            </w:r>
          </w:p>
        </w:tc>
        <w:tc>
          <w:tcPr>
            <w:tcW w:type="dxa" w:w="2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Yes (categorical)</w:t>
            </w:r>
          </w:p>
        </w:tc>
      </w:tr>
      <w:tr>
        <w:tc>
          <w:tcPr>
            <w:tcW w:type="dxa" w:w="20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Meta-regression</w:t>
            </w:r>
          </w:p>
        </w:tc>
        <w:tc>
          <w:tcPr>
            <w:tcW w:type="dxa" w:w="45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rma(mods=~moderator)</w:t>
            </w:r>
          </w:p>
        </w:tc>
        <w:tc>
          <w:tcPr>
            <w:tcW w:type="dxa" w:w="2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D2B3A"/>
          <w:sz w:val="20"/>
          <w:szCs w:val="20"/>
        </w:rPr>
        <w:t xml:space="preserve">Role 3 — Interpret advanced output (AI Call 3): </w:t>
      </w:r>
      <w:r>
        <w:rPr>
          <w:rFonts w:ascii="Arial" w:cs="Arial" w:eastAsia="Arial" w:hAnsi="Arial"/>
          <w:color w:val="1D2B3A"/>
          <w:sz w:val="20"/>
          <w:szCs w:val="20"/>
        </w:rPr>
        <w:t xml:space="preserve">After WebR executes the template code, AI reads the new R output and provides analysis-specific interpretation. The user can then run another analysis, looping back to the menu.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5. The safety firewall — what AI does vs. does not touch</w:t>
      </w:r>
    </w:p>
    <w:p>
      <w:pPr>
        <w:jc w:val="center"/>
      </w:pPr>
      <w:r>
        <w:drawing>
          <wp:inline distT="0" distB="0" distL="0" distR="0">
            <wp:extent cx="5143500" cy="332814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A6A7D"/>
          <w:sz w:val="18"/>
          <w:szCs w:val="18"/>
        </w:rPr>
        <w:t xml:space="preserve">Figure 3 — The AI/code firewall: AI provides judgment, JS provides safe execution.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D2B3A"/>
          <w:sz w:val="20"/>
          <w:szCs w:val="20"/>
        </w:rPr>
        <w:t xml:space="preserve">How the recommendation step stays safe: </w:t>
      </w:r>
      <w:r>
        <w:rPr>
          <w:rFonts w:ascii="Arial" w:cs="Arial" w:eastAsia="Arial" w:hAnsi="Arial"/>
          <w:color w:val="1D2B3A"/>
          <w:sz w:val="20"/>
          <w:szCs w:val="20"/>
        </w:rPr>
        <w:t xml:space="preserve">AI outputs a structured decision (e.g. “subgroup analysis by Region”). JavaScript validates: Is “subgroup” an allowed type? Is “Region” an actual column? If valid, JS slots it into the pre-tested template. If invalid, fallback to the manual menu. AI never sees or modifies any R code.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6. Complete AI call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700"/>
        <w:gridCol w:w="3326"/>
      </w:tblGrid>
      <w:tr>
        <w:tc>
          <w:tcPr>
            <w:tcW w:type="dxa" w:w="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3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PICO validation</w:t>
            </w:r>
          </w:p>
        </w:tc>
        <w:tc>
          <w:tcPr>
            <w:tcW w:type="dxa" w:w="2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Midterm Step 1</w:t>
            </w:r>
          </w:p>
        </w:tc>
        <w:tc>
          <w:tcPr>
            <w:tcW w:type="dxa" w:w="33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clicks AI Check</w:t>
            </w:r>
          </w:p>
        </w:tc>
      </w:tr>
      <w:tr>
        <w:tc>
          <w:tcPr>
            <w:tcW w:type="dxa" w:w="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Search strategy check</w:t>
            </w:r>
          </w:p>
        </w:tc>
        <w:tc>
          <w:tcPr>
            <w:tcW w:type="dxa" w:w="2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Midterm Step 2</w:t>
            </w:r>
          </w:p>
        </w:tc>
        <w:tc>
          <w:tcPr>
            <w:tcW w:type="dxa" w:w="33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clicks AI Check</w:t>
            </w:r>
          </w:p>
        </w:tc>
      </w:tr>
      <w:tr>
        <w:tc>
          <w:tcPr>
            <w:tcW w:type="dxa" w:w="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Interpret basic results</w:t>
            </w:r>
          </w:p>
        </w:tc>
        <w:tc>
          <w:tcPr>
            <w:tcW w:type="dxa" w:w="2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Final Step 3 (Layer 1)</w:t>
            </w:r>
          </w:p>
        </w:tc>
        <w:tc>
          <w:tcPr>
            <w:tcW w:type="dxa" w:w="33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clicks AI Interpret</w:t>
            </w:r>
          </w:p>
        </w:tc>
      </w:tr>
      <w:tr>
        <w:tc>
          <w:tcPr>
            <w:tcW w:type="dxa" w:w="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Recommend analyses</w:t>
            </w:r>
          </w:p>
        </w:tc>
        <w:tc>
          <w:tcPr>
            <w:tcW w:type="dxa" w:w="2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Final Step 3 (Layer 2)</w:t>
            </w:r>
          </w:p>
        </w:tc>
        <w:tc>
          <w:tcPr>
            <w:tcW w:type="dxa" w:w="33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Automatic after Layer 1</w:t>
            </w:r>
          </w:p>
        </w:tc>
      </w:tr>
      <w:tr>
        <w:tc>
          <w:tcPr>
            <w:tcW w:type="dxa" w:w="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Interpret advanced output</w:t>
            </w:r>
          </w:p>
        </w:tc>
        <w:tc>
          <w:tcPr>
            <w:tcW w:type="dxa" w:w="2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Final Step 3 (Layer 2)</w:t>
            </w:r>
          </w:p>
        </w:tc>
        <w:tc>
          <w:tcPr>
            <w:tcW w:type="dxa" w:w="33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runs advanced analysis</w:t>
            </w:r>
          </w:p>
        </w:tc>
      </w:tr>
      <w:tr>
        <w:tc>
          <w:tcPr>
            <w:tcW w:type="dxa" w:w="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Check conclusions</w:t>
            </w:r>
          </w:p>
        </w:tc>
        <w:tc>
          <w:tcPr>
            <w:tcW w:type="dxa" w:w="27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Final Step 5</w:t>
            </w:r>
          </w:p>
        </w:tc>
        <w:tc>
          <w:tcPr>
            <w:tcW w:type="dxa" w:w="33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clicks AI Check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D2B3A"/>
          <w:sz w:val="20"/>
          <w:szCs w:val="20"/>
        </w:rPr>
        <w:t xml:space="preserve">Most users hit 4 calls per full workshop run. Estimated cost: ~$0.01–0.03 per run. All calls gated behind login + course completion.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7. Why this design matters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c>
          <w:tcPr>
            <w:tcW w:type="dxa" w:w="1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MA websites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Meta-Analysis 101</w:t>
            </w:r>
          </w:p>
        </w:tc>
      </w:tr>
      <w:tr>
        <w:tc>
          <w:tcPr>
            <w:tcW w:type="dxa" w:w="1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Basic analysis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inputs data, static code runs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E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Same — deterministic R via WebR</w:t>
            </w:r>
          </w:p>
        </w:tc>
      </w:tr>
      <w:tr>
        <w:tc>
          <w:tcPr>
            <w:tcW w:type="dxa" w:w="1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Advanced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must know what to run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E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evaluates results, recommends what and why</w:t>
            </w:r>
          </w:p>
        </w:tc>
      </w:tr>
      <w:tr>
        <w:tc>
          <w:tcPr>
            <w:tcW w:type="dxa" w:w="1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User reads raw output alone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E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provides PICO-aware interpretation</w:t>
            </w:r>
          </w:p>
        </w:tc>
      </w:tr>
      <w:tr>
        <w:tc>
          <w:tcPr>
            <w:tcW w:type="dxa" w:w="1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Code safety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N/A (fixed scripts)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E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never writes code — JS uses templates</w:t>
            </w:r>
          </w:p>
        </w:tc>
      </w:tr>
      <w:tr>
        <w:tc>
          <w:tcPr>
            <w:tcW w:type="dxa" w:w="14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2B3A"/>
                <w:sz w:val="18"/>
                <w:szCs w:val="18"/>
              </w:rPr>
              <w:t xml:space="preserve">Teaching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Computation tool only</w:t>
            </w:r>
          </w:p>
        </w:tc>
        <w:tc>
          <w:tcPr>
            <w:tcW w:type="dxa" w:w="3813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E8F6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Guided methodology + computation + AI feedback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E8F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D2B3A"/>
                <w:sz w:val="20"/>
                <w:szCs w:val="20"/>
              </w:rPr>
              <w:t xml:space="preserve">In summary: </w:t>
            </w:r>
            <w:r>
              <w:rPr>
                <w:rFonts w:ascii="Arial" w:cs="Arial" w:eastAsia="Arial" w:hAnsi="Arial"/>
                <w:i/>
                <w:iCs/>
                <w:color w:val="1D2B3A"/>
                <w:sz w:val="20"/>
                <w:szCs w:val="20"/>
              </w:rPr>
              <w:t xml:space="preserve">AI acts as a methodology advisor — it looks at the user’s specific results and tells them what to explore next and why. All code generation remains deterministic. Same inputs = same R code = same results. AI provides expert judgment; JavaScript provides reliable execution.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2B3A"/>
          <w:sz w:val="28"/>
          <w:szCs w:val="28"/>
        </w:rPr>
        <w:t xml:space="preserve">8.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26"/>
        <w:gridCol w:w="4500"/>
      </w:tblGrid>
      <w:tr>
        <w:tc>
          <w:tcPr>
            <w:tcW w:type="dxa" w:w="13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shd w:fill="1D2B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3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Frontend</w:t>
            </w:r>
          </w:p>
        </w:tc>
        <w:tc>
          <w:tcPr>
            <w:tcW w:type="dxa" w:w="32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React (inline styles)</w:t>
            </w:r>
          </w:p>
        </w:tc>
        <w:tc>
          <w:tcPr>
            <w:tcW w:type="dxa" w:w="4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UI, wizard flow, state management</w:t>
            </w:r>
          </w:p>
        </w:tc>
      </w:tr>
      <w:tr>
        <w:tc>
          <w:tcPr>
            <w:tcW w:type="dxa" w:w="13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In-browser R</w:t>
            </w:r>
          </w:p>
        </w:tc>
        <w:tc>
          <w:tcPr>
            <w:tcW w:type="dxa" w:w="32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WebR (WASM) + metafor</w:t>
            </w:r>
          </w:p>
        </w:tc>
        <w:tc>
          <w:tcPr>
            <w:tcW w:type="dxa" w:w="4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Real R execution, forest/funnel plots</w:t>
            </w:r>
          </w:p>
        </w:tc>
      </w:tr>
      <w:tr>
        <w:tc>
          <w:tcPr>
            <w:tcW w:type="dxa" w:w="13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proxy</w:t>
            </w:r>
          </w:p>
        </w:tc>
        <w:tc>
          <w:tcPr>
            <w:tcW w:type="dxa" w:w="32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Vercel serverless + Anthropic API</w:t>
            </w:r>
          </w:p>
        </w:tc>
        <w:tc>
          <w:tcPr>
            <w:tcW w:type="dxa" w:w="4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AI feedback calls (key hidden server-side)</w:t>
            </w:r>
          </w:p>
        </w:tc>
      </w:tr>
      <w:tr>
        <w:tc>
          <w:tcPr>
            <w:tcW w:type="dxa" w:w="13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Backend</w:t>
            </w:r>
          </w:p>
        </w:tc>
        <w:tc>
          <w:tcPr>
            <w:tcW w:type="dxa" w:w="32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4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Auth, progress tracking, AI gating</w:t>
            </w:r>
          </w:p>
        </w:tc>
      </w:tr>
      <w:tr>
        <w:tc>
          <w:tcPr>
            <w:tcW w:type="dxa" w:w="13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Hosting</w:t>
            </w:r>
          </w:p>
        </w:tc>
        <w:tc>
          <w:tcPr>
            <w:tcW w:type="dxa" w:w="32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Vercel</w:t>
            </w:r>
          </w:p>
        </w:tc>
        <w:tc>
          <w:tcPr>
            <w:tcW w:type="dxa" w:w="4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Deployment, preview branches</w:t>
            </w:r>
          </w:p>
        </w:tc>
      </w:tr>
      <w:tr>
        <w:tc>
          <w:tcPr>
            <w:tcW w:type="dxa" w:w="13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Bilingual</w:t>
            </w:r>
          </w:p>
        </w:tc>
        <w:tc>
          <w:tcPr>
            <w:tcW w:type="dxa" w:w="3226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Custom useI18n() hook</w:t>
            </w:r>
          </w:p>
        </w:tc>
        <w:tc>
          <w:tcPr>
            <w:tcW w:type="dxa" w:w="4500"/>
            <w:tcBorders>
              <w:top w:val="single" w:color="D5D3CE" w:sz="1"/>
              <w:left w:val="single" w:color="D5D3CE" w:sz="1"/>
              <w:bottom w:val="single" w:color="D5D3CE" w:sz="1"/>
              <w:right w:val="single" w:color="D5D3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2B3A"/>
                <w:sz w:val="18"/>
                <w:szCs w:val="18"/>
              </w:rPr>
              <w:t xml:space="preserve">Traditional Chinese / English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A7D"/>
        <w:sz w:val="14"/>
        <w:szCs w:val="14"/>
      </w:rPr>
      <w:t xml:space="preserve">March 14, 2026  |  meta-analysis-101.vercel.app  |  Conference targets: EBHC 2026, Cochrane 2026, APMEC 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A7D"/>
        <w:sz w:val="16"/>
        <w:szCs w:val="16"/>
      </w:rPr>
      <w:t xml:space="preserve">Meta-Analysis 101 — Technical Architecture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2B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D2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c3d851bcb437713e065a95acb2c55c84856af4.png"/><Relationship Id="rId10" Type="http://schemas.openxmlformats.org/officeDocument/2006/relationships/image" Target="media/f1d87b178d613d17a6982ce8e845ea6570b60396.png"/><Relationship Id="rId11" Type="http://schemas.openxmlformats.org/officeDocument/2006/relationships/image" Target="media/8598d466671aec6cd991b6e7f62b83dc9ebd1dd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2026-03-14T06:52:08.995Z</dcterms:created>
  <dcterms:modified xsi:type="dcterms:W3CDTF">2026-03-14T06:52:08.996Z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