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</w:rPr>
        <w:t xml:space="preserve">Highlights</w:t>
      </w:r>
    </w:p>
    <w:p>
      <w:r>
        <w:t xml:space="preserve">• Visual intent recognition is jointly constrained by supervisory and semantic ambiguity.</w:t>
      </w:r>
    </w:p>
    <w:p>
      <w:r>
        <w:t xml:space="preserve">• FDIL uses fixed semantic priors to provide structured candidate semantics.</w:t>
      </w:r>
    </w:p>
    <w:p>
      <w:r>
        <w:t xml:space="preserve">• UTD uses uncertainty-aware text teachers to correct ambiguous supervision.</w:t>
      </w:r>
    </w:p>
    <w:p>
      <w:r>
        <w:t xml:space="preserve">• A residual student learns image-specific corrections on top of the semantic prior.</w:t>
      </w:r>
    </w:p>
    <w:p>
      <w:r>
        <w:t xml:space="preserve">• FDIL improves hard-case robustness and overall multi-label performance on Intentonomy.</w:t>
      </w:r>
    </w:p>
    <w:p/>
    <w:p>
      <w:r>
        <w:rPr>
          <w:b/>
        </w:rPr>
        <w:t xml:space="preserve">Declaration of competing interests</w:t>
      </w:r>
    </w:p>
    <w:p>
      <w:r>
        <w:t xml:space="preserve">The authors declare that they have no known competing financial interests or personal relationships that could have appeared to influence the work reported in this paper.</w:t>
      </w:r>
    </w:p>
    <w:sectPr>
      <w:pgSz w:w="12240" w:h="15840"/>
      <w:pgMar w:top="1440" w:right="1440" w:bottom="1440" w:left="1440" w:header="720" w:footer="720" w:gutter="0"/>
    </w:sectPr>
  </w:body>
</w:document>
</file>